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Hahn Mark W</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0000FF"/>
                <w:w w:val="99"/>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420" w:type="dxa"/>
            <w:vAlign w:val="bottom"/>
          </w:tcPr>
          <w:p>
            <w:pPr>
              <w:ind w:left="240"/>
              <w:spacing w:after="0"/>
              <w:rPr>
                <w:sz w:val="20"/>
                <w:szCs w:val="20"/>
                <w:color w:val="auto"/>
              </w:rPr>
            </w:pPr>
            <w:r>
              <w:rPr>
                <w:rFonts w:ascii="Arial" w:cs="Arial" w:eastAsia="Arial" w:hAnsi="Arial"/>
                <w:sz w:val="17"/>
                <w:szCs w:val="17"/>
                <w:color w:val="0000FF"/>
              </w:rPr>
              <w:t>X0</w:t>
            </w:r>
          </w:p>
        </w:tc>
        <w:tc>
          <w:tcPr>
            <w:tcW w:w="1240" w:type="dxa"/>
            <w:vAlign w:val="bottom"/>
          </w:tcPr>
          <w:p>
            <w:pPr>
              <w:ind w:left="4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Verona Pharma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VRNA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700" w:type="dxa"/>
            <w:vAlign w:val="bottom"/>
            <w:gridSpan w:val="3"/>
          </w:tcPr>
          <w:p>
            <w:pPr>
              <w:ind w:left="80"/>
              <w:spacing w:after="0"/>
              <w:rPr>
                <w:sz w:val="20"/>
                <w:szCs w:val="20"/>
                <w:color w:val="auto"/>
              </w:rPr>
            </w:pPr>
            <w:r>
              <w:rPr>
                <w:rFonts w:ascii="Arial" w:cs="Arial" w:eastAsia="Arial" w:hAnsi="Arial"/>
                <w:sz w:val="17"/>
                <w:szCs w:val="17"/>
                <w:color w:val="0000FF"/>
              </w:rPr>
              <w:t>10/20/2023</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800,000</w:t>
            </w:r>
            <w:r>
              <w:rPr>
                <w:rFonts w:ascii="Arial" w:cs="Arial" w:eastAsia="Arial" w:hAnsi="Arial"/>
                <w:sz w:val="22"/>
                <w:szCs w:val="22"/>
                <w:color w:val="008000"/>
                <w:w w:val="85"/>
                <w:vertAlign w:val="superscript"/>
              </w:rPr>
              <w:t>(2)</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16,321,248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Restricted Share Units ("RSUs"), each of which represents a contingent right to receive one (1) Ordinary Share of the Issuer. The RSUs vest over four years, with 200,000 RSUs vesting on November 1, 2024 and the balance vesting in 12 equal quarterly installments thereafter.</w:t>
      </w:r>
    </w:p>
    <w:p>
      <w:pPr>
        <w:spacing w:after="0" w:line="1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(i) 6,711,816 Ordinary Shares underlying Restricted Share Units, each of which represents a contingent right to receive one (1) Ordinary Share of the Issuer (which are represented by 838,977 ADSs); and (ii) 9,609,432 Ordinary Shares underlying 1,201,179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10/24/2023</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Mark Hahn</w:t>
            </w:r>
          </w:p>
        </w:tc>
        <w:tc>
          <w:tcPr>
            <w:tcW w:w="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2023-10-24T15:14:50Z</dcterms:created>
  <dcterms:modified xsi:type="dcterms:W3CDTF">2023-10-24T15:14:50Z</dcterms:modified>
</cp:coreProperties>
</file>