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001-38067</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98-1489389</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53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3"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21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180" w:type="dxa"/>
            <w:vAlign w:val="bottom"/>
            <w:tcBorders>
              <w:top w:val="single" w:sz="8" w:color="auto"/>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Trading Symbol(s)</w:t>
            </w:r>
          </w:p>
        </w:tc>
        <w:tc>
          <w:tcPr>
            <w:tcW w:w="336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1"/>
        </w:trPr>
        <w:tc>
          <w:tcPr>
            <w:tcW w:w="4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nominal value £0.05 per share*</w:t>
            </w:r>
          </w:p>
        </w:tc>
        <w:tc>
          <w:tcPr>
            <w:tcW w:w="3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VRNA</w:t>
            </w:r>
          </w:p>
        </w:tc>
        <w:tc>
          <w:tcPr>
            <w:tcW w:w="3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6"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6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August 10, 2022, Verona Pharma plc (the “Company”) entered into an underwriting agreement (the “Underwriting Agreement”) with Jefferies LLC, Piper Sandler &amp; Co. and Truist Securities, Inc., as representatives of the several underwriters named therein (the “Underwriters”), relating to the issuance and sale of 12,400,000 American Depositary Shares (“ADSs”), each representing eight ordinary shares of the Company, nominal value £0.05 per share, to the Underwriters (the “Offering”). The ADSs were sold at a price to the public of $10.50 per ADS and were purchased by the Underwriters from the Company at the public offering price, less underwriting discounts and commissions. The Company also granted the Underwriters a 30-day option to purchase up to 1,860,000 additional ADSs at the public offering price, less underwriting discounts and commissions. The net proceeds to the Company from the Offering, excluding any exercise by the Underwriters of their 30-day option to purchase additional ADSs, are expected to be approximately $122 million, after deducting the underwriting discounts and commissions and estimated offering expenses payable by the Company.</w:t>
      </w:r>
    </w:p>
    <w:p>
      <w:pPr>
        <w:spacing w:after="0" w:line="1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Offering is expected to close on or about August 15, 2022, subject to the satisfaction of customary closing conditions. The Underwriting Agreement contains customary representations, warranties, covenants and agreements by the Company,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and were solely for the benefit of the parties to the Underwriting Agreement.</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Offering is being made by means of a prospectus forming part of a shelf registration statement on Form S-3 (File No. 333-254530), previously filed by the Company with the Securities and Exchange Commission (the “SEC”), which was declared effective on March 29, 2021, and a related prospectus supplement.</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is not complete and is qualified in its entirety by reference to the full text of the Underwriting Agreement, a copy of which is filed as Exhibit 1.1 to this Current Report on Form 8-K (the “Current Report”) and is incorporated by reference herein.</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copy of the opinion of Latham &amp; Watkins LLP relating to the legality of the issuance and sale of the ADSs in the Offering is attached as Exhibit 5.1 to this Current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8"/>
        </w:trPr>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40" w:type="dxa"/>
            <w:vAlign w:val="bottom"/>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7520" w:type="dxa"/>
            <w:vAlign w:val="bottom"/>
            <w:tcBorders>
              <w:bottom w:val="single" w:sz="8" w:color="auto"/>
            </w:tcBorders>
            <w:gridSpan w:val="4"/>
          </w:tcPr>
          <w:p>
            <w:pPr>
              <w:ind w:left="17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85"/>
        </w:trPr>
        <w:tc>
          <w:tcPr>
            <w:tcW w:w="4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Underwriting Agreement, dated as of August 10, 2022, by and among Verona Pharma plc, Jefferies LLC, Piper Sandler &amp; Co. and Truist</w:t>
            </w:r>
          </w:p>
        </w:tc>
      </w:tr>
      <w:tr>
        <w:trPr>
          <w:trHeight w:val="196"/>
        </w:trPr>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Securities, Inc., as representatives of the several underwriters named therein.</w:t>
            </w:r>
          </w:p>
        </w:tc>
        <w:tc>
          <w:tcPr>
            <w:tcW w:w="240" w:type="dxa"/>
            <w:vAlign w:val="bottom"/>
          </w:tcPr>
          <w:p>
            <w:pPr>
              <w:spacing w:after="0"/>
              <w:rPr>
                <w:sz w:val="17"/>
                <w:szCs w:val="17"/>
                <w:color w:val="auto"/>
              </w:rPr>
            </w:pPr>
          </w:p>
        </w:tc>
      </w:tr>
      <w:tr>
        <w:trPr>
          <w:trHeight w:val="412"/>
        </w:trPr>
        <w:tc>
          <w:tcPr>
            <w:tcW w:w="4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Opinion of Latham &amp; Watkins LLP.</w:t>
            </w:r>
          </w:p>
        </w:tc>
        <w:tc>
          <w:tcPr>
            <w:tcW w:w="4580" w:type="dxa"/>
            <w:vAlign w:val="bottom"/>
            <w:gridSpan w:val="2"/>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80" w:type="dxa"/>
            <w:vAlign w:val="bottom"/>
            <w:gridSpan w:val="3"/>
          </w:tcPr>
          <w:p>
            <w:pPr>
              <w:spacing w:after="0" w:line="20" w:lineRule="exact"/>
              <w:rPr>
                <w:sz w:val="1"/>
                <w:szCs w:val="1"/>
                <w:color w:val="auto"/>
              </w:rPr>
            </w:pPr>
          </w:p>
        </w:tc>
      </w:tr>
      <w:tr>
        <w:trPr>
          <w:trHeight w:val="412"/>
        </w:trPr>
        <w:tc>
          <w:tcPr>
            <w:tcW w:w="7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44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Latham &amp; Watkins LLP (included in Exhibit 5.1).</w:t>
            </w:r>
          </w:p>
        </w:tc>
      </w:tr>
      <w:tr>
        <w:trPr>
          <w:trHeight w:val="20"/>
        </w:trPr>
        <w:tc>
          <w:tcPr>
            <w:tcW w:w="20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shd w:val="clear" w:color="auto" w:fill="0000EE"/>
          </w:tcPr>
          <w:p>
            <w:pPr>
              <w:spacing w:after="0" w:line="20" w:lineRule="exact"/>
              <w:rPr>
                <w:sz w:val="1"/>
                <w:szCs w:val="1"/>
                <w:color w:val="auto"/>
              </w:rPr>
            </w:pPr>
          </w:p>
        </w:tc>
        <w:tc>
          <w:tcPr>
            <w:tcW w:w="5680" w:type="dxa"/>
            <w:vAlign w:val="bottom"/>
            <w:gridSpan w:val="3"/>
          </w:tcPr>
          <w:p>
            <w:pPr>
              <w:spacing w:after="0" w:line="20" w:lineRule="exact"/>
              <w:rPr>
                <w:sz w:val="1"/>
                <w:szCs w:val="1"/>
                <w:color w:val="auto"/>
              </w:rPr>
            </w:pPr>
          </w:p>
        </w:tc>
      </w:tr>
      <w:tr>
        <w:trPr>
          <w:trHeight w:val="453"/>
        </w:trPr>
        <w:tc>
          <w:tcPr>
            <w:tcW w:w="200" w:type="dxa"/>
            <w:vAlign w:val="bottom"/>
          </w:tcPr>
          <w:p>
            <w:pPr>
              <w:spacing w:after="0"/>
              <w:rPr>
                <w:sz w:val="24"/>
                <w:szCs w:val="24"/>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the consummation of the offering and the option exercise, the terms of the offering, the satisfaction of customary closing conditions with respect to the offering, the anticipated amount of net proceeds from the offering and the intended use of such net proceeds. Statements using words such as “expect”, “anticipate”, “believe”, “may”, “will” and similar terms are also forward-looking statements. These forward-looking statements are based on management's current expectations. These statements are neither promises nor guarantees, but involve known and unknown risks, uncertainties and other important factors that may cause the Company’s actual results, performance or achievements to be materially different from its expectations expressed or implied by the forward-looking statements, including without limitation: general business, financial and accounting risks; economic, political, regulatory and other risks involved with international operations; the Company’s vulnerability to natural disasters, global economic factors and other unexpected events, including health epidemics or pandemics like the COVID-19 pandemic, which has and may continue to adversely impact the Company’s business, and Russia’s invasion of Ukraine; and the other important factors discussed under the caption “Risk Factors” in its Annual Report on Form 10-K for the year ended December 31, 2021 and as any such factors may be updated from time to time in its other filings with the SEC. Any such forward-looking statements represent management's estimates as of the date of this Current Report. While the Company may elect to update such forward-looking statements at some point in the future, it disclaims any obligation to do so, even if subsequent events cause its views to change. These forward-looking statements should not be relied upon as representing the Company’s views as of any date subsequent to the date of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2022</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Zaccardelli, Pharm.D.</w:t>
            </w:r>
          </w:p>
        </w:tc>
      </w:tr>
      <w:tr>
        <w:trPr>
          <w:trHeight w:val="234"/>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12,400,000 American 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Representing Eight 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(Nominal value £0.05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August 10,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1251 Avenue of the Americas, 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Truist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3333 Peachtree Road,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Introductory. </w:t>
      </w:r>
      <w:r>
        <w:rPr>
          <w:rFonts w:ascii="Times New Roman" w:cs="Times New Roman" w:eastAsia="Times New Roman" w:hAnsi="Times New Roman"/>
          <w:sz w:val="18"/>
          <w:szCs w:val="18"/>
          <w:color w:val="auto"/>
        </w:rPr>
        <w:t>Verona Pharma plc, a public limited company incorporated under the laws of England and Wales with registered number 5375156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proposes to issue and sell to the several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12,400,000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representing eight ordinary shares, nominal value £0.05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b w:val="1"/>
          <w:bCs w:val="1"/>
          <w:color w:val="auto"/>
        </w:rPr>
        <w:t>Firm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In addition, the Company has granted to the Underwriters an option to purchase up to an additional 1,860,000 ADSs (the “</w:t>
      </w:r>
      <w:r>
        <w:rPr>
          <w:rFonts w:ascii="Times New Roman" w:cs="Times New Roman" w:eastAsia="Times New Roman" w:hAnsi="Times New Roman"/>
          <w:sz w:val="18"/>
          <w:szCs w:val="18"/>
          <w:b w:val="1"/>
          <w:bCs w:val="1"/>
          <w:color w:val="auto"/>
        </w:rPr>
        <w:t>Optional Securities</w:t>
      </w:r>
      <w:r>
        <w:rPr>
          <w:rFonts w:ascii="Times New Roman" w:cs="Times New Roman" w:eastAsia="Times New Roman" w:hAnsi="Times New Roman"/>
          <w:sz w:val="18"/>
          <w:szCs w:val="18"/>
          <w:color w:val="auto"/>
        </w:rPr>
        <w:t>”) as provided in Section 2 hereof. The Firm Securities and, if and to the extent such option is exercised, the Optional Securities are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called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Unless the context otherwise requires, each reference to the Firm Securities, the Optional Securities and the Offered Securities herein also includes the Ordinary Shares represented by the ADSs. Jefferies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Piper Sandler &amp; Co. (“</w:t>
      </w:r>
      <w:r>
        <w:rPr>
          <w:rFonts w:ascii="Times New Roman" w:cs="Times New Roman" w:eastAsia="Times New Roman" w:hAnsi="Times New Roman"/>
          <w:sz w:val="18"/>
          <w:szCs w:val="18"/>
          <w:b w:val="1"/>
          <w:bCs w:val="1"/>
          <w:color w:val="auto"/>
        </w:rPr>
        <w:t>Piper Sandler</w:t>
      </w:r>
      <w:r>
        <w:rPr>
          <w:rFonts w:ascii="Times New Roman" w:cs="Times New Roman" w:eastAsia="Times New Roman" w:hAnsi="Times New Roman"/>
          <w:sz w:val="18"/>
          <w:szCs w:val="18"/>
          <w:color w:val="auto"/>
        </w:rPr>
        <w:t>”) and Truist Securities, Inc. have agreed to act as representatives of the several Underwriters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in connection with the offering and sale of the Offered Securities.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ADSs (as may be evidenced by American Depositary Receipts (“</w:t>
      </w:r>
      <w:r>
        <w:rPr>
          <w:rFonts w:ascii="Times New Roman" w:cs="Times New Roman" w:eastAsia="Times New Roman" w:hAnsi="Times New Roman"/>
          <w:sz w:val="18"/>
          <w:szCs w:val="18"/>
          <w:b w:val="1"/>
          <w:bCs w:val="1"/>
          <w:color w:val="auto"/>
        </w:rPr>
        <w:t>ADRs</w:t>
      </w:r>
      <w:r>
        <w:rPr>
          <w:rFonts w:ascii="Times New Roman" w:cs="Times New Roman" w:eastAsia="Times New Roman" w:hAnsi="Times New Roman"/>
          <w:sz w:val="18"/>
          <w:szCs w:val="18"/>
          <w:color w:val="auto"/>
        </w:rPr>
        <w:t>”)) shall be issued pursuant to that certain deposit agreement, dated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May 2, 2017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by and among the Company, Citibank, N.A.,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all holders and beneficial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 of ADSs issued thereunder. The Company shall, following subscription by the Underwriters of the Firm Securities and, if applicable, the Optional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deposit, on behalf of the Underwriters, the Ordinary Shares represented by such ADSs with Citibank N.A., London Branch, as custodian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for the Depositary, which shall deliver such ADSs to the Representatives for the account of the several Underwriters for subsequent delivery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other several Underwriters or the investors,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References in this Agreement to (1) the Company issuing and selling ADSs to the Underwriters, and similar or analogous expressions, shall be understood to include references to the Company allotting and issuing the new Ordinary Shares underlying those ADSs to the Custodian and procuring the issue of ADSs representing such Ordinary Shares by the Depositary or its nominee to the Underwriters and (2) the purchase of, or payment for, any ADSs, and similar or analogous expressions, shall be understood to refer to the subscription for the Ordinary Shares underlying those ADSs, as well as the deposit of the Ordinary Shares for ADSs representing such Ordinary Shares, and the payment of the subscription moneys in respect of such Ordinary Shares.</w:t>
      </w:r>
    </w:p>
    <w:p>
      <w:pPr>
        <w:spacing w:after="0" w:line="17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shelf registration statement on Form S-3, File No. 333-254530, including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to be used in connection with the public offering and sale of the Offered Securities in the United States.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including all documents incorporated or deemed to be incorporated by reference therein and any information deemed to be a part thereof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effectiveness pursuant to Rule 430B under the Securities Act, is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registration statement filed by the Company pursuant to Rule 462(b) under the Securities Act in connection with the offer and sale of the Offered Securities is called the “</w:t>
      </w:r>
      <w:r>
        <w:rPr>
          <w:rFonts w:ascii="Times New Roman" w:cs="Times New Roman" w:eastAsia="Times New Roman" w:hAnsi="Times New Roman"/>
          <w:sz w:val="18"/>
          <w:szCs w:val="18"/>
          <w:b w:val="1"/>
          <w:bCs w:val="1"/>
          <w:color w:val="auto"/>
        </w:rPr>
        <w:t>Rule 462(b)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and from and after the date and time of filing of any such Rule 462(b) Registration Statement the term “Registration Statement” shall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Rule 462(b) Registration Statement. The Company has prepared and filed with the Commission a registration statement on Form F-6 (File No. 333-217353) relating to the ADSs. Such registration statement, as amended, including the financial statements, exhibits and schedules thereto, in the form in which it became effective under the Securities Act is called the “</w:t>
      </w:r>
      <w:r>
        <w:rPr>
          <w:rFonts w:ascii="Times New Roman" w:cs="Times New Roman" w:eastAsia="Times New Roman" w:hAnsi="Times New Roman"/>
          <w:sz w:val="18"/>
          <w:szCs w:val="18"/>
          <w:b w:val="1"/>
          <w:bCs w:val="1"/>
          <w:color w:val="auto"/>
        </w:rPr>
        <w:t>F-6 Registration Statement</w:t>
      </w:r>
      <w:r>
        <w:rPr>
          <w:rFonts w:ascii="Times New Roman" w:cs="Times New Roman" w:eastAsia="Times New Roman" w:hAnsi="Times New Roman"/>
          <w:sz w:val="18"/>
          <w:szCs w:val="18"/>
          <w:color w:val="auto"/>
        </w:rPr>
        <w:t>.” The preliminary prospectus supplement dated August 9, 2022 describing the Offered Securities and the offering thereof (the “</w:t>
      </w:r>
      <w:r>
        <w:rPr>
          <w:rFonts w:ascii="Times New Roman" w:cs="Times New Roman" w:eastAsia="Times New Roman" w:hAnsi="Times New Roman"/>
          <w:sz w:val="18"/>
          <w:szCs w:val="18"/>
          <w:b w:val="1"/>
          <w:bCs w:val="1"/>
          <w:color w:val="auto"/>
        </w:rPr>
        <w:t>Preliminary Prospectus Supplement</w:t>
      </w:r>
      <w:r>
        <w:rPr>
          <w:rFonts w:ascii="Times New Roman" w:cs="Times New Roman" w:eastAsia="Times New Roman" w:hAnsi="Times New Roman"/>
          <w:sz w:val="18"/>
          <w:szCs w:val="18"/>
          <w:color w:val="auto"/>
        </w:rPr>
        <w:t>”), together with the Base Prospectus, is called 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and the Preliminary Prospectus and any other prospectus supplement to the Base Prospectus in preliminary form that describes the Offered Securities and the offering thereof and is used prior to the filing of the Prospectus (as defined below), together with the Base Prospectus, is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final prospectus supplement to the Base Prospectus that describes the Offered Securities and the offering thereof (the “</w:t>
      </w:r>
      <w:r>
        <w:rPr>
          <w:rFonts w:ascii="Times New Roman" w:cs="Times New Roman" w:eastAsia="Times New Roman" w:hAnsi="Times New Roman"/>
          <w:sz w:val="18"/>
          <w:szCs w:val="18"/>
          <w:b w:val="1"/>
          <w:bCs w:val="1"/>
          <w:color w:val="auto"/>
        </w:rPr>
        <w:t>Final Prospectus Supplement</w:t>
      </w:r>
      <w:r>
        <w:rPr>
          <w:rFonts w:ascii="Times New Roman" w:cs="Times New Roman" w:eastAsia="Times New Roman" w:hAnsi="Times New Roman"/>
          <w:sz w:val="18"/>
          <w:szCs w:val="18"/>
          <w:color w:val="auto"/>
        </w:rPr>
        <w:t>”), together with the Base Prospectus, in the form first used by the Underwriters to confirm sales of the Offered Securities or in the form first made available to the Underwriters by the Company to meet requests of purchasers pursuant to Rule 173 under the Securities Act. References herein to the Preliminary Prospectus, preliminary prospectus and the Prospectus shall refer to both the prospectus supplement and the Base Prospectus components of such prospectus. As used herein,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6:00 p.m. (New York City time) on August 10, 2022. As used herein,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and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xml:space="preserve">” means the Preliminary Prospectus, as amended or supplemented immediately prior to the Applicable Time, together with the free writing prospectuses, if any, identified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and the pricing information identified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As used herein, </w:t>
      </w:r>
      <w:r>
        <w:rPr>
          <w:rFonts w:ascii="Times New Roman" w:cs="Times New Roman" w:eastAsia="Times New Roman" w:hAnsi="Times New Roman"/>
          <w:sz w:val="18"/>
          <w:szCs w:val="18"/>
          <w:b w:val="1"/>
          <w:bCs w:val="1"/>
          <w:color w:val="auto"/>
        </w:rPr>
        <w:t>“Road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Show” </w:t>
      </w:r>
      <w:r>
        <w:rPr>
          <w:rFonts w:ascii="Times New Roman" w:cs="Times New Roman" w:eastAsia="Times New Roman" w:hAnsi="Times New Roman"/>
          <w:sz w:val="18"/>
          <w:szCs w:val="18"/>
          <w:color w:val="auto"/>
        </w:rPr>
        <w:t>means a “road show” (as defined in Rule 433 under the Securities Act) relating to the offering of the Offered Securities contemplated hereby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“written communication” (as defined in Rule 405 under the Securities Act). As used herein, “</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means any materials or information provided to investors by, or with the approval of, the Company in connection with the marketing of the offering of the Offered Securities, including any roadshow or investor presentations made to investors by the Company (whether in person or electronically.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F-6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the F-6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w:t>
      </w:r>
    </w:p>
    <w:p>
      <w:pPr>
        <w:spacing w:after="0" w:line="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Rule 462(b) Registration Statement, the F-6 Registration Statement, the Preliminary Prospectus, any preliminary prospectus, the Base Prospectus, the Time of Sale Prospectus or the Prospectus, as the case may be. All references in this Agreement to amendments or supplements to the Registration Statement, the F-6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is or is deemed to be incorporated by reference in the Registration Statement, the F-6 Registration Statement, the Preliminary Prospectus, any preliminary prospectus, the Base Prospectus or the Prospectus, as the case may be. All references in this Agreement to (i) the Registration Statement, the F-6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and (ii) the Prospectus shall be deemed to include any “electronic Prospectus” provided for use in connection with the offering of the Offered Securities as contemplated by Section 3(l) of this Agreement.</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the event that the Company has only one subsidiary, then all references herein to “subsidiaries” of the Company shall be deemed to refer to such single subsidiary,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agreements with the Underwriters as follows: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        Representations and Warranties.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hereby represents, warrants and covenants to each Underwriter, as of the date of this Agreement, as of the First Closing Date (as hereinafter defined) and as of each Option Closing Date (as hereinafter defined), if any, as follows:</w:t>
      </w:r>
    </w:p>
    <w:p>
      <w:pPr>
        <w:spacing w:after="0" w:line="15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i w:val="1"/>
          <w:iCs w:val="1"/>
          <w:color w:val="auto"/>
        </w:rPr>
        <w:t>Compliance with Registration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Registration Statement and the F-6 Registration Statement have each become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The Company has complied, to the Commission’s satisfaction, with all requests of the Commission for additional or supplemental information, if any. No stop order suspending the effectiveness of the Registration Statement or the F-6 Registration Statement is in effect and no proceedings for such purpose have been instituted or are pending or, to the best knowledge of the Company, are contemplated or threatened by the Commission. At the time the Company’s Annual Report on Form 10-K for the year ended December 31, 2021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was filed with the Commission, or, if later, at the time the Registration Statement was originally filed with the Commission, the Company met the then-applicable requirements for use of Form S-3 under the Securities Act, including, but not limited to, General Instruction I.B.1.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i w:val="1"/>
          <w:iCs w:val="1"/>
          <w:color w:val="auto"/>
        </w:rPr>
        <w:t>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preliminary prospectus and the Prospectus when filed complied in all material respects with the Securities Act and, if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electronic 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and the F-6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and at each applicable Option Closing Date, will not, contain any untrue statement of a material fact or omit to state a material fact necessary to make the statements therein, in the light of the circumstances under which 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light of the circumstances under which they were made, not misleading. The representations and warranties set forth in the three immediately preceding sentences do not apply to statements in or omissions from the Registration Statement or any post-effective amendment thereto, the F-6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or the F-6 Registration Statement which have not been described or filed as required.</w:t>
      </w:r>
    </w:p>
    <w:p>
      <w:pPr>
        <w:spacing w:after="0" w:line="19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b w:val="1"/>
          <w:bCs w:val="1"/>
          <w:color w:val="auto"/>
        </w:rPr>
        <w:t>(c)            </w:t>
      </w:r>
      <w:r>
        <w:rPr>
          <w:rFonts w:ascii="Times New Roman" w:cs="Times New Roman" w:eastAsia="Times New Roman" w:hAnsi="Times New Roman"/>
          <w:sz w:val="17"/>
          <w:szCs w:val="17"/>
          <w:b w:val="1"/>
          <w:bCs w:val="1"/>
          <w:i w:val="1"/>
          <w:iCs w:val="1"/>
          <w:color w:val="auto"/>
        </w:rPr>
        <w:t>Free Writing Prospectuses; Road Show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of the determination date referenced in Rule 164(h) under the Securities Act, the Company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not, is not or will not be (as applicable) an “ineligible issuer” in connection with the offering of the Offered Securities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Offered Securities did not, does not and will not include any information that conflicted, conflicts or will conflict with the information contained in the Registration Statement, the Prospectus or any preliminary prospectus that has not been superseded or modified. Except for the free writing prospectuses, if any, identified in </w:t>
      </w:r>
      <w:r>
        <w:rPr>
          <w:rFonts w:ascii="Times New Roman" w:cs="Times New Roman" w:eastAsia="Times New Roman" w:hAnsi="Times New Roman"/>
          <w:sz w:val="17"/>
          <w:szCs w:val="17"/>
          <w:u w:val="single" w:color="auto"/>
          <w:color w:val="auto"/>
        </w:rPr>
        <w:t>Schedule B</w:t>
      </w:r>
      <w:r>
        <w:rPr>
          <w:rFonts w:ascii="Times New Roman" w:cs="Times New Roman" w:eastAsia="Times New Roman" w:hAnsi="Times New Roman"/>
          <w:sz w:val="17"/>
          <w:szCs w:val="17"/>
          <w:color w:val="auto"/>
        </w:rPr>
        <w:t>, and electronic road shows, if any, furnished to the Representatives before first use, the Company has not prepared, used or referred to, and will not, without the Representatives’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176"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Distribution of Offering Material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later of (i) the expiration or termination of the option granted to the several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Underwriters in Section 2, and (ii) the completion of the Underwriters’ distribution of the Offered Securities, the Company has not distributed and will not distribute any offering material in connection with the offering and sale of the Offered Securities other than the Registration Statement, the F-6 Registration Statement, the Time of Sale Prospectus, the Prospectus or any free writing prospectus reviewed and consented to by the Representatives, and the free writing prospectuses, if any, identified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right="5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b w:val="1"/>
          <w:bCs w:val="1"/>
          <w:i w:val="1"/>
          <w:iCs w:val="1"/>
          <w:color w:val="auto"/>
        </w:rPr>
        <w:t>The Underwriting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the corporate power to enter into this Agreement and this Agreement has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executed and delivered by the Company.</w:t>
      </w:r>
    </w:p>
    <w:p>
      <w:pPr>
        <w:spacing w:after="0" w:line="15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(f)            </w:t>
      </w:r>
      <w:r>
        <w:rPr>
          <w:rFonts w:ascii="Times New Roman" w:cs="Times New Roman" w:eastAsia="Times New Roman" w:hAnsi="Times New Roman"/>
          <w:sz w:val="18"/>
          <w:szCs w:val="18"/>
          <w:b w:val="1"/>
          <w:bCs w:val="1"/>
          <w:i w:val="1"/>
          <w:iCs w:val="1"/>
          <w:color w:val="auto"/>
        </w:rPr>
        <w:t>Authorization of the Offered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Ordinary Shares represented by the ADSs, when allotted and issued, may be freely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with the Custodian or its nominee against issuance of the Offered Securities, as contemplated by the Deposit Agreement. The Offered Securities have been duly and validly authorized for issuance and sale pursuant to this Agreement (including, with respect to the Ordinary Shares underlying the Offered Securities, pursuant to section 551 of the United Kingdom Companies Act 2006 (“</w:t>
      </w:r>
      <w:r>
        <w:rPr>
          <w:rFonts w:ascii="Times New Roman" w:cs="Times New Roman" w:eastAsia="Times New Roman" w:hAnsi="Times New Roman"/>
          <w:sz w:val="18"/>
          <w:szCs w:val="18"/>
          <w:b w:val="1"/>
          <w:bCs w:val="1"/>
          <w:color w:val="auto"/>
        </w:rPr>
        <w:t>CA 2006</w:t>
      </w:r>
      <w:r>
        <w:rPr>
          <w:rFonts w:ascii="Times New Roman" w:cs="Times New Roman" w:eastAsia="Times New Roman" w:hAnsi="Times New Roman"/>
          <w:sz w:val="18"/>
          <w:szCs w:val="18"/>
          <w:color w:val="auto"/>
        </w:rPr>
        <w:t>”)) and, when allotted, issued and delivered by the Company against payment therefor pursuant to this Agreement, will be validly issued, fully paid and nonassessable, and the issuance and sale of the Offered Securities is not subject to any liens, encumbrances, preemptive rights, rights of first refusal or other similar rights to subscribe for or purchase such Offered Securities (including those provided by section 561(1) of CA 2006 in respect of the Ordinary Shares represented by ADSs) and the Ordinary Shares represented by the ADSs will rank equally in all respects with the existing Ordinary Shares. Upon the sale and delivery to the Underwriters of the Offered Securities, and payment therefor, the Underwriters will acquire good, marketable and valid title to such Offered Securities, free and clear of all pledges, liens, security interests, charges, claims or encumbrances.</w:t>
      </w:r>
    </w:p>
    <w:p>
      <w:pPr>
        <w:spacing w:after="0" w:line="185"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            </w:t>
      </w:r>
      <w:r>
        <w:rPr>
          <w:rFonts w:ascii="Times New Roman" w:cs="Times New Roman" w:eastAsia="Times New Roman" w:hAnsi="Times New Roman"/>
          <w:sz w:val="18"/>
          <w:szCs w:val="18"/>
          <w:b w:val="1"/>
          <w:bCs w:val="1"/>
          <w:i w:val="1"/>
          <w:iCs w:val="1"/>
          <w:color w:val="auto"/>
        </w:rPr>
        <w:t>No Applicable Registration or Other Similar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no persons with registration or other similar rights to have any equity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securities registered for sale under the Registration Statement or the F-6 Registration Statement or included in the offering contemplated by this Agreement.</w:t>
      </w:r>
    </w:p>
    <w:p>
      <w:pPr>
        <w:spacing w:after="0" w:line="17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(h)            </w:t>
      </w:r>
      <w:r>
        <w:rPr>
          <w:rFonts w:ascii="Times New Roman" w:cs="Times New Roman" w:eastAsia="Times New Roman" w:hAnsi="Times New Roman"/>
          <w:sz w:val="17"/>
          <w:szCs w:val="17"/>
          <w:b w:val="1"/>
          <w:bCs w:val="1"/>
          <w:i w:val="1"/>
          <w:iCs w:val="1"/>
          <w:color w:val="auto"/>
        </w:rPr>
        <w:t>No Material Adverse Change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otherwise disclosed in the Registration Statement, the Time of Sale Prospectus and the Prospectus,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subsequent to the respective dates as of which information is given in the Registration Statement, the Time of Sale Prospectus and the Prospectus: (i) there has been no material adverse change, or any development that would reasonably be expected to result in a material adverse change, in the condition, financial or otherwise, or in the earnings, business, properties, operations, assets, liabilities or prospects, whether or not arising from transactions in the ordinary course of business, of the Company and its subsidiaries, considered as one entity (any such change being referred to herein as a “</w:t>
      </w:r>
      <w:r>
        <w:rPr>
          <w:rFonts w:ascii="Times New Roman" w:cs="Times New Roman" w:eastAsia="Times New Roman" w:hAnsi="Times New Roman"/>
          <w:sz w:val="17"/>
          <w:szCs w:val="17"/>
          <w:b w:val="1"/>
          <w:bCs w:val="1"/>
          <w:color w:val="auto"/>
        </w:rPr>
        <w:t>Material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Adverse Change</w:t>
      </w:r>
      <w:r>
        <w:rPr>
          <w:rFonts w:ascii="Times New Roman" w:cs="Times New Roman" w:eastAsia="Times New Roman" w:hAnsi="Times New Roman"/>
          <w:sz w:val="17"/>
          <w:szCs w:val="17"/>
          <w:color w:val="auto"/>
        </w:rPr>
        <w:t>”); (ii) the Company and its subsidiaries, considered as one entity, have not incurred any material liability or obligation, indirect, direct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or has entered into any transactions not in the ordinary course of business; and</w:t>
      </w:r>
    </w:p>
    <w:p>
      <w:pPr>
        <w:spacing w:after="0" w:line="2" w:lineRule="exact"/>
        <w:rPr>
          <w:sz w:val="20"/>
          <w:szCs w:val="20"/>
          <w:color w:val="auto"/>
        </w:rPr>
      </w:pPr>
    </w:p>
    <w:p>
      <w:pPr>
        <w:ind w:firstLine="8"/>
        <w:spacing w:after="0" w:line="253"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decrease in the share capital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share capital, or any repurchase or redemption by the Company or any of its subsidiaries of any class of share capital.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b w:val="1"/>
          <w:bCs w:val="1"/>
          <w:i w:val="1"/>
          <w:iCs w:val="1"/>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has been duly authorized, executed and delivered by the Company and, assuming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authorization, execution and delivery by the Depositary, constitutes a valid and legally binding obligation of the Company, enforceable in accordance with its terms, except as the enforceability thereof may be limited by bankruptcy, insolvency, reorganization or similar laws relating to or affecting creditors’ rights generally or by general equitable principles. Upon due issuance by the Depositary of the Offered Securities against the deposit of the Ordinary Shares in respect thereof in accordance with the provisions of the Deposit Agreement, such Offered Securities will be duly and validly issued and the persons in whose names the Offered Securities are registered will be entitled to the rights specified in the Deposit Agreement. The issuance and sale of the Offered Securities by the Company and the deposit of the Ordinary Shares with the Custodian and the issuance of the Offered Securities as contemplated by this Agreement and the Deposit Agreement will not trigger any anti-dilution rights of any holder of any Ordinary Shares or ADSs, securities convertible into or exchangeable or exercisable for Ordinary Shares or ADSs or options, warrants or other rights to purchase Ordinary Shares or ADSs or any other securities of the Company with respect to such Ordinary Shares, ADSs, securities, options, warrants or rights, save for any rights of pre-emption under the CA 2006 that have been duly waived or disapplied. The Deposit Agreement and the ADSs conform in all material respects to each description thereof in the Time of Sale Prospectus. Each holder of ADSs issued pursuant to the Deposit Agreement shall be entitled, subject to the Deposit Agreement, to seek enforcement of its rights through the Depositary or its nominee registered as a representative of the holders of the ADSs in a direct suit, action or proceeding against the Company.</w:t>
      </w:r>
    </w:p>
    <w:p>
      <w:pPr>
        <w:spacing w:after="0" w:line="185"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(j)            </w:t>
      </w:r>
      <w:r>
        <w:rPr>
          <w:rFonts w:ascii="Times New Roman" w:cs="Times New Roman" w:eastAsia="Times New Roman" w:hAnsi="Times New Roman"/>
          <w:sz w:val="18"/>
          <w:szCs w:val="18"/>
          <w:b w:val="1"/>
          <w:bCs w:val="1"/>
          <w:i w:val="1"/>
          <w:iCs w:val="1"/>
          <w:color w:val="auto"/>
        </w:rPr>
        <w:t>Independent Accountants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PricewaterhouseCoopers LLP, which has expressed its opinion with respect to the financial statements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as used in this Agreement includes the related notes thereto) filed with the Commission as a part of the Registration Statement, the Time of Sale Prospectus and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8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(k)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financial statements filed with the Commission as a part of the Registration Statement, the Time of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and the Prospectus present fairly, in all material respects, the consolidated financial position of the Company and its subsidiaries as of the dates indicated and the results of their operations, changes in shareholders’ equity and cash flows for the periods specified. Such financial statements have been prepared in conformity with generally accepted accounting principles as applied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or incorporated by reference in the Registration Statement, the Time of Sale Prospectus or the Prospectus. The financial data set forth in each of the Registration Statement, the Time of Sale Prospectus and the Prospectus fairly presents, in all material respects, the information set forth therein on a basis consistent with that of the audited financial statements contained in or incorporated by reference in the Registration Statement, the Time of Sale Prospectus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 w:name="page10"/>
    <w:bookmarkEnd w:id="9"/>
    <w:p>
      <w:pPr>
        <w:ind w:right="500"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(l)            </w:t>
      </w:r>
      <w:r>
        <w:rPr>
          <w:rFonts w:ascii="Times New Roman" w:cs="Times New Roman" w:eastAsia="Times New Roman" w:hAnsi="Times New Roman"/>
          <w:sz w:val="17"/>
          <w:szCs w:val="17"/>
          <w:b w:val="1"/>
          <w:bCs w:val="1"/>
          <w:i w:val="1"/>
          <w:iCs w:val="1"/>
          <w:color w:val="auto"/>
        </w:rPr>
        <w:t>Company’s Accounting System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and each of its subsidiaries make and keep accurate books and records and maintain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system of internal accounting controls designed, and which the Company reasonably believes is sufficient, to provide reasonable assurance that:</w:t>
      </w:r>
    </w:p>
    <w:p>
      <w:pPr>
        <w:spacing w:after="0" w:line="1" w:lineRule="exact"/>
        <w:rPr>
          <w:sz w:val="20"/>
          <w:szCs w:val="20"/>
          <w:color w:val="auto"/>
        </w:rPr>
      </w:pPr>
    </w:p>
    <w:p>
      <w:pPr>
        <w:ind w:right="20" w:firstLine="8"/>
        <w:spacing w:after="0" w:line="251"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presents the information called for in all material respects and is prepared in accordance with the Commission’s rules and guidelines applicable thereto. The Company has not received any notice, oral or written, from the Company’s board of directors stating that it is reviewing or investigating, and neither the Company’s independent auditors nor its internal auditors have recommended that the Company’s board of directors review or investigate, (i) adding to, deleting, changing the application of, or changing the Company’s disclosure with respect to, any of the Company’s material accounting policies; or (ii) any matter which could result in a restatement of the Company’s financial statements for any annual or interim period during the current or prior three fiscal years.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(m)          </w:t>
      </w:r>
      <w:r>
        <w:rPr>
          <w:rFonts w:ascii="Times New Roman" w:cs="Times New Roman" w:eastAsia="Times New Roman" w:hAnsi="Times New Roman"/>
          <w:sz w:val="18"/>
          <w:szCs w:val="18"/>
          <w:b w:val="1"/>
          <w:bCs w:val="1"/>
          <w:i w:val="1"/>
          <w:iCs w:val="1"/>
          <w:color w:val="auto"/>
        </w:rPr>
        <w:t>Disclosure Controls and Procedures; Deficiencies in or Changes to Internal Control Over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(ii) have been evaluated by management of the Company for effectiveness as of the end of the Company’s most recent fiscal year; and (iii) 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(n)            </w:t>
      </w:r>
      <w:r>
        <w:rPr>
          <w:rFonts w:ascii="Times New Roman" w:cs="Times New Roman" w:eastAsia="Times New Roman" w:hAnsi="Times New Roman"/>
          <w:sz w:val="18"/>
          <w:szCs w:val="18"/>
          <w:b w:val="1"/>
          <w:bCs w:val="1"/>
          <w:i w:val="1"/>
          <w:iCs w:val="1"/>
          <w:color w:val="auto"/>
        </w:rPr>
        <w:t>Incorporation and Good Standing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been duly incorporated and is validly existing as a public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 the laws of England and Wales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be in good standing would not reasonably be expected, individually or in the aggregate, to have a material adverse effect on the condition (financial or otherwise), earnings, business, properties, operations, assets, liabilities or prospects of the Company and its subsidiaries, taken as a whole (a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Adverse Effect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(o)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Company’s “subsidiaries” (for purposes of this Agreement, as defined in Rule 405 under the Securities Act)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be in good standing would not reasonably be expected, individually or in the aggregate, to have a Material Adverse Effect. All of the issued and outstanding share capital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share capital or equity interest in any subsidiary of the Company was issued in violation of preemptive or similar rights of any security holder of such subsidiary. The constitutive or organizational documents of each of the Company’s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Annual Report.</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(p)            </w:t>
      </w:r>
      <w:r>
        <w:rPr>
          <w:rFonts w:ascii="Times New Roman" w:cs="Times New Roman" w:eastAsia="Times New Roman" w:hAnsi="Times New Roman"/>
          <w:sz w:val="18"/>
          <w:szCs w:val="18"/>
          <w:b w:val="1"/>
          <w:bCs w:val="1"/>
          <w:i w:val="1"/>
          <w:iCs w:val="1"/>
          <w:color w:val="auto"/>
        </w:rPr>
        <w:t>Capitalization and Other Share Capital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authorized, issued and outstanding share capital of the Company is as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and the Time of Sale Prospectus in all material respects (other than for subsequent issuances, if any, pursuant to employee benefit plans, or upon the exercise of outstanding options or warrants, in each case described in the Registration Statement and the Time of Sale Prospectus). The share capital of the Company, including the Offered Securities, conforms in all material respects to each description thereof contained in the Registration Statement and the Time of Sale Prospectus. All of the issued Ordinary Shares and issued and outstanding ADSs have been duly authorized and validly issued, are fully paid and will not be subject to any call for the payment of further capital and have been issued in compliance with all applicable securities laws. None of the issued Ordinary Shares or issued and outstanding ADSs were issued in violation of any preemptive rights, rights of first refusal or other similar rights to subscribe for or purchase securities of the Company. The form of certificates for the Ordinary Shares conform to the corporate law of the jurisdiction of England and Wales and to any requirements of the Company’s articles of association. There are no authorized or outstanding options, warrants, preemptive rights, rights of first refusal or other rights to purchase, or equity or debt securities convertible into or exchangeable or exercisable for, any share capital of the Company or any of its subsidiaries other than those described in the Registration Statement, the Time of Sale Prospectus and the Prospectus. The descriptions of the Company’s share option, share bonus and other equity plans or arrangements, and the options or other rights granted thereunder, set forth in the Registration Statement, the Time of Sale Prospectus and the Prospectus accurately and fairly presents, in all material respects, the information required to be shown with respect to such plans, arrangements, options and rights.</w:t>
      </w:r>
    </w:p>
    <w:p>
      <w:pPr>
        <w:spacing w:after="0" w:line="18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(q)            </w:t>
      </w:r>
      <w:r>
        <w:rPr>
          <w:rFonts w:ascii="Times New Roman" w:cs="Times New Roman" w:eastAsia="Times New Roman" w:hAnsi="Times New Roman"/>
          <w:sz w:val="17"/>
          <w:szCs w:val="17"/>
          <w:b w:val="1"/>
          <w:bCs w:val="1"/>
          <w:i w:val="1"/>
          <w:iCs w:val="1"/>
          <w:color w:val="auto"/>
        </w:rPr>
        <w:t>Stock Exchange Listings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ADSs are registered pursuant to Section 12(b) of the Exchange Act and are listed on The Nasdaq Global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(the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and the Company has taken no action designed to, or likely to have the effect of, terminating the registration of the ADSs under the Exchange Act or delisting the ADSs from Nasdaq, nor has the Company received any notification that the Commission or that Nasdaq is contemplating terminating such registration or listing. To the Company’s knowledge, it is in compliance with all applicable listing requirements of Nasdaq.</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(r)            </w:t>
      </w:r>
      <w:r>
        <w:rPr>
          <w:rFonts w:ascii="Times New Roman" w:cs="Times New Roman" w:eastAsia="Times New Roman" w:hAnsi="Times New Roman"/>
          <w:sz w:val="18"/>
          <w:szCs w:val="18"/>
          <w:b w:val="1"/>
          <w:bCs w:val="1"/>
          <w:i w:val="1"/>
          <w:iCs w:val="1"/>
          <w:color w:val="auto"/>
        </w:rPr>
        <w:t>Non-Contravention of Existing Instruments; No Further Authorizations or Approvals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is in (i) violation of its articles of association, partnership agreement or operating agreement or similar constitutional or organizational documents, as applicable or (ii) default (or, with the giving of notice or lapse of time, would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8"/>
          <w:szCs w:val="18"/>
          <w:b w:val="1"/>
          <w:bCs w:val="1"/>
          <w:color w:val="auto"/>
        </w:rPr>
        <w:t>Existing Instrument</w:t>
      </w:r>
      <w:r>
        <w:rPr>
          <w:rFonts w:ascii="Times New Roman" w:cs="Times New Roman" w:eastAsia="Times New Roman" w:hAnsi="Times New Roman"/>
          <w:sz w:val="18"/>
          <w:szCs w:val="18"/>
          <w:color w:val="auto"/>
        </w:rPr>
        <w:t>”), except for such Defaults as would not reasonably be expected, individually or in the aggregate, to have a Material Adverse Effect. The Company’s execution, delivery and performance of this Agreement, consummation of the transactions contemplated hereby, by the Deposit Agreement and by the Registration Statement, the F-6 Registration Statement, the Time of Sale Prospectus and the Prospectus and the issuance and sale of the Offered Securities (including the use of proceeds from the sale of the Offered Securities as described in the Registration Statement, the Time of Sale Prospectus and the Prospectus under the caption “Use of Proceeds”) (i) have been duly authorized by all necessary corporate action and will not result in any violation of the provisions of the articles of association, partnership agreement or operating agreement or similar constitutional or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in the case of clauses (ii) and (iii), as would not reasonably be expected, individually or in the aggregate, to have a Material Adverse Effect.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by the Deposit Agreement and by the Registration Statement, the F-6 Registration Statement, the Time of Sale Prospectus and the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the CA 2006 or Nasdaq. As used herein,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4" w:lineRule="exact"/>
        <w:rPr>
          <w:sz w:val="20"/>
          <w:szCs w:val="20"/>
          <w:color w:val="auto"/>
        </w:rPr>
      </w:pPr>
    </w:p>
    <w:p>
      <w:pPr>
        <w:ind w:right="120"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(s)            </w:t>
      </w:r>
      <w:r>
        <w:rPr>
          <w:rFonts w:ascii="Times New Roman" w:cs="Times New Roman" w:eastAsia="Times New Roman" w:hAnsi="Times New Roman"/>
          <w:sz w:val="17"/>
          <w:szCs w:val="17"/>
          <w:b w:val="1"/>
          <w:bCs w:val="1"/>
          <w:i w:val="1"/>
          <w:iCs w:val="1"/>
          <w:color w:val="auto"/>
        </w:rPr>
        <w:t>Compliance with Laws.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and its subsidiaries have been and are in compliance with all applicable laws, rules and regulations,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where failure to be so in compliance would not reasonably be expected, individually or in the aggregate, to have a Material Adverse Effect.</w:t>
      </w:r>
    </w:p>
    <w:p>
      <w:pPr>
        <w:spacing w:after="0" w:line="13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(t)            </w:t>
      </w:r>
      <w:r>
        <w:rPr>
          <w:rFonts w:ascii="Times New Roman" w:cs="Times New Roman" w:eastAsia="Times New Roman" w:hAnsi="Times New Roman"/>
          <w:sz w:val="18"/>
          <w:szCs w:val="18"/>
          <w:b w:val="1"/>
          <w:bCs w:val="1"/>
          <w:i w:val="1"/>
          <w:iCs w:val="1"/>
          <w:color w:val="auto"/>
        </w:rPr>
        <w:t>No Material Actions or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is no action, suit, proceeding, inquiry or investigation brought by or before any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now pending or, to the knowledge of the Company, threatened, against or affecting the Company or any of its subsidiaries, which would reasonably be expected, individually or in the aggregate, to have a Material Adverse Effect or materially and adversely affect the consummation of the transactions contemplated by this Agreement or the Deposit Agreement or the performance by the Company of its obligations hereunder or thereunder; and the aggregate of all pending legal or governmental proceedings to which the Company or any such subsidiary is a party or of which any of their respective properties or assets is the subject, including ordinary routine litigation incidental to the business, if determined adversely to the Company, would not reasonably be expected to have a Material Adverse Effect.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b w:val="1"/>
          <w:bCs w:val="1"/>
          <w:color w:val="auto"/>
        </w:rPr>
        <w:t>(u)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disclosed in the Registration Statement, the Time of Sale Prospectus and the Prospectus:</w:t>
      </w:r>
    </w:p>
    <w:p>
      <w:pPr>
        <w:spacing w:after="0" w:line="229"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(i)            The Company and its subsidiaries own or possess sufficient legal rights to all inventions, patent applications, patents, trademarks, trade names, service names, copyrights, trade secrets and other intellectual property described in the Registration Statement, the Time of Sale Prospectus and the Prospectus as necessary for the conduct of their respective businesses as currently conducted or as currently proposed to be conducted (collectively, “</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(ii)            The product candidates described in the Registration Statement, the Time of Sale Prospectus and the Prospectus as under development by the Company or any subsidiary fall within the scope of claims of one or more patents owned by, or exclusively licensed to, the Company or any subsidiary, except as would not reasonably be expected to have, individually or in the aggregate, a Material Adverse Effect.</w:t>
      </w:r>
    </w:p>
    <w:p>
      <w:pPr>
        <w:spacing w:after="0" w:line="176"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(iii)            To the Company’s knowledge, no third party has infringed or is infringing any Company Intellectual Property or has otherwise misappropriated or is otherwise misappropriating any Company Intellectual Property.</w:t>
      </w:r>
    </w:p>
    <w:p>
      <w:pPr>
        <w:spacing w:after="0" w:line="162"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(iv)            To the Company’s knowledge, no Company product or service used, reproduced, modified, distributed, licensed, sublicensed, marketed or sold (or proposed to be used, reproduced, modified, distributed, licensed, sublicensed, marketed or sold) by the Company violates or will violate any license or infringes or will infringe any rights to intellectual property of any other party. The Company has not received any communications alleging that the Company has violated or, by conducting its business, would infringe, misappropriate, dilute, violate or otherwise use without authorization any intellectual property of any third party. The Company is not aware of any potential infringement of any third party intellectual property, nor is it aware of any facts which would form a reasonable basis for such infringement.</w:t>
      </w:r>
    </w:p>
    <w:p>
      <w:pPr>
        <w:spacing w:after="0" w:line="187"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(v)            Other than with respect to commercially available software products under standard end-user object code license agreements, the Company is not aware of any outstanding option, license, agreement, claim, encumbrance or shared ownership interest of any kind relating to the Company Intellectual Property, nor is the Company aware of any options, licenses or agreements of any kind with respect to the intellectual property of any other Person other than what is disclosed in the Registration Statement, the Time of Sale Prospectus and the Prospectus.</w:t>
      </w:r>
    </w:p>
    <w:p>
      <w:pPr>
        <w:spacing w:after="0" w:line="180"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(vi)            To the Company’s knowledge, each item of the Company Intellectual Property properly identifies each and every inventor of the claims thereof as determined in accordance with the law of the jurisdiction in which such Company Intellectual Property is issued or pending.</w:t>
      </w:r>
    </w:p>
    <w:p>
      <w:pPr>
        <w:spacing w:after="0" w:line="162" w:lineRule="exact"/>
        <w:rPr>
          <w:sz w:val="20"/>
          <w:szCs w:val="20"/>
          <w:color w:val="auto"/>
        </w:rPr>
      </w:pPr>
    </w:p>
    <w:p>
      <w:pPr>
        <w:jc w:val="both"/>
        <w:ind w:right="60" w:firstLine="1296"/>
        <w:spacing w:after="0" w:line="266" w:lineRule="auto"/>
        <w:rPr>
          <w:sz w:val="20"/>
          <w:szCs w:val="20"/>
          <w:color w:val="auto"/>
        </w:rPr>
      </w:pPr>
      <w:r>
        <w:rPr>
          <w:rFonts w:ascii="Times New Roman" w:cs="Times New Roman" w:eastAsia="Times New Roman" w:hAnsi="Times New Roman"/>
          <w:sz w:val="18"/>
          <w:szCs w:val="18"/>
          <w:color w:val="auto"/>
        </w:rPr>
        <w:t>(vii)            To the Company’s knowledge, the Company is not in breach of any agreement affecting the Company Intellectual Property, and has not taken any action that would impair or otherwise adversely affects its rights in the Company Intellectual Property, except, in each case, as would not reasonably be expected to have, individually or in the aggregate, a Material Adverse Effect.</w:t>
      </w:r>
    </w:p>
    <w:p>
      <w:pPr>
        <w:spacing w:after="0" w:line="176" w:lineRule="exact"/>
        <w:rPr>
          <w:sz w:val="20"/>
          <w:szCs w:val="20"/>
          <w:color w:val="auto"/>
        </w:rPr>
      </w:pPr>
    </w:p>
    <w:p>
      <w:pPr>
        <w:ind w:right="3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(viii)            No proceedings are pending or, to the Company’s knowledge, threatened which challenge the validity, enforceability, scope, ownership or use of any Company Intellectual Property. The Company Intellectual Property is not subject to any outstanding order,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opposition, cancellation proceeding or other post-issuance proceeding. The Company is not aware of any facts which would form a reasonable basis for any such proceedings described in this paragraph (viii) and which would be expected to have, individually or in the aggregate, a Material Adverse Effect.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 w:name="page14"/>
    <w:bookmarkEnd w:id="13"/>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(ix)            To the Company’s knowledge, the Company Intellectual Property is valid and enforceable, and there are no published patent rights, articles, or other prior art references, or any other prior art or material information, that could render invalid or unenforceable or could prevent the issuance of, in whole or in part, any of the granted Company Intellectual Property or any claim therein. All material prior art of which the Company was aware during the pendency of any application relating to any Company Intellectual Property was properly filed with the patent authorities in the applicable jurisdiction in which such application was pending. For all Company Intellectual Property, the Company and its representatives have met their duty of candor as required under 37 C.F.R. 1.56 and complied with analogous law outside the United States requiring disclosure of references.</w:t>
      </w:r>
    </w:p>
    <w:p>
      <w:pPr>
        <w:spacing w:after="0" w:line="187" w:lineRule="exact"/>
        <w:rPr>
          <w:sz w:val="20"/>
          <w:szCs w:val="20"/>
          <w:color w:val="auto"/>
        </w:rPr>
      </w:pPr>
    </w:p>
    <w:p>
      <w:pPr>
        <w:jc w:val="both"/>
        <w:ind w:right="200" w:firstLine="1296"/>
        <w:spacing w:after="0" w:line="266" w:lineRule="auto"/>
        <w:rPr>
          <w:sz w:val="20"/>
          <w:szCs w:val="20"/>
          <w:color w:val="auto"/>
        </w:rPr>
      </w:pPr>
      <w:r>
        <w:rPr>
          <w:rFonts w:ascii="Times New Roman" w:cs="Times New Roman" w:eastAsia="Times New Roman" w:hAnsi="Times New Roman"/>
          <w:sz w:val="18"/>
          <w:szCs w:val="18"/>
          <w:color w:val="auto"/>
        </w:rPr>
        <w:t>(x)            To the Company’s knowledge, the Company has taken all actions reasonably necessary to protect, and where necessary register, the copyrights, trademarks, patent rights and trade secrets owned by or licensed exclusively to the Company (solely where the Company has the right to take such actions as to in-licensed intellectual property rights).</w:t>
      </w:r>
    </w:p>
    <w:p>
      <w:pPr>
        <w:spacing w:after="0" w:line="17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(xi)            Each current and former employee and individual contractor of the Company who is or was involved in the creation or development of any Company Intellectual Property has executed and delivered and, to the Company’s knowledge, is in compliance with an employment or consulting agreement containing non-disclosure, assignment and non-solicitation provisions, except as could not reasonably be expected to have, individually or in the aggregate, a Material Adverse Effect.</w:t>
      </w:r>
    </w:p>
    <w:p>
      <w:pPr>
        <w:spacing w:after="0" w:line="180"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(xii)          To the Company’s knowledge, none of the Company’s employees or individual contractors is obligated under any agreement, commitment, judgment, decree or order that would or could reasonably be expected to either interfere with the use of his or her best efforts to promote the interests of the Company or conflict with its business as conducted or proposed to be conducted.</w:t>
      </w:r>
    </w:p>
    <w:p>
      <w:pPr>
        <w:spacing w:after="0" w:line="176"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(xiii)          To the Company’s knowledge, the Company is not using, and it will not be necessary to use, (A) any inventions of any of their past or present employees or individual contractors (or people currently intended to be hired) made prior to or outside the scope of their employment or consulting agreement with the Company or (B) any confidential information or trade secret of any former employer of any such person.</w:t>
      </w:r>
    </w:p>
    <w:p>
      <w:pPr>
        <w:spacing w:after="0" w:line="17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(v)            </w:t>
      </w:r>
      <w:r>
        <w:rPr>
          <w:rFonts w:ascii="Times New Roman" w:cs="Times New Roman" w:eastAsia="Times New Roman" w:hAnsi="Times New Roman"/>
          <w:sz w:val="18"/>
          <w:szCs w:val="18"/>
          <w:b w:val="1"/>
          <w:bCs w:val="1"/>
          <w:i w:val="1"/>
          <w:iCs w:val="1"/>
          <w:color w:val="auto"/>
        </w:rPr>
        <w:t>All Necessary Permits,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subsidiaries possess such valid and current certificates, authorizations or permits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state, federal or foreign regulatory agencies or bodies to conduct their respective businesses as currently conducted and as described in the Registration Statement, the Time of Sale Prospectus or the Prospectus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except where failure to possess such Permits would not reasonably be expected, individually or in the aggregate, to result in a Material Adverse Effect. Neither the Company nor any of its subsidiaries is in violation of, or in default under, any of the Permits or has received any written notice of proceedings relating to the revocation or modification of, or non-compliance with, any such certificate, authorization or permit, except in each case as would not reasonably be expected, individually or in the aggregate, to result in a Material Adverse Effect.</w:t>
      </w:r>
    </w:p>
    <w:p>
      <w:pPr>
        <w:spacing w:after="0" w:line="183"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(w)            </w:t>
      </w:r>
      <w:r>
        <w:rPr>
          <w:rFonts w:ascii="Times New Roman" w:cs="Times New Roman" w:eastAsia="Times New Roman" w:hAnsi="Times New Roman"/>
          <w:sz w:val="18"/>
          <w:szCs w:val="18"/>
          <w:b w:val="1"/>
          <w:bCs w:val="1"/>
          <w:i w:val="1"/>
          <w:iCs w:val="1"/>
          <w:color w:val="auto"/>
        </w:rPr>
        <w:t>Title to Properties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subsidiaries have good and marketable title to all of the real and personal property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reflected as owned in the financial statements referred to in Section 1(k) above (or elsewhere in the Registration Statement, the Time of Sale Prospectus or the Prospectus), in each case free and clear of any security interests, mortgages, liens, encumbrances, equities, adverse claims and other defects, except such as would not reasonably be expected, individually or in the aggregate, to have a Material Adverse Effect.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4" w:name="page15"/>
    <w:bookmarkEnd w:id="14"/>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(x)            </w:t>
      </w:r>
      <w:r>
        <w:rPr>
          <w:rFonts w:ascii="Times New Roman" w:cs="Times New Roman" w:eastAsia="Times New Roman" w:hAnsi="Times New Roman"/>
          <w:sz w:val="18"/>
          <w:szCs w:val="18"/>
          <w:b w:val="1"/>
          <w:bCs w:val="1"/>
          <w:i w:val="1"/>
          <w:iCs w:val="1"/>
          <w:color w:val="auto"/>
        </w:rPr>
        <w:t>Tax Law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subsidiaries have filed all necessary non-U.S. and U.S. (federal and state) tax returns or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properly requested extensions thereof and such returns were when filed complete and correct, and have paid all taxes required to be paid by any of them and, if due and payable, any related or similar assessment, fine or penalty levied against any of them except as may be being contested in good faith and by appropriate proceedings or where the failure to file such tax returns or to pay such taxes would not, individually or in the aggregate, result in a Material Adverse Effect. The Company and its subsidiaries do not have any tax deficiencies or claims outstanding or assessed or, to the Company’s knowledge, proposed against them except as would not, individually or in the aggregate, result in a Material Adverse Effect. The Company has made adequate charges, accruals and reserves in the applicable financial statements referred to in Section 1(k) above in respect of all material taxes and related material liabilities for all periods as to which the tax liability of the Company or any of its subsidiaries has not been finally determined (including, for the avoidance of doubt, in respect of all material taxes and related material liabilities which are tax deficiencies or claims, whether proposed or otherwise).</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(y)            </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disclosed in the Registration Statement and the Prospectus, no stamp duty, stamp duty reserve,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documentary, transfer or other similar taxes or duties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are payable in the United Kingdom or the United States by or on behalf of the Underwriters in connection with (i) the allotment, creation, issuance and delivery of the Ordinary Shares and the Offered Securities (or the ADRs evidencing the Offered Securities, if any) in the manner contemplated by this Agreement and the Deposit Agreement; (ii) the sale and delivery of the Offered Securities (or the ADRs evidencing the Offered Securities, if any) to or for the account of the Underwriters, in each case in the manner contemplated by this Agreement and the Deposit Agreement; (iii) the sale and delivery by the Underwriters of the Offered Securities (or the ADRs evidencing the Offered Securities, if any) to the initial purchasers thereof in the manner contemplated by this Agreement and the Deposit Agreement; or (iv) the execution and delivery of this Agreement or the Deposit Agreement.</w:t>
      </w:r>
    </w:p>
    <w:p>
      <w:pPr>
        <w:spacing w:after="0" w:line="18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(z)            </w:t>
      </w: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Company and its subsidiaries are insured by recognized, financially sound and reputable institutions with policies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 Neither the Company nor any of its subsidiaries has been denied any insurance coverage which it has sought or for which it has applied.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b w:val="1"/>
          <w:bCs w:val="1"/>
          <w:color w:val="auto"/>
        </w:rPr>
        <w:t>(aa)        </w:t>
      </w:r>
      <w:r>
        <w:rPr>
          <w:rFonts w:ascii="Times New Roman" w:cs="Times New Roman" w:eastAsia="Times New Roman" w:hAnsi="Times New Roman"/>
          <w:sz w:val="18"/>
          <w:szCs w:val="18"/>
          <w:b w:val="1"/>
          <w:bCs w:val="1"/>
          <w:i w:val="1"/>
          <w:iCs w:val="1"/>
          <w:color w:val="auto"/>
        </w:rPr>
        <w:t>Compliance with Environmental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would not reasonably be expected, individually or in the aggregate, to have a Material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 (i) neither the Company nor any of its subsidiaries is in violation of any federal, state, local or foreign statute, law, rule,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ordinance, code, policy or rule of common law or any judicial or administrative interpretation thereof, including any judicial or administrative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decree or judgment, relating to pollution or protection of human health, the environment (including, without limitation, ambient air, surface water,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groundwater, land surface or subsurface strata) or wildlife, including, without limitation, laws and regulations relating to the release or threatened release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chemicals, pollutants, contaminants, wastes, toxic substances, hazardous substances, petroleum or petroleum products (collectively, “</w:t>
      </w:r>
      <w:r>
        <w:rPr>
          <w:rFonts w:ascii="Times New Roman" w:cs="Times New Roman" w:eastAsia="Times New Roman" w:hAnsi="Times New Roman"/>
          <w:sz w:val="18"/>
          <w:szCs w:val="18"/>
          <w:b w:val="1"/>
          <w:bCs w:val="1"/>
          <w:color w:val="auto"/>
        </w:rPr>
        <w:t>Hazardous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the Company and its subsidiaries have all permits, authorizations and approvals required under any applicable Environmental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and are each in compliance with their requirements; (iii) there are no pending or threatened administrative, regulatory or judicial actions, suits,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demands, demand letters, claims, liens, notices of non-compliance or violation, investigation or proceedings relating to any Environmental Law against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of its subsidiaries; and (iv) there are no events or circumstances that might reasonably be expected to form the basis of an order for clean-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or remediation, or an action, suit or proceeding by any private party or governmental body or agency, against or affecting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relating to Hazardous Materials or any Environmental Laws.</w:t>
      </w:r>
    </w:p>
    <w:p>
      <w:pPr>
        <w:spacing w:after="0" w:line="20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(bb)        </w:t>
      </w:r>
      <w:r>
        <w:rPr>
          <w:rFonts w:ascii="Times New Roman" w:cs="Times New Roman" w:eastAsia="Times New Roman" w:hAnsi="Times New Roman"/>
          <w:sz w:val="18"/>
          <w:szCs w:val="18"/>
          <w:b w:val="1"/>
          <w:bCs w:val="1"/>
          <w:i w:val="1"/>
          <w:iCs w:val="1"/>
          <w:color w:val="auto"/>
        </w:rPr>
        <w:t>ERISA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subsidiaries and any “employee benefit plan” (as defined under the Employee Retirement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Security Act of 1974, as amended, and the regulations and published interpretations thereunder (collectively,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87"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(cc)        </w:t>
      </w:r>
      <w:r>
        <w:rPr>
          <w:rFonts w:ascii="Times New Roman" w:cs="Times New Roman" w:eastAsia="Times New Roman" w:hAnsi="Times New Roman"/>
          <w:sz w:val="18"/>
          <w:szCs w:val="18"/>
          <w:b w:val="1"/>
          <w:bCs w:val="1"/>
          <w:i w:val="1"/>
          <w:iCs w:val="1"/>
          <w:color w:val="auto"/>
        </w:rPr>
        <w:t>Company Not an “Investment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not, and will not be, either after receipt of payment for the Offered Securities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(dd)        </w:t>
      </w:r>
      <w:r>
        <w:rPr>
          <w:rFonts w:ascii="Times New Roman" w:cs="Times New Roman" w:eastAsia="Times New Roman" w:hAnsi="Times New Roman"/>
          <w:sz w:val="18"/>
          <w:szCs w:val="18"/>
          <w:b w:val="1"/>
          <w:bCs w:val="1"/>
          <w:i w:val="1"/>
          <w:iCs w:val="1"/>
          <w:color w:val="auto"/>
        </w:rPr>
        <w:t>No Price Stabilization or Manipulation; Compliance with Regulation 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its subsidiaries nor,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knowledge, any of their respective directors, officers or affiliates has taken, directly or indirectly, any action designed to or that would reasonably be expected to cause or result in stabilization or manipulation of the price of the Offered Securities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with respect to the Offered Securities, whether to facilitate the sale or resale of the Offered Securities or otherwise, and has taken no action which would directly or indirectly violate Regulation M.</w:t>
      </w:r>
    </w:p>
    <w:p>
      <w:pPr>
        <w:spacing w:after="0" w:line="179"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(ee)        </w:t>
      </w:r>
      <w:r>
        <w:rPr>
          <w:rFonts w:ascii="Times New Roman" w:cs="Times New Roman" w:eastAsia="Times New Roman" w:hAnsi="Times New Roman"/>
          <w:sz w:val="18"/>
          <w:szCs w:val="18"/>
          <w:b w:val="1"/>
          <w:bCs w:val="1"/>
          <w:i w:val="1"/>
          <w:iCs w:val="1"/>
          <w:color w:val="auto"/>
        </w:rPr>
        <w:t>Related-Party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no business relationships or related-party transactions involving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or any other person required to be described in the Registration Statement, the Time of Sale Prospectus or the Prospectus that have not been described as required.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(ff)          </w:t>
      </w:r>
      <w:r>
        <w:rPr>
          <w:rFonts w:ascii="Times New Roman" w:cs="Times New Roman" w:eastAsia="Times New Roman" w:hAnsi="Times New Roman"/>
          <w:sz w:val="18"/>
          <w:szCs w:val="18"/>
          <w:b w:val="1"/>
          <w:bCs w:val="1"/>
          <w:i w:val="1"/>
          <w:iCs w:val="1"/>
          <w:color w:val="auto"/>
        </w:rPr>
        <w:t>FINRA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information provided to the Underwriters or to counsel for the Underwriters by the Company and,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its counsel, its officers and directors and the holders of any securities (debt or equity) or options to acquire any securities of the Company in connection with the offering of the Offered Securities is true, complete, correct in all material respects and compliant with FINRA’s rules and any letters, filings or other supplemental information provided to FINRA pursuant to FINRA Rules or NASD Conduct Rules is true, complete and correct in all material respects. The Company meets the definition of the term “experienced issuer” specified in FINRA Rule 5110(j)(6).</w:t>
      </w:r>
    </w:p>
    <w:p>
      <w:pPr>
        <w:spacing w:after="0" w:line="179"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(gg)        </w:t>
      </w:r>
      <w:r>
        <w:rPr>
          <w:rFonts w:ascii="Times New Roman" w:cs="Times New Roman" w:eastAsia="Times New Roman" w:hAnsi="Times New Roman"/>
          <w:sz w:val="18"/>
          <w:szCs w:val="18"/>
          <w:b w:val="1"/>
          <w:bCs w:val="1"/>
          <w:i w:val="1"/>
          <w:iCs w:val="1"/>
          <w:color w:val="auto"/>
        </w:rPr>
        <w:t>Parties to Lock-Up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furnished to the Underwriters a letter agreement in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xml:space="preserve">”) from each of the persons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lists under an appropriate caption the directors and executive officers of the Company. If any additional persons shall become directors or executive officers of the Company prior to the end of the Company Lock-up Period (as defined below), the Company shall cause each such person, prior to or contemporaneously with their appointment or election as a director or executive officer of the Company, to execute and deliver to the Representatives a Lock-up Agreement.</w:t>
      </w:r>
    </w:p>
    <w:p>
      <w:pPr>
        <w:spacing w:after="0" w:line="179"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(hh)        </w:t>
      </w:r>
      <w:r>
        <w:rPr>
          <w:rFonts w:ascii="Times New Roman" w:cs="Times New Roman" w:eastAsia="Times New Roman" w:hAnsi="Times New Roman"/>
          <w:sz w:val="18"/>
          <w:szCs w:val="18"/>
          <w:b w:val="1"/>
          <w:bCs w:val="1"/>
          <w:i w:val="1"/>
          <w:iCs w:val="1"/>
          <w:color w:val="auto"/>
        </w:rPr>
        <w:t>Statistical and Market-Related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statistical, demographic and market-related data included or incorporated by reference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the Time of Sale Prospectus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176"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b w:val="1"/>
          <w:bCs w:val="1"/>
          <w:i w:val="1"/>
          <w:iCs w:val="1"/>
          <w:color w:val="auto"/>
        </w:rPr>
        <w:t>No Unlawful Contributions or Other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its subsidiaries nor, to the Company’s knowledge,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(jj)          </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its subsidiaries nor, to the Company’s knowledge, their respective affiliates,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director, officer or employee of the Company or any of its subsidiaries or their respective affiliates, nor any agent, representative or other person associated with or acting on behalf of the Company or any of its subsidiaries or their respective affiliates, has, in the course of its actions for, or on behalf of, the Company or any of its subsidiaries (i) used any corporate funds for any unlawful contribution, gift, entertainment or other unlawful expenses relating to political activity; (ii) made or taken an act in furtherance of an offer, promise or authorization of any direct or indirect unlawful payment or benefit to any domestic government official, “foreign official” (as defined in the U.S. Foreign Corrupt Practices Act of 1977, as amended, and the rules and regulations thereunder (collectively,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FCPA, the UK Bribery Act 2010 or any other applicable anti-bribery or anti-corruption laws; or (iv) made, offered, agreed, requested or taken an act in furtherance of any unlawful bribe, rebate, payoff, influence payment, kickback or other unlawful or improper payment or benefit; and the Company and its subsidiaries and, to the Company’s knowledge, its affiliates have conducted their respective businesses in compliance with the applicable anti-bribery and anti-corruption laws and have instituted and maintain and continue to maintain policies and procedures designed to ensure, and which are reasonably expected to continue to ensure, continued compliance with such laws and with the representation and warranty contained herein. In addition, the Company and its subsidiaries have adequate procedures in accordance with guidelines published under section 9 of the UK Bribery Act 2010 by the Secretary of State in place to prevent any persons who perform services for or on behalf of the Company or any of its subsidiaries from bribing another person (within the meaning given in section 7(3) of the UK Bribery Act 2010) intending to obtain or retain business or an advantage in the conduct of business for the Company or any of its subsidiaries.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7" w:name="page18"/>
    <w:bookmarkEnd w:id="17"/>
    <w:p>
      <w:pPr>
        <w:ind w:right="1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(kk)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operations of the Company and its subsidiaries are, and have been conducted at all times, in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(ll)          </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its subsidiaries, directors, officers, or employees, nor, to the knowledge of the Company, after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inquiry, any agent, affiliate or other person acting on behalf of the Company or any of its subsidiaries is currently the subject or target of any U.S. sanctions administered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the United Nations Security Council, the European Union, Her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comprehensive Sanctions broadly prohibiting dealings with such country or territory (currently, Cuba, Iran, North Korea, Syria, and the Crimea, so-called Donetsk People’s Republic, and so-called Luhansk People’s Republic regions of Ukraine) (collectively, the “</w:t>
      </w:r>
      <w:r>
        <w:rPr>
          <w:rFonts w:ascii="Times New Roman" w:cs="Times New Roman" w:eastAsia="Times New Roman" w:hAnsi="Times New Roman"/>
          <w:sz w:val="18"/>
          <w:szCs w:val="18"/>
          <w:b w:val="1"/>
          <w:bCs w:val="1"/>
          <w:color w:val="auto"/>
        </w:rPr>
        <w:t>Sanctioned Countries</w:t>
      </w:r>
      <w:r>
        <w:rPr>
          <w:rFonts w:ascii="Times New Roman" w:cs="Times New Roman" w:eastAsia="Times New Roman" w:hAnsi="Times New Roman"/>
          <w:sz w:val="18"/>
          <w:szCs w:val="18"/>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involving any person or Sanctioned Country that, at the time of such financing, is the subject or the target of any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87"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(mm)       </w:t>
      </w:r>
      <w:r>
        <w:rPr>
          <w:rFonts w:ascii="Times New Roman" w:cs="Times New Roman" w:eastAsia="Times New Roman" w:hAnsi="Times New Roman"/>
          <w:sz w:val="18"/>
          <w:szCs w:val="18"/>
          <w:b w:val="1"/>
          <w:bCs w:val="1"/>
          <w:i w:val="1"/>
          <w:iCs w:val="1"/>
          <w:color w:val="auto"/>
        </w:rPr>
        <w:t>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pursuant to this Agreement, there is no broker, finder or other party that is entitled to receive from the Company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brokerage or finder’s fee or other fee or commission as a result of any transactions contemplated by this Agreement.</w:t>
      </w:r>
    </w:p>
    <w:p>
      <w:pPr>
        <w:spacing w:after="0" w:line="155"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(nn)         </w:t>
      </w:r>
      <w:r>
        <w:rPr>
          <w:rFonts w:ascii="Times New Roman" w:cs="Times New Roman" w:eastAsia="Times New Roman" w:hAnsi="Times New Roman"/>
          <w:sz w:val="18"/>
          <w:szCs w:val="18"/>
          <w:b w:val="1"/>
          <w:bCs w:val="1"/>
          <w:i w:val="1"/>
          <w:iCs w:val="1"/>
          <w:color w:val="auto"/>
        </w:rPr>
        <w:t>Submission to Jurisdiction</w:t>
      </w:r>
      <w:r>
        <w:rPr>
          <w:rFonts w:ascii="Times New Roman" w:cs="Times New Roman" w:eastAsia="Times New Roman" w:hAnsi="Times New Roman"/>
          <w:sz w:val="18"/>
          <w:szCs w:val="18"/>
          <w:color w:val="auto"/>
        </w:rPr>
        <w:t>. The Company has the power to submit, and pursuant to Section 18 of this Agreement, has legally,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and irrevocably submitted, to the personal jurisdiction of each United States federal court and New York state court located in the Borough of Manhattan, in the City of New York, New York, U.S.A. (each, a “</w:t>
      </w:r>
      <w:r>
        <w:rPr>
          <w:rFonts w:ascii="Times New Roman" w:cs="Times New Roman" w:eastAsia="Times New Roman" w:hAnsi="Times New Roman"/>
          <w:sz w:val="18"/>
          <w:szCs w:val="18"/>
          <w:b w:val="1"/>
          <w:bCs w:val="1"/>
          <w:color w:val="auto"/>
        </w:rPr>
        <w:t>New York Court</w:t>
      </w:r>
      <w:r>
        <w:rPr>
          <w:rFonts w:ascii="Times New Roman" w:cs="Times New Roman" w:eastAsia="Times New Roman" w:hAnsi="Times New Roman"/>
          <w:sz w:val="18"/>
          <w:szCs w:val="18"/>
          <w:color w:val="auto"/>
        </w:rPr>
        <w:t>”), and the Company has the power to designate, appoint and authorize, and pursuant to Section 18 of this Agreement, has legally, validly, effectively and irrevocably designated, appointed and authorized an agent for service of process in any action arising out of or relating to this Agreement or the Offered Securities in any New York Court, and service of process effected on such authorized agent will be effective to confer valid personal jurisdiction over the Company as provided in Section 18 hereof.</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(oo)          </w:t>
      </w:r>
      <w:r>
        <w:rPr>
          <w:rFonts w:ascii="Times New Roman" w:cs="Times New Roman" w:eastAsia="Times New Roman" w:hAnsi="Times New Roman"/>
          <w:sz w:val="18"/>
          <w:szCs w:val="18"/>
          <w:b w:val="1"/>
          <w:bCs w:val="1"/>
          <w:i w:val="1"/>
          <w:iCs w:val="1"/>
          <w:color w:val="auto"/>
        </w:rPr>
        <w:t>Enforceability of Judgement</w:t>
      </w:r>
      <w:r>
        <w:rPr>
          <w:rFonts w:ascii="Times New Roman" w:cs="Times New Roman" w:eastAsia="Times New Roman" w:hAnsi="Times New Roman"/>
          <w:sz w:val="18"/>
          <w:szCs w:val="18"/>
          <w:color w:val="auto"/>
        </w:rPr>
        <w:t>. Any final judgment for a fixed or readily calculable sum of money rendered by a New York Court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under its own domestic laws and recognized by the English courts as having jurisdiction (according to English conflicts of laws principles and rules of English private international law at the time when proceedings were initiated) to give such final judgment in respect of any suit, action or proceeding against the Company based upon this Agreement or the Deposit Agreement and any instruments or agreements entered into for the consummation of the transactions contemplated herein and therein would be declared enforceable against the Company, without re-examination or review of the merits of the cause of action in respect of which the original judgment was given or re-litigation of the matters adjudicated upon, by the courts of England and Wales; provided, however, that the Company may have defenses open to it and enforcement may not be permitted if, among other things,</w:t>
      </w:r>
    </w:p>
    <w:p>
      <w:pPr>
        <w:spacing w:after="0" w:line="1" w:lineRule="exact"/>
        <w:rPr>
          <w:sz w:val="20"/>
          <w:szCs w:val="20"/>
          <w:color w:val="auto"/>
        </w:rPr>
      </w:pPr>
    </w:p>
    <w:p>
      <w:pPr>
        <w:ind w:firstLine="8"/>
        <w:spacing w:after="0" w:line="251" w:lineRule="auto"/>
        <w:tabs>
          <w:tab w:leader="none" w:pos="2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obtained by fraud, or in proceedings contrary to natural or substantial justice, or contravenes public policy in England or the Human Rights Act 1998 (or any subordinate legislation made thereunder, to the extent applicable); (b) the judgment is for a sum payable in respect of taxes, or other charges of a like nature or is in respect of a fine or other penalty or otherwise based on a foreign law that an English court considers to relate to a penal, revenue or other public law; (c) the judgment amounts to judgment on a matter previously determined by an English court or conflicts with a judgment on the same matter given by a court other than a New York Court or was obtained in breach of a jurisdiction or arbitration clause except with the agreement of the defendant or the defendant’s subsequent submission to the jurisdiction of the court; (d) the judgment is given in proceedings brought in breach of an agreement for the settlement of disputes; (e) the judgment has been arrived at by doubling, trebling or otherwise multiplying a sum assessed as compensation for the loss or damage sustained, or is a judgment that is otherwise specified in section 5 of the Protection of Trading Interests Act 1980, or is a judgment based on measures designated by the Secretary of State under section 1 of that Act; and (f) enforcement proceedings are not commenced within six years of the date of such judgment. The Company is not aware of any reason why the enforcement in England and Wales of such a New York Court judgment would be, as of the date hereof, contrary to public policy of England and Wales or the Human Rights Act 1998 (or any subordinate legislation made thereunder, to the extent applicable.</w:t>
      </w:r>
    </w:p>
    <w:p>
      <w:pPr>
        <w:spacing w:after="0" w:line="18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(pp)         </w:t>
      </w:r>
      <w:r>
        <w:rPr>
          <w:rFonts w:ascii="Times New Roman" w:cs="Times New Roman" w:eastAsia="Times New Roman" w:hAnsi="Times New Roman"/>
          <w:sz w:val="18"/>
          <w:szCs w:val="18"/>
          <w:b w:val="1"/>
          <w:bCs w:val="1"/>
          <w:i w:val="1"/>
          <w:iCs w:val="1"/>
          <w:color w:val="auto"/>
        </w:rPr>
        <w:t>No Rights of Immunity</w:t>
      </w:r>
      <w:r>
        <w:rPr>
          <w:rFonts w:ascii="Times New Roman" w:cs="Times New Roman" w:eastAsia="Times New Roman" w:hAnsi="Times New Roman"/>
          <w:sz w:val="18"/>
          <w:szCs w:val="18"/>
          <w:color w:val="auto"/>
        </w:rPr>
        <w:t>. Except as provided by laws or statutes generally applicable to transactions of the type described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neither the Company nor any of its respective properties, assets or revenues has any right of immunity under United Kingdom, New York or United States law, from any legal action, suit or proceeding, from the giving of any relief in any such legal action, suit or proceeding, from set-off or counterclaim, from the jurisdiction of any law of the United Kingdom,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18 of this Agreement.</w:t>
      </w:r>
    </w:p>
    <w:p>
      <w:pPr>
        <w:spacing w:after="0" w:line="18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(qq)         </w:t>
      </w:r>
      <w:r>
        <w:rPr>
          <w:rFonts w:ascii="Times New Roman" w:cs="Times New Roman" w:eastAsia="Times New Roman" w:hAnsi="Times New Roman"/>
          <w:sz w:val="18"/>
          <w:szCs w:val="18"/>
          <w:b w:val="1"/>
          <w:bCs w:val="1"/>
          <w:i w:val="1"/>
          <w:iCs w:val="1"/>
          <w:color w:val="auto"/>
        </w:rPr>
        <w:t>Forward-Looking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financial or operational projection or other “forward-looking statement” (as defined by Section 27A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9" w:name="page20"/>
    <w:bookmarkEnd w:id="19"/>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(rr)          </w:t>
      </w:r>
      <w:r>
        <w:rPr>
          <w:rFonts w:ascii="Times New Roman" w:cs="Times New Roman" w:eastAsia="Times New Roman" w:hAnsi="Times New Roman"/>
          <w:sz w:val="18"/>
          <w:szCs w:val="18"/>
          <w:b w:val="1"/>
          <w:bCs w:val="1"/>
          <w:i w:val="1"/>
          <w:iCs w:val="1"/>
          <w:color w:val="auto"/>
        </w:rPr>
        <w:t>Emerging Growth Company 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an “emerging growth company,” as defined in Section 2(a) of the Securities Act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(ss)          </w:t>
      </w:r>
      <w:r>
        <w:rPr>
          <w:rFonts w:ascii="Times New Roman" w:cs="Times New Roman" w:eastAsia="Times New Roman" w:hAnsi="Times New Roman"/>
          <w:sz w:val="18"/>
          <w:szCs w:val="18"/>
          <w:b w:val="1"/>
          <w:bCs w:val="1"/>
          <w:i w:val="1"/>
          <w:iCs w:val="1"/>
          <w:color w:val="auto"/>
        </w:rPr>
        <w:t>Clinical Data and Regulatory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preclinical tests and clinical trials, and other studies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or the results of which are referred to in, the Registration Statement, the Time of Sale Prospectus or the Prospectus were and, if still pending, are being conducted in all material respects in accordance with applicable laws, rules, regulations and policies of the Food and Drug Administration of the U.S. Department of Health and Human Services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any committee thereof or of any other U.S. or foreign government or drug or medical device regulatory agency, or health care facility Institutional Review Board; each description of the results of such studies is accurate in all material respects, and the Company and its subsidiaries have no knowledge of any other studies the results of which are materially inconsistent with, or otherwise call into question, the results described or referred to in the Registration Statement, the Time of Sale Prospectuses or the Prospectus; for such studies that have been or are being conducted, the Company and its subsidiaries have made all such material filings and obtained all such approvals as may be required by foreign government or drug or medical device regulatory agencies, or foreign health care facility Institutional Review Boards; and no investigational new drug application filed by or on behalf of the Company or any of its subsidiaries with the FDA has been terminated or suspended by the FDA, and neither the FDA nor any applicable foreign regulatory agency has commenced, or, to the knowledge of the Company, threatened to initiate, any action to place a clinical hold order on, or otherwise terminate or suspend, any proposed or ongoing studies conducted or proposed to be conducted by or on behalf of the Company or any of its subsidiaries.</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(tt)           </w:t>
      </w:r>
      <w:r>
        <w:rPr>
          <w:rFonts w:ascii="Times New Roman" w:cs="Times New Roman" w:eastAsia="Times New Roman" w:hAnsi="Times New Roman"/>
          <w:sz w:val="17"/>
          <w:szCs w:val="17"/>
          <w:b w:val="1"/>
          <w:bCs w:val="1"/>
          <w:i w:val="1"/>
          <w:iCs w:val="1"/>
          <w:color w:val="auto"/>
        </w:rPr>
        <w:t>No Rights to Purchase Preferred Shares</w:t>
      </w:r>
      <w:r>
        <w:rPr>
          <w:rFonts w:ascii="Times New Roman" w:cs="Times New Roman" w:eastAsia="Times New Roman" w:hAnsi="Times New Roman"/>
          <w:sz w:val="17"/>
          <w:szCs w:val="17"/>
          <w:color w:val="auto"/>
        </w:rPr>
        <w:t>. The issuance and sale of the Offered Securities by the Company and the deposit of the Ordinary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with the Custodian and the issuance of the Offered Securities as contemplated by this Agreement and the Deposit Agreement will not cause any holder of any ADSs or Ordinary Shares, securities convertible into or exchangeable or exercisable for ADSs or Ordinary Shares or options, warrants or other rights to purchase ADSs or Ordinary Shares or any other securities of the Company to have any right to acquire any preferred shares of the Company.</w:t>
      </w:r>
    </w:p>
    <w:p>
      <w:pPr>
        <w:spacing w:after="0" w:line="161"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(uu)         </w:t>
      </w:r>
      <w:r>
        <w:rPr>
          <w:rFonts w:ascii="Times New Roman" w:cs="Times New Roman" w:eastAsia="Times New Roman" w:hAnsi="Times New Roman"/>
          <w:sz w:val="18"/>
          <w:szCs w:val="18"/>
          <w:b w:val="1"/>
          <w:bCs w:val="1"/>
          <w:i w:val="1"/>
          <w:iCs w:val="1"/>
          <w:color w:val="auto"/>
        </w:rPr>
        <w:t>No Contract Terminations.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its subsidiaries has sent or received any communication regarding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intent not to renew, any of the contracts or agreements referred to or described in any preliminary prospectus, the Prospectus or any free writing prospectus, or referred to or described in, or filed as an exhibit to, the Registration Statement or the F-6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(vv)          </w:t>
      </w:r>
      <w:r>
        <w:rPr>
          <w:rFonts w:ascii="Times New Roman" w:cs="Times New Roman" w:eastAsia="Times New Roman" w:hAnsi="Times New Roman"/>
          <w:sz w:val="18"/>
          <w:szCs w:val="18"/>
          <w:b w:val="1"/>
          <w:bCs w:val="1"/>
          <w:i w:val="1"/>
          <w:iCs w:val="1"/>
          <w:color w:val="auto"/>
        </w:rPr>
        <w:t>Dividend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subsidiary of the Company is prohibited or restricted, directly or indirectly, from paying dividends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76"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(ww)        </w:t>
      </w:r>
      <w:r>
        <w:rPr>
          <w:rFonts w:ascii="Times New Roman" w:cs="Times New Roman" w:eastAsia="Times New Roman" w:hAnsi="Times New Roman"/>
          <w:sz w:val="18"/>
          <w:szCs w:val="18"/>
          <w:b w:val="1"/>
          <w:bCs w:val="1"/>
          <w:i w:val="1"/>
          <w:iCs w:val="1"/>
          <w:color w:val="auto"/>
        </w:rPr>
        <w:t>No Public Offering in European Economic Area or the United Kingdom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the Underwriters’ actions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Company has not made and will not make an offer to the public of the Offered Securities in any member state of the European Economic Area or the United Kingdom.</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0" w:name="page21"/>
    <w:bookmarkEnd w:id="20"/>
    <w:p>
      <w:pPr>
        <w:ind w:right="10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(xx)          </w:t>
      </w:r>
      <w:r>
        <w:rPr>
          <w:rFonts w:ascii="Times New Roman" w:cs="Times New Roman" w:eastAsia="Times New Roman" w:hAnsi="Times New Roman"/>
          <w:sz w:val="18"/>
          <w:szCs w:val="18"/>
          <w:b w:val="1"/>
          <w:bCs w:val="1"/>
          <w:i w:val="1"/>
          <w:iCs w:val="1"/>
          <w:color w:val="auto"/>
        </w:rPr>
        <w:t>Regulatory Compliance</w:t>
      </w:r>
      <w:r>
        <w:rPr>
          <w:rFonts w:ascii="Times New Roman" w:cs="Times New Roman" w:eastAsia="Times New Roman" w:hAnsi="Times New Roman"/>
          <w:sz w:val="18"/>
          <w:szCs w:val="18"/>
          <w:color w:val="auto"/>
        </w:rPr>
        <w:t>. Except as described in the Registration Statement, the Time of Sale Prospectus or the Prospectus, and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not, individually or in the aggregate, reasonably be expected to have a Material Adverse Effect, the Company and its subsidiaries are, and at all times since January 1, 2019 have been, in compliance with all applicable Health Care Laws, and have not engaged in activities which are, as applicable, cause for false claims liability, civil penalties, or mandatory or permissive exclusion from Medicare, Medicaid, or any other state health care program or federal health care program.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the federal Food, Drug and Cosmetic Act (21 U.S.C. § 301 et seq.), the federal Anti-kickback Statute (42 U.S.C. § 1320a-7b(b)), the civil False Claims Act (31 U.S.C. §3729 et seq.), the federal False Statements Law (42 U.S.C. § 1320a-7b(a)), the Civil Monetary Penalties Law (42 U.S.C. §1320a-7a), all criminal laws relating to health care fraud and abuse, including, but not limited, to 18 U.S.C. §§ 286 and 287, the exclusions law (42 U.S.C. § 1320a-7), the statutes, regulations and directives of Medicare (Title XVIII of the Social Security Act), Medicaid (Title XIX of the Social Security Act) and all other government funded or sponsored healthcare programs, the Health Insurance Portability and Accountability Act of 1996 (42 U.S.C. § 1320d et seq.), as amended by the Health Information Technology for Economic and Clinical Health Act of 2009 (42 U.S.C. §17921 et seq.)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the regulations promulgated pursuant to such laws, and all other comparable local, state, federal, national, and foreign laws relating to the regulation of the Company. The Company is not a party to any corporate integrity agreements, monitoring agreements, consent decrees, settlement orders, or similar agreements with or imposed by any governmental authority regarding any alleged non-compliance with applicable Health Care Laws in any material respect. In addition, none of the Company or its subsidiaries or, to the Company’s knowledge, any of their respective directors, officers, employees or agents is or has been since January 1, 2019 debarred, suspended or excluded, or has been convicted of any crime or, to the knowledge of the Company or its subsidiaries, engaged in any conduct that would result in a debarment, suspension or exclusion from any federal or state government health care program or human clinical research, or, to the knowledge of the Company, is subject to any inquiry, investigation, proceeding, or other similar action by a governmental authority that could reasonably be expected to result in any such debarment, suspension, or exclusion.</w:t>
      </w:r>
    </w:p>
    <w:p>
      <w:pPr>
        <w:spacing w:after="0" w:line="191"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(yy)         </w:t>
      </w:r>
      <w:r>
        <w:rPr>
          <w:rFonts w:ascii="Times New Roman" w:cs="Times New Roman" w:eastAsia="Times New Roman" w:hAnsi="Times New Roman"/>
          <w:sz w:val="18"/>
          <w:szCs w:val="18"/>
          <w:b w:val="1"/>
          <w:bCs w:val="1"/>
          <w:i w:val="1"/>
          <w:iCs w:val="1"/>
          <w:color w:val="auto"/>
        </w:rPr>
        <w:t>No Rated Debt or Preferred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no debt or preferred securities issued, or guaranteed, by the Company or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rated by a “nationally recognized statistical rating organization,” as such term is defined in Section 3(a)(62) of the Exchange Act.</w:t>
      </w:r>
    </w:p>
    <w:p>
      <w:pPr>
        <w:spacing w:after="0" w:line="155"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(zz)         </w:t>
      </w:r>
      <w:r>
        <w:rPr>
          <w:rFonts w:ascii="Times New Roman" w:cs="Times New Roman" w:eastAsia="Times New Roman" w:hAnsi="Times New Roman"/>
          <w:sz w:val="18"/>
          <w:szCs w:val="18"/>
          <w:b w:val="1"/>
          <w:bCs w:val="1"/>
          <w:i w:val="1"/>
          <w:iCs w:val="1"/>
          <w:color w:val="auto"/>
        </w:rPr>
        <w:t>No Outstanding Loans or Other Extensions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does not have any outstanding extension of credit, in the form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loan, to or for any director or executive officer (or equivalent thereof) of the Company except for such extensions of credit as are expressly permitted by Section 13(k) of the Exchange Act.</w:t>
      </w:r>
    </w:p>
    <w:p>
      <w:pPr>
        <w:spacing w:after="0" w:line="17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(aaa)        </w:t>
      </w:r>
      <w:r>
        <w:rPr>
          <w:rFonts w:ascii="Times New Roman" w:cs="Times New Roman" w:eastAsia="Times New Roman" w:hAnsi="Times New Roman"/>
          <w:sz w:val="18"/>
          <w:szCs w:val="18"/>
          <w:b w:val="1"/>
          <w:bCs w:val="1"/>
          <w:i w:val="1"/>
          <w:iCs w:val="1"/>
          <w:color w:val="auto"/>
        </w:rPr>
        <w:t>Sarbanes-Oxley.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in compliance, in all material respects, with all applicable provisions of the Sarbanes-Oxley Act of 2002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rules and regulations promulgated thereunder.</w:t>
      </w:r>
    </w:p>
    <w:p>
      <w:pPr>
        <w:spacing w:after="0" w:line="15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(bbb)        </w:t>
      </w:r>
      <w:r>
        <w:rPr>
          <w:rFonts w:ascii="Times New Roman" w:cs="Times New Roman" w:eastAsia="Times New Roman" w:hAnsi="Times New Roman"/>
          <w:sz w:val="18"/>
          <w:szCs w:val="18"/>
          <w:b w:val="1"/>
          <w:bCs w:val="1"/>
          <w:i w:val="1"/>
          <w:iCs w:val="1"/>
          <w:color w:val="auto"/>
        </w:rPr>
        <w:t>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described in the Registration Statement or the Prospectus, and except as would not, individually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have had or may reasonably be expected to have a Material Adverse Effect, the 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as required in connection with the operation of the business of the Company and its subsidiaries as currently conducted, and to the knowledge of the Company,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“protected health information” under HIPAA or “personal data”, “personal information” or “personally identifiable information” as defined under Privacy Laws (as defined below) or other information pertaining to an identifiable natural person regulated thereby; and (iii) any other piece of information that allows the identification of a natural person, or his or her family, or permits the collection or analysis of any data related to an identified person’s health or sexual orientation. To the knowledge of the Company, since January 1, 2019, there have been no breaches, violations, outages or unauthorized uses of or access to Personal Data, except for those that have been remedied without material cost or liability or the duty to notify any other person, nor any incidents under internal review or investigations relating to the same.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right="20"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(ccc)        </w:t>
      </w:r>
      <w:r>
        <w:rPr>
          <w:rFonts w:ascii="Times New Roman" w:cs="Times New Roman" w:eastAsia="Times New Roman" w:hAnsi="Times New Roman"/>
          <w:sz w:val="17"/>
          <w:szCs w:val="17"/>
          <w:b w:val="1"/>
          <w:bCs w:val="1"/>
          <w:i w:val="1"/>
          <w:iCs w:val="1"/>
          <w:color w:val="auto"/>
        </w:rPr>
        <w:t>Compliance with Data Privacy Laws.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and its subsidiaries are, and since January 1, 2019 have been, in material compliance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(i) their respective contractual obligations relating to privacy, data protection or data security and (ii) all applicable data privacy, security and data protection laws and regulations of any jurisdiction, including, to the extent applicable, HIPAA, the European Union General Data Protection Regulation (EU 2016/679) (“</w:t>
      </w:r>
      <w:r>
        <w:rPr>
          <w:rFonts w:ascii="Times New Roman" w:cs="Times New Roman" w:eastAsia="Times New Roman" w:hAnsi="Times New Roman"/>
          <w:sz w:val="17"/>
          <w:szCs w:val="17"/>
          <w:b w:val="1"/>
          <w:bCs w:val="1"/>
          <w:color w:val="auto"/>
        </w:rPr>
        <w:t>EU GDPR</w:t>
      </w:r>
      <w:r>
        <w:rPr>
          <w:rFonts w:ascii="Times New Roman" w:cs="Times New Roman" w:eastAsia="Times New Roman" w:hAnsi="Times New Roman"/>
          <w:sz w:val="17"/>
          <w:szCs w:val="17"/>
          <w:color w:val="auto"/>
        </w:rPr>
        <w:t>”) and the EU GDPR as incorporated into the law of the United Kingdom as supplemented by the Data Protection Act 2018, laws of European Union member states implementing the Privacy and Electronic Communications Directive 2002/58/EC, the United Kingdom’s Privacy and Electronic Communications Regulations, and the California Consumer Privacy Act of 2018 and the regulations promulgated thereunder (collectively, the “</w:t>
      </w:r>
      <w:r>
        <w:rPr>
          <w:rFonts w:ascii="Times New Roman" w:cs="Times New Roman" w:eastAsia="Times New Roman" w:hAnsi="Times New Roman"/>
          <w:sz w:val="17"/>
          <w:szCs w:val="17"/>
          <w:b w:val="1"/>
          <w:bCs w:val="1"/>
          <w:color w:val="auto"/>
        </w:rPr>
        <w:t>Privacy Laws</w:t>
      </w:r>
      <w:r>
        <w:rPr>
          <w:rFonts w:ascii="Times New Roman" w:cs="Times New Roman" w:eastAsia="Times New Roman" w:hAnsi="Times New Roman"/>
          <w:sz w:val="17"/>
          <w:szCs w:val="17"/>
          <w:color w:val="auto"/>
        </w:rPr>
        <w:t>”). To the extent required by the Privacy Laws, the Company and its subsidiaries have in place, comply in all material respects with, and take commercially reasonable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7"/>
          <w:szCs w:val="17"/>
          <w:b w:val="1"/>
          <w:bCs w:val="1"/>
          <w:color w:val="auto"/>
        </w:rPr>
        <w:t>Policies</w:t>
      </w:r>
      <w:r>
        <w:rPr>
          <w:rFonts w:ascii="Times New Roman" w:cs="Times New Roman" w:eastAsia="Times New Roman" w:hAnsi="Times New Roman"/>
          <w:sz w:val="17"/>
          <w:szCs w:val="17"/>
          <w:color w:val="auto"/>
        </w:rPr>
        <w:t>”). Since January 1, 2019, (i) the Company and its subsidiaries have made all disclosures and notices to users, customers and other relevant individuals required by the Privacy Laws, and</w:t>
      </w:r>
    </w:p>
    <w:p>
      <w:pPr>
        <w:spacing w:after="0" w:line="8" w:lineRule="exact"/>
        <w:rPr>
          <w:sz w:val="20"/>
          <w:szCs w:val="20"/>
          <w:color w:val="auto"/>
        </w:rPr>
      </w:pPr>
    </w:p>
    <w:p>
      <w:pPr>
        <w:ind w:right="20" w:firstLine="8"/>
        <w:spacing w:after="0" w:line="252"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such disclosures and notices made or contained in any Policy have been inaccurate or in violation of any applicable Privacy Laws, except, with respect to (i) and (ii) above, as would not, individually or in the aggregate, reasonably be expected to have a Material Adverse Effect. Neither the Company nor any subsidiary: (i) since January 1, 2019, has received written notice of any actual or potential liability under, or actual or potential violation of, any of the Privacy Laws; (ii) is currently conducting or paying for, in whole or in part, any investigation, remediation, or other corrective action pursuant to any such written notice; or (iii) is currently a party to any order, decree, or agreement that imposes any obligation or liability by any governmental or regulatory authority under any Privacy Law.</w:t>
      </w:r>
    </w:p>
    <w:p>
      <w:pPr>
        <w:spacing w:after="0" w:line="19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any of its subsidiaries and delivered to any Underwriter or to counsel for the Underwriters in connection with the offering, or the purchase and sale, of the Offered Securities shall be deemed a representation and warranty by the Company to each Underwriter as to the matters covered thereby.</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2.        Purchase, Sale and Delivery of the Offered Securities.</w:t>
      </w:r>
    </w:p>
    <w:p>
      <w:pPr>
        <w:spacing w:after="0" w:line="225" w:lineRule="exact"/>
        <w:rPr>
          <w:sz w:val="20"/>
          <w:szCs w:val="20"/>
          <w:color w:val="auto"/>
        </w:rPr>
      </w:pPr>
    </w:p>
    <w:p>
      <w:pPr>
        <w:ind w:right="3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i w:val="1"/>
          <w:iCs w:val="1"/>
          <w:color w:val="auto"/>
        </w:rPr>
        <w:t>The Firm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herein set forth, the Company agrees to issue and sell to the several Underwriters an aggregate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12,400,000 Firm Securities. On the basis of the representations, warranties and agreements herein contained, and upon the terms but subject to the conditions herein set forth, the Underwriters agree, severally and not jointly, to purchase from the Company the respective number of ADSs set forth opposite their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purchase price per ADS to be paid by the several Underwriters to the Company shall be $9.87 per ADS.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2" w:name="page23"/>
    <w:bookmarkEnd w:id="22"/>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i w:val="1"/>
          <w:iCs w:val="1"/>
          <w:color w:val="auto"/>
        </w:rPr>
        <w:t>The First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the Firm Securities to be purchased by the Underwriters and payment therefor shall be made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offices of Cooley LLP, 55 Hudson Yards, New York, NY 10001-2157 (or such other place as may be agreed to by the Company and the Representatives) at 9:00 a.m. New York City time, on August 15, 2022, or such other time and date not later than 1:30 p.m. New York City time, on August 29, 2022 as the Representatives shall designate by notice to the Company (the time and date of such closing are called the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i w:val="1"/>
          <w:iCs w:val="1"/>
          <w:color w:val="auto"/>
        </w:rPr>
        <w:t>The Optional Securities; Option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on the basis of the representations, warranties and agreements herein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upon the terms but subject to the conditions herein set forth, the Company hereby grants an option to the several Underwriters to purchase, severally and not jointly, up to an aggregate of 1,860,000 Optional Securities from the Company at the purchase price per share to be paid by the Underwriters for the Firm Securities.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Securities as to which the Underwriters are exercising the option and (ii) the time, date and place at which certificates for the Optional Securities will be delivered (which time and date may be simultaneous with, but not earlier than, the First Closing Date; and in the event that such time and date are simultaneous with the First Closing Date, the term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shall refer to the time and date of delivery of the Firm Securities and such Optional Securities). Any such time and date of delivery, if subsequent to the First Closing Date, is called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xml:space="preserve">,” shall be determined by the Representatives and shall not be earlier than three or later than five full business days after delivery of such notice of exercise. If any Optional Securities are to be purchased, each Underwriter agrees, severally and not jointly, to purchase the number of Optional Securities (subject to such adjustments to eliminate fractional shares as the Representatives may determine) that bears the same proportion to the total number of Optional Securities to be purchased as the number of Firm Securities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bears to the total number of Firm Securities. The Representatives may cancel the option at any time prior to its expiration by giving written notice of such cancellation to the Company.</w:t>
      </w:r>
    </w:p>
    <w:p>
      <w:pPr>
        <w:spacing w:after="0" w:line="18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Offering of the Offered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Representatives hereby advise the Company that the Underwriters intend to offer for sale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initially on the terms set forth in the Registration Statement, the Time of Sale Prospectus and the Prospectus, as soon after this Agreement has been executed and the Representatives, in their sole judgment, have determined is advisable and practicable.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b w:val="1"/>
          <w:bCs w:val="1"/>
          <w:i w:val="1"/>
          <w:iCs w:val="1"/>
          <w:color w:val="auto"/>
        </w:rPr>
        <w:t>Payment for the Offered Securities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0" w:firstLine="1304"/>
        <w:spacing w:after="0" w:line="282" w:lineRule="auto"/>
        <w:tabs>
          <w:tab w:leader="none" w:pos="15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Offered Securities shall be made at the First Closing Date (and, if applicable, at each Option Closing Date) by wire transfer of immediately available funds to the order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(ii)            It is understood that the Representatives have been authorized, for their own account and the accounts of the several Underwriters, to accept delivery of and receipt for, and make payment of the purchase price for, the Firm Securities and any Optional Securities the Underwriters have agreed to purchase. The Representatives, not as the Representatives of the Underwriters, may (but shall not be obligated to) make payment for any Offered Securities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(f)            </w:t>
      </w:r>
      <w:r>
        <w:rPr>
          <w:rFonts w:ascii="Times New Roman" w:cs="Times New Roman" w:eastAsia="Times New Roman" w:hAnsi="Times New Roman"/>
          <w:sz w:val="18"/>
          <w:szCs w:val="18"/>
          <w:b w:val="1"/>
          <w:bCs w:val="1"/>
          <w:i w:val="1"/>
          <w:iCs w:val="1"/>
          <w:color w:val="auto"/>
        </w:rPr>
        <w:t>Delivery of the Offered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deliver, or cause to be delivered to the Representatives for the accounts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 Underwriters, the Firm Securities at the First Closing Date, against release of a wire transfer of immediately available funds for the amount of the purchase price therefor. The Company shall also deliver, or cause to be delivered to the Representatives for the accounts of the several Underwriters, the Optional Securities the Underwriters have agreed to purchase at the First Closing Date or the applicable Option Closing Date, as the case may be, against the release of a wire transfer of immediately available funds for the amount of the purchase price therefor. The Offered Securities shall be registered in such names and denominations as the Representatives shall have requested at least two full business days prior to the First Closing Date (or the applicable Option Closing Date, as the case may be). Time shall be of the essence, and delivery at the time and place specified in this Agreement is a further condition to the obligations of the Underwriters.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3.            Additional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further covenants and agrees with each Underwriter as follows:</w:t>
      </w:r>
    </w:p>
    <w:p>
      <w:pPr>
        <w:spacing w:after="0" w:line="22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i w:val="1"/>
          <w:iCs w:val="1"/>
          <w:color w:val="auto"/>
        </w:rPr>
        <w:t>Delivery of Registration Statement, F-6 Registration Statement, Time of Sale Prospectus and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furnish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Representatives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or the F-6 Registration Statement as the Representatives may reasonably request.</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i w:val="1"/>
          <w:iCs w:val="1"/>
          <w:color w:val="auto"/>
        </w:rPr>
        <w:t>Representatives’ Review of Proposed Amendments and Supplements.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period when a prospectus relating to the Offered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or the F-6 Registration Statement (including any amendment or supplement through incorporation of any report filed under the Exchange Act), a copy of each such amendment or supplement and (ii) will not amend or supplement the Registration Statement or the F-6 Registration Statement (including any amendment or supplement through incorporation of any report filed under the Exchange Act other than Exchange Act filings made solely to comply with legal obligations) without the Representatives’ prior written consent, which shall not be unreasonably withheld, conditioned or delayed.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to any preliminary prospectus, the Time of Sale Prospectus or the Prospectus without the Representatives’ prior written consent, which shall not be unreasonably withheld, conditioned or delayed. The Company shall file with the Commission within the applicable period specified in Rule 424(b) under the Securities Act any prospectus required to be filed pursuant to such Rule.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 w:name="page25"/>
    <w:bookmarkEnd w:id="24"/>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i w:val="1"/>
          <w:iCs w:val="1"/>
          <w:color w:val="auto"/>
        </w:rPr>
        <w:t>Free Writing Prospectuses.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furnish to the Representatives for review, a reasonable amount of time prior to the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of filing or use thereof, a copy of each proposed free writing prospectus in connection with sales of the Offered Securities or any amendment or supplement thereto prepared by or on behalf of, used by, or referred to by the Company, and the Company shall not file, use or refer to any such proposed free writing prospectus or any amendment or supplement thereto without the Representatives’ prior written consent, which will not be unreasonably withheld, conditioned or delayed. The Company shall furnish to each Underwriter, without charge, as many copies of any such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Securities (but in any event if at any time through and including the First Closing Date) there occurred or occurs an event or development as a result of which any free writing prospectus prepared by or on behalf of, used by, or referred to by the Company in connection with sales of the Offered Securities conflicted or would conflict with the information contained in the Registration Statement or the F-6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will not be unreasonably withheld, conditioned or delayed.</w:t>
      </w:r>
    </w:p>
    <w:p>
      <w:pPr>
        <w:spacing w:after="0" w:line="192"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Filing of Underwriter Free Writing Prospectuses.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take any action that would result in an Underwriter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71"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b w:val="1"/>
          <w:bCs w:val="1"/>
          <w:color w:val="auto"/>
        </w:rPr>
        <w:t>(e)            </w:t>
      </w:r>
      <w:r>
        <w:rPr>
          <w:rFonts w:ascii="Times New Roman" w:cs="Times New Roman" w:eastAsia="Times New Roman" w:hAnsi="Times New Roman"/>
          <w:sz w:val="17"/>
          <w:szCs w:val="17"/>
          <w:b w:val="1"/>
          <w:bCs w:val="1"/>
          <w:i w:val="1"/>
          <w:iCs w:val="1"/>
          <w:color w:val="auto"/>
        </w:rPr>
        <w:t>Amendments and Supplements to Time of Sale Prospectus.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the Time of Sale Prospectus is being used to solicit offers to buy the Offered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the F-6 Registration Statement, or so that the Time of Sale Prospectus, as amended or supplemented, will comply with applicable law.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5" w:name="page26"/>
    <w:bookmarkEnd w:id="25"/>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(f)            </w:t>
      </w:r>
      <w:r>
        <w:rPr>
          <w:rFonts w:ascii="Times New Roman" w:cs="Times New Roman" w:eastAsia="Times New Roman" w:hAnsi="Times New Roman"/>
          <w:sz w:val="18"/>
          <w:szCs w:val="18"/>
          <w:b w:val="1"/>
          <w:bCs w:val="1"/>
          <w:i w:val="1"/>
          <w:iCs w:val="1"/>
          <w:color w:val="auto"/>
        </w:rPr>
        <w:t>Certain Notifications and Required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period when a prospectus relating to the Offered Securities is required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to be delivered (whether physically or through compliance with Rule 172 under the Securities Act or any similar rule), the Company shall promptly advise the Representatives in writing of: (i) the receipt of any comments of, or requests for additional or supplemental information from, the Commission relating to the Registration Statement or the F-6 Registration Statement; (ii) the time and date of any filing of any post-effective amendment to the Registration Statement or the F-6 Registration Statement or any amendment or supplement to any preliminary prospectus, the Time of Sale Prospectus, any free writing prospectus or the Prospectus; (iii) the time and date that any post-effective amendment to the Registration Statement or the F-6 Registration Statement becomes effective; and (iv) the issuance by the Commission of any stop order suspending the effectiveness of the Registration Statement or any post-effective amendment thereto or the F-6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in connection with sales of the Offered Securities or the Prospectus, or of any proceedings to remove, suspend or terminate from listing or quotation the ADSs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possible.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(g)            </w:t>
      </w:r>
      <w:r>
        <w:rPr>
          <w:rFonts w:ascii="Times New Roman" w:cs="Times New Roman" w:eastAsia="Times New Roman" w:hAnsi="Times New Roman"/>
          <w:sz w:val="18"/>
          <w:szCs w:val="18"/>
          <w:b w:val="1"/>
          <w:bCs w:val="1"/>
          <w:i w:val="1"/>
          <w:iCs w:val="1"/>
          <w:color w:val="auto"/>
        </w:rPr>
        <w:t>Amendments and Supplements to the Prospectus and Other Securities Act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event shall occur or condition exist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1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(h)            </w:t>
      </w:r>
      <w:r>
        <w:rPr>
          <w:rFonts w:ascii="Times New Roman" w:cs="Times New Roman" w:eastAsia="Times New Roman" w:hAnsi="Times New Roman"/>
          <w:sz w:val="18"/>
          <w:szCs w:val="18"/>
          <w:b w:val="1"/>
          <w:bCs w:val="1"/>
          <w:i w:val="1"/>
          <w:iCs w:val="1"/>
          <w:color w:val="auto"/>
        </w:rPr>
        <w:t>Blue Sky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cooperate with the Representatives and counsel for the Underwriters to qualify or register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Securities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possible.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6" w:name="page27"/>
    <w:bookmarkEnd w:id="26"/>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apply the net proceeds from the sale of the Offered Securities sold by it in the manner described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caption “Use of Proceeds” in the Registration Statement, the Time of Sale Prospectus and the Prospectus.</w:t>
      </w:r>
    </w:p>
    <w:p>
      <w:pPr>
        <w:spacing w:after="0" w:line="15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(j)            </w:t>
      </w:r>
      <w:r>
        <w:rPr>
          <w:rFonts w:ascii="Times New Roman" w:cs="Times New Roman" w:eastAsia="Times New Roman" w:hAnsi="Times New Roman"/>
          <w:sz w:val="18"/>
          <w:szCs w:val="18"/>
          <w:b w:val="1"/>
          <w:bCs w:val="1"/>
          <w:i w:val="1"/>
          <w:iCs w:val="1"/>
          <w:color w:val="auto"/>
        </w:rPr>
        <w:t>Earnings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make generally available to its security holders and to the Representatives as soon as practicable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it being understood and agreed that such earning statement shall be deemed to have been made available by the Company if the Company is in compliance with its reporting obligations pursuant to the Exchange Act, if such compliance satisfies the conditions of Rule 158, and if such earnings statement is made available on EDGAR.</w:t>
      </w:r>
    </w:p>
    <w:p>
      <w:pPr>
        <w:spacing w:after="0" w:line="182"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(k)            </w:t>
      </w:r>
      <w:r>
        <w:rPr>
          <w:rFonts w:ascii="Times New Roman" w:cs="Times New Roman" w:eastAsia="Times New Roman" w:hAnsi="Times New Roman"/>
          <w:sz w:val="18"/>
          <w:szCs w:val="18"/>
          <w:b w:val="1"/>
          <w:bCs w:val="1"/>
          <w:i w:val="1"/>
          <w:iCs w:val="1"/>
          <w:color w:val="auto"/>
        </w:rPr>
        <w:t>Continued Compliance with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comply with the Securities Act and the Exchange Act so as to permit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distribution of the Offered Securities as contemplated by this Agreement, the Registration Statement, the F-6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(l)            </w:t>
      </w:r>
      <w:r>
        <w:rPr>
          <w:rFonts w:ascii="Times New Roman" w:cs="Times New Roman" w:eastAsia="Times New Roman" w:hAnsi="Times New Roman"/>
          <w:sz w:val="17"/>
          <w:szCs w:val="17"/>
          <w:b w:val="1"/>
          <w:bCs w:val="1"/>
          <w:i w:val="1"/>
          <w:iCs w:val="1"/>
          <w:color w:val="auto"/>
        </w:rPr>
        <w:t>Company to Provide Copy of the Prospectus in Form That May be Downloaded from the Internet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requested by the Representatives,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cause to be prepared and delivered, at its expense, within one business day from the effective date of this Agreement, to the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electronic Prospectus</w:t>
      </w:r>
      <w:r>
        <w:rPr>
          <w:rFonts w:ascii="Times New Roman" w:cs="Times New Roman" w:eastAsia="Times New Roman" w:hAnsi="Times New Roman"/>
          <w:sz w:val="18"/>
          <w:szCs w:val="18"/>
          <w:color w:val="auto"/>
        </w:rPr>
        <w:t>” to be used by the Underwriters in connection with the offering and sale of the Offered Securities. As used herein,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Prospectus</w:t>
      </w:r>
      <w:r>
        <w:rPr>
          <w:rFonts w:ascii="Times New Roman" w:cs="Times New Roman" w:eastAsia="Times New Roman" w:hAnsi="Times New Roman"/>
          <w:sz w:val="18"/>
          <w:szCs w:val="18"/>
          <w:color w:val="auto"/>
        </w:rPr>
        <w:t>” means a form of Time of Sale Prospectus, and any amendment or supplement thereto, that meets each of the following conditions:</w:t>
      </w:r>
    </w:p>
    <w:p>
      <w:pPr>
        <w:spacing w:after="0" w:line="9" w:lineRule="exact"/>
        <w:rPr>
          <w:sz w:val="20"/>
          <w:szCs w:val="20"/>
          <w:color w:val="auto"/>
        </w:rPr>
      </w:pPr>
    </w:p>
    <w:p>
      <w:pPr>
        <w:ind w:right="40" w:firstLine="8"/>
        <w:spacing w:after="0" w:line="268" w:lineRule="auto"/>
        <w:tabs>
          <w:tab w:leader="none" w:pos="2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shall be encoded in an electronic format, satisfactory to the Representatives, that may be transmitted electronically by the Representatives and the other Underwriters to offerees and purchasers of the Offered Securities;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7" w:name="page28"/>
    <w:bookmarkEnd w:id="27"/>
    <w:p>
      <w:pPr>
        <w:ind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(m)            </w:t>
      </w:r>
      <w:r>
        <w:rPr>
          <w:rFonts w:ascii="Times New Roman" w:cs="Times New Roman" w:eastAsia="Times New Roman" w:hAnsi="Times New Roman"/>
          <w:sz w:val="17"/>
          <w:szCs w:val="17"/>
          <w:b w:val="1"/>
          <w:bCs w:val="1"/>
          <w:i w:val="1"/>
          <w:iCs w:val="1"/>
          <w:color w:val="auto"/>
        </w:rPr>
        <w:t>Agreement Not to Offer or Sell Additional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period commencing on and including the date hereof and continuing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through and including the 90th day following the date of the Prospectus (such period being referred to herein as the “</w:t>
      </w:r>
      <w:r>
        <w:rPr>
          <w:rFonts w:ascii="Times New Roman" w:cs="Times New Roman" w:eastAsia="Times New Roman" w:hAnsi="Times New Roman"/>
          <w:sz w:val="17"/>
          <w:szCs w:val="17"/>
          <w:b w:val="1"/>
          <w:bCs w:val="1"/>
          <w:color w:val="auto"/>
        </w:rPr>
        <w:t>Lock-up Period</w:t>
      </w:r>
      <w:r>
        <w:rPr>
          <w:rFonts w:ascii="Times New Roman" w:cs="Times New Roman" w:eastAsia="Times New Roman" w:hAnsi="Times New Roman"/>
          <w:sz w:val="17"/>
          <w:szCs w:val="17"/>
          <w:color w:val="auto"/>
        </w:rPr>
        <w:t xml:space="preserve">”), the Company will not, without the prior written consent of Jefferies and Piper Sandler (which consent may be withheld in their sole discretion), directly or indirectly: (i) sell, offer to sell, contract to sell or lend any ADSs, Ordinary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ADSs, Ordinary Shares or Related Securities; (iii) pledge, hypothecate or grant any security interest in any ADSs, Ordinary Shares or Related Securities; (iv) in any other way transfer or dispose of any ADSs, Ordinary Shares or Related Securities; (v) enter into any swap, hedge or similar arrangement or agreement that transfers, in whole or in part, the economic risk of ownership of any ADSs, Ordinary Shares or Related Securities, regardless of whether any such transaction is to be settled in securities, in cash or otherwise; (vi) announce the offering of any ADSs, Ordinary Shares or Related Securities; (vii) file any registration statement under the Securities Act in respect of any ADSs, Ordinary Shares or Related Securities (other than as contemplated by this Agreement with respect to the Offered Securities); or (viii) publicly announce the intention to do any of the foregoing;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Company may (A) effect the transactions contemplated hereby, (B) issue ADSs, Ordinary Shares or incentive awards for ADSs or Ordinary Shares, or issue ADSs or Ordinary Shares upon exercise or vesting of incentive awards, pursuant to any share option, share bonus or other incentive award plan or arrangement described in the Registration Statement, the Time of Sale Prospectus and the Prospectus, (C) issue ADSs or Ordinary Shares pursuant to the exercise of options or warrants, in each case, outstanding on the date hereof and described in the Registration Statement, the Time of Sale Prospectus and the Prospectus, (D) file a registration statement on Form S-8 to register ADSs or Ordinary Shares issuable pursuant to the terms of a share option, share bonus or other share plan or arrangement described in the Registration Statement, Time of Sale Prospectus and the Prospectus or file a registration statement on Form F-6 to register ADSs, (E) issue ADSs or Ordinary Shares in connection with any joint venture, commercial or collaborative relationship or the acquisition or license by the Company of the securities, business, property or other assets of another person or entity or pursuant to any employee benefit plan as assumed by the Company in connection with any such acquisition;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the case of clause</w:t>
      </w:r>
    </w:p>
    <w:p>
      <w:pPr>
        <w:spacing w:after="0" w:line="195"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such ADSs or Ordinary Shares shall not in the aggregate exceed 5% of the Company’s outstanding share capital immediately following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offering of the Offered Securities contemplated by this Agreement and (y) the recipients thereof provide to the Representatives a</w:t>
      </w:r>
    </w:p>
    <w:p>
      <w:pPr>
        <w:spacing w:after="0" w:line="9"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8"/>
          <w:szCs w:val="18"/>
          <w:color w:val="auto"/>
        </w:rPr>
        <w:t>signed Lock-Up Agreement, and (F) offer and sell ADSs under the Company’s existing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dated as of March 19, 2021, by and between the Company and Jefferies. For purposes of the foregoing, “</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ADSs or Ordinary Shares or any securities exchangeable or exercisable for or convertible into ADSs or Ordinary Shares, or to acquire other securities or rights ultimately exchangeable or exercisable for, or convertible into, ADSs or Ordinary Shares.</w:t>
      </w:r>
    </w:p>
    <w:p>
      <w:pPr>
        <w:spacing w:after="0" w:line="19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(n)            </w:t>
      </w:r>
      <w:r>
        <w:rPr>
          <w:rFonts w:ascii="Times New Roman" w:cs="Times New Roman" w:eastAsia="Times New Roman" w:hAnsi="Times New Roman"/>
          <w:sz w:val="18"/>
          <w:szCs w:val="18"/>
          <w:b w:val="1"/>
          <w:bCs w:val="1"/>
          <w:i w:val="1"/>
          <w:iCs w:val="1"/>
          <w:color w:val="auto"/>
        </w:rPr>
        <w:t>Future Reports to the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period of five years hereafter, the Company will furnish to the Representatives, 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Jefferies LLC, at 520 Madison Avenue, New York, New York 10022, Attention: Global Head of Syndicate; c/o Piper Sandler &amp; Co., 1251 Avenue of the Americas, 7th Floor, New York, New York 10020, Attention: Equity Capital Markets; and c/o Truist Securities, Inc., 3333 Peachtree Road, NE Atlanta, Georgia 30326: (i) as soon as practicable after the filing thereof, copies of each of the Definitive Proxy Statement on Schedule 14A, Annual Report on Form 10-K, Quarterly Reports on Form 10-Q, Current Reports on Form 8-K or other reports filed by the Company with the Commission or any securities exchange; and (ii) as soon as available, copies of any report or communication of the Company furnished or made available generally to holders of its share capital;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requirements of this Section 3(n) shall be satisfied to the extent that such reports, statement, communications, financial statements or other documents are available on EDGAR.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(o)            </w:t>
      </w:r>
      <w:r>
        <w:rPr>
          <w:rFonts w:ascii="Times New Roman" w:cs="Times New Roman" w:eastAsia="Times New Roman" w:hAnsi="Times New Roman"/>
          <w:sz w:val="18"/>
          <w:szCs w:val="18"/>
          <w:b w:val="1"/>
          <w:bCs w:val="1"/>
          <w:i w:val="1"/>
          <w:iCs w:val="1"/>
          <w:color w:val="auto"/>
        </w:rPr>
        <w:t>Investment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invest or otherwise use the proceeds received by the Company from its sale of the Offered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in such a manner as would require the Company or any of its subsidiaries to register as an investment company under the Investment Company Act.</w:t>
      </w:r>
    </w:p>
    <w:p>
      <w:pPr>
        <w:spacing w:after="0" w:line="171"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(p)            </w:t>
      </w:r>
      <w:r>
        <w:rPr>
          <w:rFonts w:ascii="Times New Roman" w:cs="Times New Roman" w:eastAsia="Times New Roman" w:hAnsi="Times New Roman"/>
          <w:sz w:val="18"/>
          <w:szCs w:val="18"/>
          <w:b w:val="1"/>
          <w:bCs w:val="1"/>
          <w:i w:val="1"/>
          <w:iCs w:val="1"/>
          <w:color w:val="auto"/>
        </w:rPr>
        <w:t>No Stabilization or Manipulation; Compliance with Regulation 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not take, and will ensure that no affiliate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take, directly or indirectly, any action designed to or that might cause or result in stabilization or manipulation of the price of the Offered Securities or any reference security with respect to the Offered Securities, whether to facilitate the sale or resale of the Offered Securities or otherwise, and the Company will, and shall cause each of its affiliates to, comply with all applicable provisions of Regulation M.</w:t>
      </w:r>
    </w:p>
    <w:p>
      <w:pPr>
        <w:spacing w:after="0" w:line="176"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(q)            </w:t>
      </w:r>
      <w:r>
        <w:rPr>
          <w:rFonts w:ascii="Times New Roman" w:cs="Times New Roman" w:eastAsia="Times New Roman" w:hAnsi="Times New Roman"/>
          <w:sz w:val="18"/>
          <w:szCs w:val="18"/>
          <w:b w:val="1"/>
          <w:bCs w:val="1"/>
          <w:i w:val="1"/>
          <w:iCs w:val="1"/>
          <w:color w:val="auto"/>
        </w:rPr>
        <w:t>Enforce Lock-Up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Lock-up Period, the Company will enforce all agreements between the Company and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security holders that restrict or prohibit, expressly or in operation, the offer, sale or transfer of ADSs, Ordinary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each of the persons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pursuant to ‎Section 6(k) hereof.</w:t>
      </w:r>
    </w:p>
    <w:p>
      <w:pPr>
        <w:spacing w:after="0" w:line="182"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(r)            </w:t>
      </w:r>
      <w:r>
        <w:rPr>
          <w:rFonts w:ascii="Times New Roman" w:cs="Times New Roman" w:eastAsia="Times New Roman" w:hAnsi="Times New Roman"/>
          <w:sz w:val="18"/>
          <w:szCs w:val="18"/>
          <w:b w:val="1"/>
          <w:bCs w:val="1"/>
          <w:i w:val="1"/>
          <w:iCs w:val="1"/>
          <w:color w:val="auto"/>
        </w:rPr>
        <w:t>Company to Provide Interim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First Closing Date and each applicable Option Closing Date,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will furnish the Underwriters, as soon as practicable after they have been prepared by or are available to the Company, a copy of any unaudited interim financial statements of the Company for any period subsequent to the period covered by the most recent financial statements appearing in the Registration Statement and the Prospectus;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requirements of this Section 3(r) shall be satisfied to the extent that such unaudited interim financial statements are available on EDGAR.</w:t>
      </w:r>
    </w:p>
    <w:p>
      <w:pPr>
        <w:spacing w:after="0" w:line="179"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            </w:t>
      </w:r>
      <w:r>
        <w:rPr>
          <w:rFonts w:ascii="Times New Roman" w:cs="Times New Roman" w:eastAsia="Times New Roman" w:hAnsi="Times New Roman"/>
          <w:sz w:val="18"/>
          <w:szCs w:val="18"/>
          <w:b w:val="1"/>
          <w:bCs w:val="1"/>
          <w:i w:val="1"/>
          <w:iCs w:val="1"/>
          <w:color w:val="auto"/>
        </w:rPr>
        <w:t>Deposit Agreement</w:t>
      </w:r>
      <w:r>
        <w:rPr>
          <w:rFonts w:ascii="Times New Roman" w:cs="Times New Roman" w:eastAsia="Times New Roman" w:hAnsi="Times New Roman"/>
          <w:sz w:val="18"/>
          <w:szCs w:val="18"/>
          <w:color w:val="auto"/>
        </w:rPr>
        <w:t>. On the First Closing Date and each applicable Option Closing Date, the Company agrees (i) to deposit Ordinary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Custodian on behalf of the Depositary in accordance with the provisions of the Deposit Agreement and will otherwise comply with the Deposit Agreement so that the Offered Securities will be issued by the Depositary against receipt of such Ordinary Shares and delivered to the Underwriters at such Closing Date and (ii) to otherwise comply with the terms of the Deposit Agreement, including without limitation, the covenants set forth in the Deposit Agreement.</w:t>
      </w:r>
    </w:p>
    <w:p>
      <w:pPr>
        <w:spacing w:after="0" w:line="179"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            </w:t>
      </w:r>
      <w:r>
        <w:rPr>
          <w:rFonts w:ascii="Times New Roman" w:cs="Times New Roman" w:eastAsia="Times New Roman" w:hAnsi="Times New Roman"/>
          <w:sz w:val="18"/>
          <w:szCs w:val="18"/>
          <w:b w:val="1"/>
          <w:bCs w:val="1"/>
          <w:i w:val="1"/>
          <w:iCs w:val="1"/>
          <w:color w:val="auto"/>
        </w:rPr>
        <w:t>Tax Indemnity</w:t>
      </w:r>
      <w:r>
        <w:rPr>
          <w:rFonts w:ascii="Times New Roman" w:cs="Times New Roman" w:eastAsia="Times New Roman" w:hAnsi="Times New Roman"/>
          <w:sz w:val="18"/>
          <w:szCs w:val="18"/>
          <w:color w:val="auto"/>
        </w:rPr>
        <w:t>. The Company shall pay, and shall indemnify and hold harmless the Underwriters against, any Transfer Taxes,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and penalties, which are payable or are incurred in connection with (i) the allotment, creation, issuance and delivery of the Ordinary Shares and the Offered Securities (or the ADRs evidencing such Offered Securities, if any) in the manner contemplated by this Agreement and the Deposit Agreement,</w:t>
      </w:r>
    </w:p>
    <w:p>
      <w:pPr>
        <w:jc w:val="both"/>
        <w:ind w:firstLine="8"/>
        <w:spacing w:after="0" w:line="253"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delivery of the Offered Securities (or the ADRs evidencing such Offered Securities, if any) to or for the account of the Underwriters in each case in the manner contemplated by this Agreement and the Deposit Agreement, (iii) the sale and delivery by the Underwriters of the Offered Securities (or the ADRs evidencing such Offered Securities, if any) to the initial purchasers thereof in the manner contemplated by this Agreement and the Deposit Agreement, and (iv) the execution and delivery of this Agreement and the Deposit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            </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The Company agrees to maintain a depositary for the Offered Securities.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(v)            </w:t>
      </w:r>
      <w:r>
        <w:rPr>
          <w:rFonts w:ascii="Times New Roman" w:cs="Times New Roman" w:eastAsia="Times New Roman" w:hAnsi="Times New Roman"/>
          <w:sz w:val="18"/>
          <w:szCs w:val="18"/>
          <w:b w:val="1"/>
          <w:bCs w:val="1"/>
          <w:i w:val="1"/>
          <w:iCs w:val="1"/>
          <w:color w:val="auto"/>
        </w:rPr>
        <w:t>Emerging Growth Company 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promptly notify the Representatives if the Company ceases to be an Emerging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Company at any time prior to the later of (i) the time when a prospectus relating to the Offered Securities is not required by the Securities Act to be delivered (whether physically or through compliance with Rule 172 under the Securities Act or any similar rule) and (ii) the expiration of the Lock-Up Period (as defined herein).</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Representatives, on behalf of the several Underwriters, may, in their sole discretion, waive in writing the performance by the Company of any one or more of the foregoing covenants or extend the time for their performance.</w:t>
      </w:r>
    </w:p>
    <w:p>
      <w:pPr>
        <w:spacing w:after="0" w:line="158"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4.            Payment of Expenses. </w:t>
      </w:r>
      <w:r>
        <w:rPr>
          <w:rFonts w:ascii="Times New Roman" w:cs="Times New Roman" w:eastAsia="Times New Roman" w:hAnsi="Times New Roman"/>
          <w:sz w:val="17"/>
          <w:szCs w:val="17"/>
          <w:color w:val="auto"/>
        </w:rPr>
        <w:t>The Company agrees to pay all costs, fees and expenses incurred in connection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of its obligations hereunder and in connection with the transactions contemplated hereby, including without limitation (i) all expenses incident to the issuance, sale and delivery of the Offered Securities (including all printing and engraving costs), (ii) all fees and expenses of the registrar and transfer agent of the Ordinary Shares, (iii) all fees and expenses of the Depositary related to the Offered Securities, (iv) all necessary Transfer Taxes in connection with the issuance and delivery of the Offered Securities to the Underwriters in the manner contemplated by this Agreement, (v) all fees and expenses of the Company’s counsel, independent public or certified public accountants and other advisors, (vi) all costs and expenses incurred in connection with the preparation, printing, filing, shipping and distribution of the Registration Statement (including financial statements, exhibits, schedules, consents and certificates of experts), the F-6 Registration Statement, the Time of Sale Prospectus, the Prospectus, each free writing prospectus prepared by or on behalf of, used by, or referred to by the Company, and each preliminary prospectus, and this Agreement, (vii)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Representatives, preparing and printing a “Blue Sky Survey” or memorandum (such fees and expenses of counsel relating to such qualification or registration not to exceed $5,000) and a “Canadian wrapper”, and any supplements thereto, advising the Underwriters of such qualifications, registrations and exemptions, (viii) the costs, fees and expenses incurred by the Underwriters in connection with determining their compliance with the rules and regulations of FINRA related to the Underwriters’ participation in the offering and distribution of the Offered Securities, including any related filing fees and the legal fees of, and disbursements by, counsel to the Underwriters in an amount not to exceed $35,000, (ix) the costs and expenses of the Company relating to investor presentations on any “road show undertaken in connection with the offering of the Offered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the employees and officers of the Company and any such consultants, and 50% of the cost of any aircraft chartered in connection with the road show (the remaining 50% of the cost of such aircraft to be paid by the Underwriters), and (ix) the fees and expenses associated with listing the Offered Securities on the Nasdaq. Except as provided in this Section 4 or in Section 7, Section 9 or Section 10 hereof, the Underwriters shall pay their own expenses, including the fees and disbursements of their counsel and their travel and lodging expenses.</w:t>
      </w:r>
    </w:p>
    <w:p>
      <w:pPr>
        <w:spacing w:after="0" w:line="400" w:lineRule="exact"/>
        <w:rPr>
          <w:sz w:val="20"/>
          <w:szCs w:val="20"/>
          <w:color w:val="auto"/>
        </w:rPr>
      </w:pPr>
    </w:p>
    <w:p>
      <w:pPr>
        <w:ind w:right="20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            Covenant of the Underwriters. </w:t>
      </w:r>
      <w:r>
        <w:rPr>
          <w:rFonts w:ascii="Times New Roman" w:cs="Times New Roman" w:eastAsia="Times New Roman" w:hAnsi="Times New Roman"/>
          <w:sz w:val="18"/>
          <w:szCs w:val="18"/>
          <w:color w:val="auto"/>
        </w:rPr>
        <w:t>Each Underwriter severally and not jointly covenants with the Company not to take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0" w:name="page31"/>
    <w:bookmarkEnd w:id="30"/>
    <w:p>
      <w:pPr>
        <w:ind w:right="120" w:firstLine="1296"/>
        <w:spacing w:after="0" w:line="258" w:lineRule="auto"/>
        <w:rPr>
          <w:sz w:val="20"/>
          <w:szCs w:val="20"/>
          <w:color w:val="auto"/>
        </w:rPr>
      </w:pPr>
      <w:r>
        <w:rPr>
          <w:rFonts w:ascii="Times New Roman" w:cs="Times New Roman" w:eastAsia="Times New Roman" w:hAnsi="Times New Roman"/>
          <w:sz w:val="18"/>
          <w:szCs w:val="18"/>
          <w:b w:val="1"/>
          <w:bCs w:val="1"/>
          <w:color w:val="auto"/>
        </w:rPr>
        <w:t>Section 6.            Conditions of the Obligations of the Underwriter</w:t>
      </w:r>
      <w:r>
        <w:rPr>
          <w:rFonts w:ascii="Times New Roman" w:cs="Times New Roman" w:eastAsia="Times New Roman" w:hAnsi="Times New Roman"/>
          <w:sz w:val="18"/>
          <w:szCs w:val="18"/>
          <w:color w:val="auto"/>
        </w:rPr>
        <w:t>s. The respective obligations of the several Underwriters hereunder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pay for the Offered Securities as provided herein on the First Closing Date and, with respect to the Optional Securities, each Option Closing Date, shall be subject to the accuracy of the representations and warranties on the part of the Company set forth in Section 1 hereof as of the date hereof and as of the First Closing Date as though then made and, with respect to the Optional Securities, as of each Option Closing Date as though then made, to the timely performance by the Company of its covenants and other obligations hereunder, and to each of the following additional conditions:   </w:t>
      </w:r>
    </w:p>
    <w:p>
      <w:pPr>
        <w:spacing w:after="0" w:line="20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i w:val="1"/>
          <w:iCs w:val="1"/>
          <w:color w:val="auto"/>
        </w:rPr>
        <w:t>Comfort Letters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hereof, the Representatives shall have received from PricewaterhouseCoopers LLP, independent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i w:val="1"/>
          <w:iCs w:val="1"/>
          <w:color w:val="auto"/>
        </w:rPr>
        <w:t>Compliance with Registration Requirements; No Stop Order; No Objection from FINRA.</w:t>
      </w:r>
    </w:p>
    <w:p>
      <w:pPr>
        <w:spacing w:after="0" w:line="229" w:lineRule="exact"/>
        <w:rPr>
          <w:sz w:val="20"/>
          <w:szCs w:val="20"/>
          <w:color w:val="auto"/>
        </w:rPr>
      </w:pPr>
    </w:p>
    <w:p>
      <w:pPr>
        <w:jc w:val="both"/>
        <w:ind w:right="560" w:firstLine="1296"/>
        <w:spacing w:after="0" w:line="261" w:lineRule="auto"/>
        <w:rPr>
          <w:sz w:val="20"/>
          <w:szCs w:val="20"/>
          <w:color w:val="auto"/>
        </w:rPr>
      </w:pPr>
      <w:r>
        <w:rPr>
          <w:rFonts w:ascii="Times New Roman" w:cs="Times New Roman" w:eastAsia="Times New Roman" w:hAnsi="Times New Roman"/>
          <w:sz w:val="18"/>
          <w:szCs w:val="18"/>
          <w:color w:val="auto"/>
        </w:rPr>
        <w:t>(i)            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previously omitted from the Registration Statement pursuant to Rule 430B, and such post-effective amendment shall have become effective.</w:t>
      </w:r>
    </w:p>
    <w:p>
      <w:pPr>
        <w:spacing w:after="0" w:line="180"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(ii)            No stop order suspending the effectiveness of the Registration Statement or any post-effective amendment to the Registration Statement or the F-6 Registration Statement or any post-effective amendment to the F-6 Registration Statement shall be in effect, and no proceedings for such purpose shall have been instituted or threatened by the Commission.</w:t>
      </w:r>
    </w:p>
    <w:p>
      <w:pPr>
        <w:spacing w:after="0" w:line="17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(iii)            FINRA shall have raised no objection to the fairness and reasonableness of the underwriting terms and arrangements.</w:t>
      </w:r>
    </w:p>
    <w:p>
      <w:pPr>
        <w:spacing w:after="0" w:line="221"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i w:val="1"/>
          <w:iCs w:val="1"/>
          <w:color w:val="auto"/>
        </w:rPr>
        <w:t>No Material Adverse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period from and after the date of this Agreement and through and including the First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with respect to any Optional Securities purchased after the First Closing Date, each Option Closing Date, in the judgment of the Representatives there shall not have occurred any Material Adverse Change.</w:t>
      </w:r>
    </w:p>
    <w:p>
      <w:pPr>
        <w:spacing w:after="0" w:line="17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Opinion of U.S. Counsel for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the opinion of Latham &amp; Watkins LLP, U.S. counsel for the Company, dated as of such date, in the form previously agreed to by, and reasonably satisfactory to, the Representatives.</w:t>
      </w:r>
    </w:p>
    <w:p>
      <w:pPr>
        <w:spacing w:after="0" w:line="171"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b w:val="1"/>
          <w:bCs w:val="1"/>
          <w:i w:val="1"/>
          <w:iCs w:val="1"/>
          <w:color w:val="auto"/>
        </w:rPr>
        <w:t>Opinion of UK Counsel for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the opinion of Latham &amp; Watkins (London) LLP, UK counsel for the Company, dated as of such date, in the form previously agreed to by, and reasonably satisfactory to, the Representatives.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1" w:name="page32"/>
    <w:bookmarkEnd w:id="31"/>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(f)            </w:t>
      </w:r>
      <w:r>
        <w:rPr>
          <w:rFonts w:ascii="Times New Roman" w:cs="Times New Roman" w:eastAsia="Times New Roman" w:hAnsi="Times New Roman"/>
          <w:sz w:val="18"/>
          <w:szCs w:val="18"/>
          <w:b w:val="1"/>
          <w:bCs w:val="1"/>
          <w:i w:val="1"/>
          <w:iCs w:val="1"/>
          <w:color w:val="auto"/>
        </w:rPr>
        <w:t>Opinion of J A Kemp.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 received the opinion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J A Kemp, counsel for the Company with respect to intellectual property matters, dated as of such date, in the form previously agreed to by, and reasonably satisfactory to, the Representatives.</w:t>
      </w:r>
    </w:p>
    <w:p>
      <w:pPr>
        <w:spacing w:after="0" w:line="171"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            </w:t>
      </w:r>
      <w:r>
        <w:rPr>
          <w:rFonts w:ascii="Times New Roman" w:cs="Times New Roman" w:eastAsia="Times New Roman" w:hAnsi="Times New Roman"/>
          <w:sz w:val="18"/>
          <w:szCs w:val="18"/>
          <w:b w:val="1"/>
          <w:bCs w:val="1"/>
          <w:i w:val="1"/>
          <w:iCs w:val="1"/>
          <w:color w:val="auto"/>
        </w:rPr>
        <w:t>Opinion of Tax Counsel for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the opinion of Latham &amp; Watkins LLP, special U.S. tax counsel for the Company, dated as of such date, in the form previously agreed to by, and reasonably satisfactory to, the Representatives.</w:t>
      </w:r>
    </w:p>
    <w:p>
      <w:pPr>
        <w:spacing w:after="0" w:line="171" w:lineRule="exact"/>
        <w:rPr>
          <w:sz w:val="20"/>
          <w:szCs w:val="20"/>
          <w:color w:val="auto"/>
        </w:rPr>
      </w:pPr>
    </w:p>
    <w:p>
      <w:pPr>
        <w:jc w:val="both"/>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(h)            </w:t>
      </w:r>
      <w:r>
        <w:rPr>
          <w:rFonts w:ascii="Times New Roman" w:cs="Times New Roman" w:eastAsia="Times New Roman" w:hAnsi="Times New Roman"/>
          <w:sz w:val="18"/>
          <w:szCs w:val="18"/>
          <w:b w:val="1"/>
          <w:bCs w:val="1"/>
          <w:i w:val="1"/>
          <w:iCs w:val="1"/>
          <w:color w:val="auto"/>
        </w:rPr>
        <w:t>Opinion of Counsel for the Depositary</w:t>
      </w:r>
      <w:r>
        <w:rPr>
          <w:rFonts w:ascii="Times New Roman" w:cs="Times New Roman" w:eastAsia="Times New Roman" w:hAnsi="Times New Roman"/>
          <w:sz w:val="18"/>
          <w:szCs w:val="18"/>
          <w:color w:val="auto"/>
        </w:rPr>
        <w:t>. On each of the First Closing Date and each Option Closing Date, the Representatives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the opinion of Patterson Belknap Webb &amp; Tyler LLP, counsel for the Depositary, dated as of such date, in the form previously agreed to by, and reasonably satisfactory to, the Representatives.</w:t>
      </w:r>
    </w:p>
    <w:p>
      <w:pPr>
        <w:spacing w:after="0" w:line="171"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b w:val="1"/>
          <w:bCs w:val="1"/>
          <w:i w:val="1"/>
          <w:iCs w:val="1"/>
          <w:color w:val="auto"/>
        </w:rPr>
        <w:t>Opinion of U.S. Counsel for the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received the opinion of Cooley LLP, U.S. counsel for the Underwriters in connection with the offer and sale of the Offered Securities, in form and substance reasonably satisfactory to the Underwriters, dated as of such date.</w:t>
      </w:r>
    </w:p>
    <w:p>
      <w:pPr>
        <w:spacing w:after="0" w:line="171"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(j)            </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 received a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the Chief Executive Officer or President of the Company and the Chief Financial Officer of the Company, dated as of such date, to the effect set forth in Section 6(b)(ii) and further to the effect that: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for the period from and including the date of this Agreement through and including such date, there has not occurred any Material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Change;</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(ii)           the representations, warranties and covenants of the Company set forth in Section 1 of this Agreement are true and correct with the same force and effect as though expressly made on and as of such date; and</w:t>
      </w:r>
    </w:p>
    <w:p>
      <w:pPr>
        <w:spacing w:after="0" w:line="162" w:lineRule="exact"/>
        <w:rPr>
          <w:sz w:val="20"/>
          <w:szCs w:val="20"/>
          <w:color w:val="auto"/>
        </w:rPr>
      </w:pPr>
    </w:p>
    <w:p>
      <w:pPr>
        <w:ind w:right="560" w:firstLine="1296"/>
        <w:spacing w:after="0" w:line="282" w:lineRule="auto"/>
        <w:rPr>
          <w:sz w:val="20"/>
          <w:szCs w:val="20"/>
          <w:color w:val="auto"/>
        </w:rPr>
      </w:pPr>
      <w:r>
        <w:rPr>
          <w:rFonts w:ascii="Times New Roman" w:cs="Times New Roman" w:eastAsia="Times New Roman" w:hAnsi="Times New Roman"/>
          <w:sz w:val="18"/>
          <w:szCs w:val="18"/>
          <w:color w:val="auto"/>
        </w:rPr>
        <w:t>(iii)          the Company has complied with all the agreements hereunder and satisfied all the conditions on its part to be performed or satisfied hereunder at or prior to such date.</w:t>
      </w:r>
    </w:p>
    <w:p>
      <w:pPr>
        <w:spacing w:after="0" w:line="158"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(k)            </w:t>
      </w: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 received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PricewaterhouseCoopers LLP, independent registered public accountants for the Company, a letter dated such date, in form and substance satisfactory to the Representatives, which letters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79" w:lineRule="exact"/>
        <w:rPr>
          <w:sz w:val="20"/>
          <w:szCs w:val="20"/>
          <w:color w:val="auto"/>
        </w:rPr>
      </w:pPr>
    </w:p>
    <w:p>
      <w:pPr>
        <w:jc w:val="both"/>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(l)            </w:t>
      </w:r>
      <w:r>
        <w:rPr>
          <w:rFonts w:ascii="Times New Roman" w:cs="Times New Roman" w:eastAsia="Times New Roman" w:hAnsi="Times New Roman"/>
          <w:sz w:val="18"/>
          <w:szCs w:val="18"/>
          <w:b w:val="1"/>
          <w:bCs w:val="1"/>
          <w:i w:val="1"/>
          <w:iCs w:val="1"/>
          <w:color w:val="auto"/>
        </w:rPr>
        <w:t>Lock-Up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prior to the date hereof, the Company shall have furnished to the Representatives an agreement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from each of the persons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each such agreement shall be in full force and effect on each of the First Closing Date and each Option Closing Date.</w:t>
      </w:r>
    </w:p>
    <w:p>
      <w:pPr>
        <w:spacing w:after="0" w:line="171"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(m)            </w:t>
      </w:r>
      <w:r>
        <w:rPr>
          <w:rFonts w:ascii="Times New Roman" w:cs="Times New Roman" w:eastAsia="Times New Roman" w:hAnsi="Times New Roman"/>
          <w:sz w:val="18"/>
          <w:szCs w:val="18"/>
          <w:b w:val="1"/>
          <w:bCs w:val="1"/>
          <w:i w:val="1"/>
          <w:iCs w:val="1"/>
          <w:color w:val="auto"/>
        </w:rPr>
        <w:t>Rule 462(b) Registration Statement</w:t>
      </w:r>
      <w:r>
        <w:rPr>
          <w:rFonts w:ascii="Times New Roman" w:cs="Times New Roman" w:eastAsia="Times New Roman" w:hAnsi="Times New Roman"/>
          <w:sz w:val="18"/>
          <w:szCs w:val="18"/>
          <w:color w:val="auto"/>
        </w:rPr>
        <w:t>. In the event that a Rule 462(b) Registration Statement is filed in connection with the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2" w:name="page33"/>
    <w:bookmarkEnd w:id="32"/>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            </w:t>
      </w:r>
      <w:r>
        <w:rPr>
          <w:rFonts w:ascii="Times New Roman" w:cs="Times New Roman" w:eastAsia="Times New Roman" w:hAnsi="Times New Roman"/>
          <w:sz w:val="18"/>
          <w:szCs w:val="18"/>
          <w:b w:val="1"/>
          <w:bCs w:val="1"/>
          <w:i w:val="1"/>
          <w:iCs w:val="1"/>
          <w:color w:val="auto"/>
        </w:rPr>
        <w:t>Deposit Agreement</w:t>
      </w:r>
      <w:r>
        <w:rPr>
          <w:rFonts w:ascii="Times New Roman" w:cs="Times New Roman" w:eastAsia="Times New Roman" w:hAnsi="Times New Roman"/>
          <w:sz w:val="18"/>
          <w:szCs w:val="18"/>
          <w:color w:val="auto"/>
        </w:rPr>
        <w:t>. The Deposit Agreement shall be in full force and effect. The Depositary shall have delivered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satisfactory to the Underwriters evidencing the deposit with the Custodian or its nominee of the Shares being so deposited against issuance of the Offered Securities to be delivered by the Company at such Closing Date.</w:t>
      </w:r>
    </w:p>
    <w:p>
      <w:pPr>
        <w:spacing w:after="0" w:line="171"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(o)            </w:t>
      </w:r>
      <w:r>
        <w:rPr>
          <w:rFonts w:ascii="Times New Roman" w:cs="Times New Roman" w:eastAsia="Times New Roman" w:hAnsi="Times New Roman"/>
          <w:sz w:val="18"/>
          <w:szCs w:val="18"/>
          <w:b w:val="1"/>
          <w:bCs w:val="1"/>
          <w:i w:val="1"/>
          <w:iCs w:val="1"/>
          <w:color w:val="auto"/>
        </w:rPr>
        <w:t>Chief Financial Officer’s Certificate</w:t>
      </w:r>
      <w:r>
        <w:rPr>
          <w:rFonts w:ascii="Times New Roman" w:cs="Times New Roman" w:eastAsia="Times New Roman" w:hAnsi="Times New Roman"/>
          <w:sz w:val="18"/>
          <w:szCs w:val="18"/>
          <w:color w:val="auto"/>
        </w:rPr>
        <w:t>. On the date of this Agreement and on each of the First Closing Date and each Option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case may be, the Representatives shall have received from the Chief Financial Officer, a certificate providing “management comfort” in form and substance reasonably satisfactory to the Representatives, dated the respective dates of delivery thereof and addressed to the Underwriters, with respect to certain financial information contained in the Registration Statement, the Time of Sale Prospectus, and each free writing prospectus, if any.</w:t>
      </w:r>
    </w:p>
    <w:p>
      <w:pPr>
        <w:spacing w:after="0" w:line="17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(p)            </w:t>
      </w:r>
      <w:r>
        <w:rPr>
          <w:rFonts w:ascii="Times New Roman" w:cs="Times New Roman" w:eastAsia="Times New Roman" w:hAnsi="Times New Roman"/>
          <w:sz w:val="18"/>
          <w:szCs w:val="18"/>
          <w:b w:val="1"/>
          <w:bCs w:val="1"/>
          <w:i w:val="1"/>
          <w:iCs w:val="1"/>
          <w:color w:val="auto"/>
        </w:rPr>
        <w:t>Additional Documents</w:t>
      </w:r>
      <w:r>
        <w:rPr>
          <w:rFonts w:ascii="Times New Roman" w:cs="Times New Roman" w:eastAsia="Times New Roman" w:hAnsi="Times New Roman"/>
          <w:sz w:val="18"/>
          <w:szCs w:val="18"/>
          <w:color w:val="auto"/>
        </w:rPr>
        <w:t>. On or before each of the First Closing Date and each Option Closing Date, the Representatives and counsel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Representatives and counsel for the Underwriters.</w:t>
      </w:r>
    </w:p>
    <w:p>
      <w:pPr>
        <w:spacing w:after="0" w:line="18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6 is not satisfied when and as required to be satisfied, this Agreement may be terminated by the Representatives by notice from the Representatives to the Company at any time on or prior to the First Closing Date and, with respect to the Optional Securities,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76"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            Reimbursement of Underwriters’ Expenses. </w:t>
      </w:r>
      <w:r>
        <w:rPr>
          <w:rFonts w:ascii="Times New Roman" w:cs="Times New Roman" w:eastAsia="Times New Roman" w:hAnsi="Times New Roman"/>
          <w:sz w:val="18"/>
          <w:szCs w:val="18"/>
          <w:color w:val="auto"/>
        </w:rPr>
        <w:t>If this Agreement is terminated by the Representatives pursuant to Section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Section 12,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Securities, including, but not limited to, fees and disbursements of counsel, printing expenses, travel expenses, postage, facsimile and telephone charges;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any such termination is effected after the First Closing Date but prior to any Option Closing Date with respect to the purchase of any Optional Securities, the Company shall only reimburse the Underwriters for all of their out-of-pocket expenses, including the reasonable fees and disbursements of counsel for the Underwriters, incurred after the First Closing Date in connection with the proposed purchase of any such Optional Securities. For the avoidance of doubt, it is understood that the Company will not pay or reimburse any costs, fees or expenses incurred by any Underwriter that defaults on its obligations to purchase the Offered Securities.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3" w:name="page34"/>
    <w:bookmarkEnd w:id="33"/>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8.            Effectiveness of this Agreement. </w:t>
      </w:r>
      <w:r>
        <w:rPr>
          <w:rFonts w:ascii="Times New Roman" w:cs="Times New Roman" w:eastAsia="Times New Roman" w:hAnsi="Times New Roman"/>
          <w:sz w:val="18"/>
          <w:szCs w:val="18"/>
          <w:color w:val="auto"/>
        </w:rPr>
        <w:t>This Agreement shall become effective upon the execution and delivery hereof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9.            Indemnification.</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i w:val="1"/>
          <w:iCs w:val="1"/>
          <w:color w:val="auto"/>
        </w:rPr>
        <w:t>Indemnification of the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indemnify and hold harmless each Underwriter, its affiliates,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the F-6 Registration Statement, or any amendment to the Registration Statement or F-6 Registration Statement, or the omission or alleged omission to state therein a material fact required to be stated in the Registration Statement or F-6 Registration Statement or necessary to make the statements in the Registration Statement or F-6 Registration Statement not misleading; or (ii) any untrue statement or alleged untrue statement of a material fact included or incorporated by reference in any preliminary prospectus, the Time of Sale Prospectus, any free writing prospectus that the Company has used, referred to or filed, or is required to file, pursuant to Rule 433(d) of the Securities Act, any Marketing Material, or the Prospectus (or any amendment or supplement to the foregoing), or the omission or alleged omission to state therein a material fact necessary in order to make the statements, in the light of the circumstances under which they were made, not misleading;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the F-6 Registration Statement, any preliminary prospectus, the Time of Sale Prospectus, any such free writing prospectus, any Marketing Material,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i w:val="1"/>
          <w:iCs w:val="1"/>
          <w:color w:val="auto"/>
        </w:rPr>
        <w:t>Indemnification of the Company, its Directors and Officers</w:t>
      </w:r>
      <w:r>
        <w:rPr>
          <w:rFonts w:ascii="Times New Roman" w:cs="Times New Roman" w:eastAsia="Times New Roman" w:hAnsi="Times New Roman"/>
          <w:sz w:val="18"/>
          <w:szCs w:val="18"/>
          <w:color w:val="auto"/>
        </w:rPr>
        <w:t>. Each Underwriter agrees, severally and not jointly, to indemnify and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harmless the Company, each of its directors, each of its officers who signed the Registration Statement and the F-6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the F-6 Registration Statement, or any amendment to the Registration Statement or F-6 Registration Statement, or the omission or alleged omission to state therein a material fact required to be stated in the Registration Statement or F-6 Registration Statement or necessary to make the statements in the Registration Statement or F-6 Registration Statement not misleading or (ii) any untrue statement or alleged untrue statement of a material fact included or incorporated by reference in any preliminary prospectus, the Time of Sale Prospectus,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the F-6 Registration Statement, such preliminary prospectus, the Time of Sale Prospectus, such free writing prospectus,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has furnished to the Company expressly for use in the Registration Statement, the F-6 Registration Statement, any preliminary prospectus, the Time of Sale Prospectus, any free writing prospectus that the Company has filed, or is required to file, pursuant to Rule 433(d) of the Securities Act, or the Prospectus (or any amendment or supplement to the foregoing) are the statements set forth in the fifth paragraph (relating to concession and reallowance figures) and the sixteenth through eighteenth paragraphs in each case, under the caption “Underwriting” in the Preliminary Prospectus Supplement and the Final Prospectus Supplement. The indemnity agreement set forth in this Section 9(b) shall be in addition to any liabilities that each Underwriter may otherwise have.</w:t>
      </w:r>
    </w:p>
    <w:p>
      <w:pPr>
        <w:spacing w:after="0" w:line="204"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i w:val="1"/>
          <w:iCs w:val="1"/>
          <w:color w:val="auto"/>
        </w:rPr>
        <w:t>Notifications and Other Indemnification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after receipt by an indemnified party under this Section 9 of notice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commencement of any action, such indemnified party will, if a claim in respect thereof is to be made against an indemnifying party under this Section 9, notify the indemnifying party in writing of the commencement thereof, but the omission so to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5" w:name="page36"/>
    <w:bookmarkEnd w:id="35"/>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Settlements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indemnifying party under this Section 9 shall not be liable for any settlement of any proceeding effected without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90" w:lineRule="exact"/>
        <w:rPr>
          <w:sz w:val="20"/>
          <w:szCs w:val="20"/>
          <w:color w:val="auto"/>
        </w:rPr>
      </w:pPr>
    </w:p>
    <w:p>
      <w:pPr>
        <w:ind w:right="140"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            Contribution. </w:t>
      </w:r>
      <w:r>
        <w:rPr>
          <w:rFonts w:ascii="Times New Roman" w:cs="Times New Roman" w:eastAsia="Times New Roman" w:hAnsi="Times New Roman"/>
          <w:sz w:val="18"/>
          <w:szCs w:val="18"/>
          <w:color w:val="auto"/>
        </w:rPr>
        <w:t>If the indemnification provided for in Section 9 is for any reason held to be unavailable to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Securities pursuant to this Agreement or (ii) if the allocation provided by clause (i) above is not permitted by applicable law, in such proportion as is appropriate to reflect not only the relative benefits referred to in clause</w:t>
      </w:r>
    </w:p>
    <w:p>
      <w:pPr>
        <w:spacing w:after="0" w:line="4" w:lineRule="exact"/>
        <w:rPr>
          <w:sz w:val="20"/>
          <w:szCs w:val="20"/>
          <w:color w:val="auto"/>
        </w:rPr>
      </w:pPr>
    </w:p>
    <w:p>
      <w:pPr>
        <w:ind w:right="20" w:firstLine="8"/>
        <w:spacing w:after="0" w:line="251"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Securities pursuant to this Agreement shall be deemed to be in the same respective proportions as the total proceeds from the offering of the Offered Securities pursuant to this Agreement (before deducting expenses) received by the Company, and the total underwriting discounts and commissions received by the Underwriters, in each case as set forth on the front cover page of the Prospectus, bear to the aggregate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6" w:name="page37"/>
    <w:bookmarkEnd w:id="36"/>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notice shall be required with respect to any action for which notice has been given under Section 9(c) for purposes of indemnification.</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provisions of this Section 10,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or the F-6 Registration Statement, and each person, if any, who controls the Company within the meaning of the Securities Act and the Exchange Act shall have the same rights to contribution as the Company.</w:t>
      </w:r>
    </w:p>
    <w:p>
      <w:pPr>
        <w:spacing w:after="0" w:line="184"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Section 11.            Default of One or More of the Several Underwriters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 the First Closing Date or any Option Closing Date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more of the several Underwriters shall fail or refuse to purchase Offered Securities that it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Representatives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Securities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bears to the aggregate number of Firm Securities set forth opposite the names of all such non-defaulting Underwriters, or in such other proportions as may be specified by the Representatives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Representatives and the Company for the purchase of such Offered Securities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Section 12.            Termination of this Agreement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purchase of the Firm Securities by the Underwriters on the First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this Agreement may be terminated by the Representatives by notice given to the Company if at any time: (i) trading or quotation in any of the Company’s securities shall have been suspended or limited by the Commission, the Nasdaq, or trading in securities generally on any of the Nasdaq or the New York Stock Exchange shall have been suspended or limited, or minimum or maximum prices shall have been generally established on any of such stock exchanges; (ii) a general banking moratorium shall have been declared by any federal, New York or United Kingdom authorities; (iii) there shall have occurred any outbreak or escalation of national or international hostilities or any crisis or calamity, or any change in the United States, United Kingdom or international financial markets, or any substantial change or development involving a prospective substantial change in United States, United Kingdom or international political, financial or economic conditions, as in the judgment of the Representatives is material and adverse and makes it impracticable to market the Offered Securities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provisions of Section 9 and Section 10 shall at all times be effective and shall survive such termination.</w:t>
      </w:r>
    </w:p>
    <w:p>
      <w:pPr>
        <w:spacing w:after="0" w:line="183" w:lineRule="exact"/>
        <w:rPr>
          <w:sz w:val="20"/>
          <w:szCs w:val="20"/>
          <w:color w:val="auto"/>
        </w:rPr>
      </w:pPr>
    </w:p>
    <w:p>
      <w:pPr>
        <w:ind w:right="40" w:firstLine="1296"/>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13.            No Advisory or Fiduciary Relationship. </w:t>
      </w:r>
      <w:r>
        <w:rPr>
          <w:rFonts w:ascii="Times New Roman" w:cs="Times New Roman" w:eastAsia="Times New Roman" w:hAnsi="Times New Roman"/>
          <w:sz w:val="17"/>
          <w:szCs w:val="17"/>
          <w:color w:val="auto"/>
        </w:rPr>
        <w:t>The Company acknowledges and agrees that (a) the purchase and sale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Offered 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and does not constitute a recommendation, investment advice, or solicitation of any actions by the Underwriters,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(e) the Underwriters have not provided any legal, accounting, regulatory or tax advice with respect to the offering contemplated hereby, and the Company has consulted its own legal, accounting, regulatory and tax advisors to the extent it deemed appropriate and (f)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8" w:name="page39"/>
    <w:bookmarkEnd w:id="38"/>
    <w:p>
      <w:pPr>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Section 14.            Representations and Indemnities to Survive Delivery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indemnities, agreements,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Securities sold hereunder and any termination of this Agreement.</w:t>
      </w:r>
    </w:p>
    <w:p>
      <w:pPr>
        <w:spacing w:after="0" w:line="179" w:lineRule="exact"/>
        <w:rPr>
          <w:sz w:val="20"/>
          <w:szCs w:val="20"/>
          <w:color w:val="auto"/>
        </w:rPr>
      </w:pPr>
    </w:p>
    <w:p>
      <w:pPr>
        <w:ind w:right="66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15.            Notices. </w:t>
      </w:r>
      <w:r>
        <w:rPr>
          <w:rFonts w:ascii="Times New Roman" w:cs="Times New Roman" w:eastAsia="Times New Roman" w:hAnsi="Times New Roman"/>
          <w:sz w:val="18"/>
          <w:szCs w:val="18"/>
          <w:color w:val="auto"/>
        </w:rPr>
        <w:t>All communications hereunder shall be in writing and shall be mailed, hand delivered or telecopied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confirmed to the parties hereto as follows: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Representatives:                      Jefferies LLC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Facsimile: (646) 619-4437</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U.S. Bancorp Center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1251 Avenue of the Americas, 7th Floor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Equity Capital Markets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Piper Sandler General Counsel</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U.S. Bancorp Center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800 Nicollet Mall</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LegalCapMarkets@pjc.com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c/o Truist Securities, Inc.</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3333 Peachtree Road, NE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Atlanta, Georgia 30326</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                                         Cooley LLP</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New York, New York 10001-2157</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Divakar Gupta</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dgupta@cooley.com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Verona Pharma plc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London SE1 2RE UK</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Mark Hahn, CFO</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Mark.Hahn@veronapharma.com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Latham &amp; Watkins LLP</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Peter N. Handrinos</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Peter.Handrinos@lw.com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9" w:name="page40"/>
    <w:bookmarkEnd w:id="39"/>
    <w:p>
      <w:pPr>
        <w:ind w:right="12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Section 16.            Successors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will inure to the benefit of and be binding upon the parties hereto, including any substitute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“successors” shall not include any purchaser of the Offered Securities as such from any of the Underwriters merely by reason of such purchase.</w:t>
      </w:r>
    </w:p>
    <w:p>
      <w:pPr>
        <w:spacing w:after="0" w:line="176" w:lineRule="exact"/>
        <w:rPr>
          <w:sz w:val="20"/>
          <w:szCs w:val="20"/>
          <w:color w:val="auto"/>
        </w:rPr>
      </w:pPr>
    </w:p>
    <w:p>
      <w:pPr>
        <w:ind w:right="2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17.            Partial Unenforceability. </w:t>
      </w:r>
      <w:r>
        <w:rPr>
          <w:rFonts w:ascii="Times New Roman" w:cs="Times New Roman" w:eastAsia="Times New Roman" w:hAnsi="Times New Roman"/>
          <w:sz w:val="18"/>
          <w:szCs w:val="18"/>
          <w:color w:val="auto"/>
        </w:rPr>
        <w:t>The invalidity or unenforceability of any section, paragraph or provision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Section 18.            Governing Law Provisions; Currency Provisions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internal laws of the State of New York 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has irrevocably appointed Verona Pharma, Inc., which currently maintains a registered office at 8045 Arco Corporate Dr Ste 130, Raleigh, NC 27617, United States of America, as its agent to receive service of process or other legal summons for purposes of any such suit, action or proceeding that may be instituted in any state or federal court in the Borough of Manhattan in the City of New York, United States of America.</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0" w:name="page41"/>
    <w:bookmarkEnd w:id="40"/>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obligations of the Company pursuant to this Agreement in respect of any sum due to any Underwriter shall, notwithstanding any judgment in a currency other than United States dollars, not be discharged until the first business day, following receipt by any Underwriter of any sum adjudged to be so due in such other currency, on which such Underwriter may in accordance with normal banking procedures purchase United States dollars with such other currency. If the United States dollars so purchased are less than the sum originally due to such Underwriter in United States dollars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payments made by the Company under this Agreement, if any, will be made without withholding or deduction for or on account of any present or future taxes, duties, levies, imposts, fees, assessments or governmental charges of whatever nature (other than taxes on net income) unless the Company is or becomes required by law to withhold or deduct such taxes, duties, levies, imposts, fees, assessments or other governmental charges. In such event, the Company will pay such additional amounts as will result, after such withholding or deduction, in the receipt by each Underwriter of the amounts that would otherwise have been receivable in respect thereof.</w:t>
      </w:r>
    </w:p>
    <w:p>
      <w:pPr>
        <w:spacing w:after="0" w:line="183"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If the performance by the Underwriters of any of their obligations under this Agreement shall represent for VAT purposes under any applicable law the making by the Underwriters of any supply of goods or services to the Company (to the extent applicable), the Company shall pay to the Underwriters, in addition to the amounts otherwise payable by the Company pursuant to this Agreement, an amount equal to the VAT chargeable on any such supply of goods and services provided that the Underwriters have issued the Company with an appropriate VAT invoice in respect of the supply to which the payment relates. Where a sum (a “</w:t>
      </w:r>
      <w:r>
        <w:rPr>
          <w:rFonts w:ascii="Times New Roman" w:cs="Times New Roman" w:eastAsia="Times New Roman" w:hAnsi="Times New Roman"/>
          <w:sz w:val="18"/>
          <w:szCs w:val="18"/>
          <w:b w:val="1"/>
          <w:bCs w:val="1"/>
          <w:color w:val="auto"/>
        </w:rPr>
        <w:t>Relevant Sum</w:t>
      </w:r>
      <w:r>
        <w:rPr>
          <w:rFonts w:ascii="Times New Roman" w:cs="Times New Roman" w:eastAsia="Times New Roman" w:hAnsi="Times New Roman"/>
          <w:sz w:val="18"/>
          <w:szCs w:val="18"/>
          <w:color w:val="auto"/>
        </w:rPr>
        <w:t>”) is paid or reimbursed to the Underwriters pursuant to this Agreement in respect of any cost, expense or other amount and that cost, expense or other amount includes an amount in respect of irrecoverable VAT (the “</w:t>
      </w:r>
      <w:r>
        <w:rPr>
          <w:rFonts w:ascii="Times New Roman" w:cs="Times New Roman" w:eastAsia="Times New Roman" w:hAnsi="Times New Roman"/>
          <w:sz w:val="18"/>
          <w:szCs w:val="18"/>
          <w:b w:val="1"/>
          <w:bCs w:val="1"/>
          <w:color w:val="auto"/>
        </w:rPr>
        <w:t>VAT Element</w:t>
      </w:r>
      <w:r>
        <w:rPr>
          <w:rFonts w:ascii="Times New Roman" w:cs="Times New Roman" w:eastAsia="Times New Roman" w:hAnsi="Times New Roman"/>
          <w:sz w:val="18"/>
          <w:szCs w:val="18"/>
          <w:color w:val="auto"/>
        </w:rPr>
        <w:t>”), then the Company, to the extent applicable, shall, in addition, pay an amount equal to the VAT Element to the Underwriters. For the purposes of this Agreement,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means value added tax as provided for in the Value Added Tax Act 1994 (“</w:t>
      </w:r>
      <w:r>
        <w:rPr>
          <w:rFonts w:ascii="Times New Roman" w:cs="Times New Roman" w:eastAsia="Times New Roman" w:hAnsi="Times New Roman"/>
          <w:sz w:val="18"/>
          <w:szCs w:val="18"/>
          <w:b w:val="1"/>
          <w:bCs w:val="1"/>
          <w:color w:val="auto"/>
        </w:rPr>
        <w:t>VATA</w:t>
      </w:r>
      <w:r>
        <w:rPr>
          <w:rFonts w:ascii="Times New Roman" w:cs="Times New Roman" w:eastAsia="Times New Roman" w:hAnsi="Times New Roman"/>
          <w:sz w:val="18"/>
          <w:szCs w:val="18"/>
          <w:color w:val="auto"/>
        </w:rPr>
        <w:t>”) and subordinate legislation made under VATA as amended, modified or re-enacted (whether before or after the date of this Agreement) and any similar sales, goods and services, consumption, use or turnover tax whether within the United Kingdom or elsewhere in the world.</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19.            Recognition of the U.S. Special Resolution Regimes.</w:t>
      </w:r>
    </w:p>
    <w:p>
      <w:pPr>
        <w:spacing w:after="0" w:line="225" w:lineRule="exact"/>
        <w:rPr>
          <w:sz w:val="20"/>
          <w:szCs w:val="20"/>
          <w:color w:val="auto"/>
        </w:rPr>
      </w:pPr>
    </w:p>
    <w:p>
      <w:pPr>
        <w:ind w:right="24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In the event that any Underwriter that is a Covered Entity becomes subject to a proceeding under a U.S. Special Resolution Regime, the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6"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In the event that any Underwriter that is a Covered Entity or a BHC Act Affiliate of such Underwriter becomes subject to a proceeding under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line="256" w:lineRule="auto"/>
        <w:rPr>
          <w:sz w:val="20"/>
          <w:szCs w:val="20"/>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3"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20.            General Provisions. </w:t>
      </w:r>
      <w:r>
        <w:rPr>
          <w:rFonts w:ascii="Times New Roman" w:cs="Times New Roman" w:eastAsia="Times New Roman" w:hAnsi="Times New Roman"/>
          <w:sz w:val="18"/>
          <w:szCs w:val="18"/>
          <w:color w:val="auto"/>
        </w:rPr>
        <w:t>This Agreement may be executed in any number of counterparts, each of which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Zaccardelli, Pharm.D.</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3" w:name="page44"/>
    <w:bookmarkEnd w:id="43"/>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Underwriting Agreement is hereby confirmed and accepted by the Representatives in New York, New York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individually and as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attached Schedule 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Matthew Kim</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PIPER SANDLER &amp; CO.</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Neil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Neil Riley</w:t>
      </w:r>
    </w:p>
    <w:p>
      <w:pPr>
        <w:spacing w:after="0" w:line="23"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TRUIST SECURITIES,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Charles Mather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Charles Mather</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320" w:top="904" w:right="7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w w:val="97"/>
              </w:rPr>
              <w:t>Schedule A</w:t>
            </w:r>
          </w:p>
        </w:tc>
      </w:tr>
      <w:tr>
        <w:trPr>
          <w:trHeight w:val="387"/>
        </w:trPr>
        <w:tc>
          <w:tcPr>
            <w:tcW w:w="8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Firm Securities</w:t>
            </w:r>
          </w:p>
        </w:tc>
      </w:tr>
      <w:tr>
        <w:trPr>
          <w:trHeight w:val="238"/>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 be Purchased</w:t>
            </w:r>
          </w:p>
        </w:tc>
      </w:tr>
      <w:tr>
        <w:trPr>
          <w:trHeight w:val="209"/>
        </w:trPr>
        <w:tc>
          <w:tcPr>
            <w:tcW w:w="81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ADSs</w:t>
            </w:r>
          </w:p>
        </w:tc>
        <w:tc>
          <w:tcPr>
            <w:tcW w:w="100" w:type="dxa"/>
            <w:vAlign w:val="bottom"/>
            <w:tcBorders>
              <w:bottom w:val="single" w:sz="8" w:color="CCEEFF"/>
            </w:tcBorders>
          </w:tcPr>
          <w:p>
            <w:pPr>
              <w:spacing w:after="0"/>
              <w:rPr>
                <w:sz w:val="18"/>
                <w:szCs w:val="18"/>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4,960,000</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3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3,596,000</w:t>
            </w:r>
          </w:p>
        </w:tc>
      </w:tr>
      <w:tr>
        <w:trPr>
          <w:trHeight w:val="216"/>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3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1,612,000</w:t>
            </w: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Wedbush Securities Inc.</w:t>
            </w:r>
          </w:p>
        </w:tc>
        <w:tc>
          <w:tcPr>
            <w:tcW w:w="3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992,000</w:t>
            </w:r>
          </w:p>
        </w:tc>
      </w:tr>
      <w:tr>
        <w:trPr>
          <w:trHeight w:val="216"/>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BTIG, LLC</w:t>
            </w:r>
          </w:p>
        </w:tc>
        <w:tc>
          <w:tcPr>
            <w:tcW w:w="3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682,000</w:t>
            </w:r>
          </w:p>
        </w:tc>
      </w:tr>
      <w:tr>
        <w:trPr>
          <w:trHeight w:val="230"/>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3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558,000</w:t>
            </w:r>
          </w:p>
        </w:tc>
      </w:tr>
      <w:tr>
        <w:trPr>
          <w:trHeight w:val="223"/>
        </w:trPr>
        <w:tc>
          <w:tcPr>
            <w:tcW w:w="822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Free Writing Prospectuses Included in the Time of Sale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Pricing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                  $10.50 per ADS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Securities:                 12,400,000 ADSs, each representing eight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Securities:         1,860,000 ADSs, each representing eight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1251 Avenue of the Americas, 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Truist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3333 Peachtree Road,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Verona Pharma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is an officer or director of the Company and/or a holder of ordinary shares, nominal value £0.05 per share, in the capital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or of securities convertible into or exchangeable or exercisable for Ordinary Shares and/or of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Ordinary Shares (each ADS representing eight Ordinary Shares). The Company proposes to conduct a public offering of ADSs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for which Jefferies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Piper Sandler &amp; Co. (“</w:t>
      </w:r>
      <w:r>
        <w:rPr>
          <w:rFonts w:ascii="Times New Roman" w:cs="Times New Roman" w:eastAsia="Times New Roman" w:hAnsi="Times New Roman"/>
          <w:sz w:val="18"/>
          <w:szCs w:val="18"/>
          <w:b w:val="1"/>
          <w:bCs w:val="1"/>
          <w:color w:val="auto"/>
        </w:rPr>
        <w:t>Piper Sandler</w:t>
      </w:r>
      <w:r>
        <w:rPr>
          <w:rFonts w:ascii="Times New Roman" w:cs="Times New Roman" w:eastAsia="Times New Roman" w:hAnsi="Times New Roman"/>
          <w:sz w:val="18"/>
          <w:szCs w:val="18"/>
          <w:color w:val="auto"/>
        </w:rPr>
        <w:t>”) and Truist Securities, Inc. will act as representatives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the several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The undersigned recognizes that the Offering will benefit each of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The undersigned acknowledges that the Underwriters are relying on the representations and agreements of the undersigned contained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agreement in conducting the Offering and, at a subsequent date, in entering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underwriting arrangements with the Company with respect to the Offering.</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Annex A sets forth definitions for capitalized terms used in this letter agreement that are not defined in the body of this letter agreement. Those definitions are a part of this letter agreement.</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Jefferies and Piper Sandler, which may withhold their consent in their sole discretion:</w:t>
      </w:r>
    </w:p>
    <w:p>
      <w:pPr>
        <w:spacing w:after="0" w:line="176" w:lineRule="exact"/>
        <w:rPr>
          <w:sz w:val="20"/>
          <w:szCs w:val="20"/>
          <w:color w:val="auto"/>
        </w:rPr>
      </w:pPr>
    </w:p>
    <w:p>
      <w:pPr>
        <w:ind w:left="980" w:right="420" w:hanging="648"/>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Offer to Sell any Ordinary Shares or Related Securities currently or hereafter owned either of record or beneficially (as defined in Rule 13d-3 under the Exchange Act) by the undersigned or such Family Member,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w:t>
      </w:r>
    </w:p>
    <w:p>
      <w:pPr>
        <w:spacing w:after="0" w:line="225" w:lineRule="exact"/>
        <w:rPr>
          <w:rFonts w:ascii="Times New Roman" w:cs="Times New Roman" w:eastAsia="Times New Roman" w:hAnsi="Times New Roman"/>
          <w:sz w:val="18"/>
          <w:szCs w:val="18"/>
          <w:color w:val="auto"/>
        </w:rPr>
      </w:pPr>
    </w:p>
    <w:p>
      <w:pPr>
        <w:ind w:left="980" w:right="400" w:hanging="648"/>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under the Securities Act of the offer and sale of any Ordinary Shares or Related Securities, or cause to be filed a registration statement, prospectus or prospectus supplement (or an amendment or supplement thereto) with respect to any such registration, or</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do any of the foregoing.</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foregoing will not apply to (i) the registration of the offer and sale of the ADSs and the sale of such ADSs to the Underwriters, in each case, as contemplated by the Underwriting Agreement or (ii) the deposit of Ordinary Shares with the Depositary in exchange for the issuance of ADSs, or the cancellation of ADSs in exchange for the issuance of Ordinary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ADSs or Ordinary Shares issued pursuant to this clause (ii) held by the undersigned shall remain subject to the terms of this letter agreement. In addition, the foregoing restrictions shall not apply to:</w:t>
      </w:r>
    </w:p>
    <w:p>
      <w:pPr>
        <w:spacing w:after="0" w:line="180" w:lineRule="exact"/>
        <w:rPr>
          <w:sz w:val="20"/>
          <w:szCs w:val="20"/>
          <w:color w:val="auto"/>
        </w:rPr>
      </w:pPr>
    </w:p>
    <w:p>
      <w:pPr>
        <w:ind w:left="980" w:right="640" w:hanging="64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Ordinary Shares or Related Securities by gift, or by will or intestate succession to a Family Member or to a trust whose beneficiaries consist exclusively of one or more of the undersigned and/or a Family Member;</w:t>
      </w:r>
    </w:p>
    <w:p>
      <w:pPr>
        <w:spacing w:after="0" w:line="161" w:lineRule="exact"/>
        <w:rPr>
          <w:rFonts w:ascii="Times New Roman" w:cs="Times New Roman" w:eastAsia="Times New Roman" w:hAnsi="Times New Roman"/>
          <w:sz w:val="18"/>
          <w:szCs w:val="18"/>
          <w:color w:val="auto"/>
        </w:rPr>
      </w:pPr>
    </w:p>
    <w:p>
      <w:pPr>
        <w:ind w:left="980" w:right="80" w:hanging="648"/>
        <w:spacing w:after="0" w:line="254"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transfers or dispositions of Ordinary Shares or Related Securities to any corporation, partnership, limited liability company or other legal entity, all of the beneficial ownership interests of which are held by the undersigned or any Family Member or that controls or is controlled by, or is under common control with, the undersigned, or (y) in the case of an investment fund, that is managed by, or is under common management with, the undersigned (including, for the avoidance of doubt,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 distributions of Ordinary Shares or Related Securities to limited partners, members, stockholders or other equityholders of the undersigned,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each case, any such transfer or distribution shall not involve a disposition for value; and</w:t>
      </w:r>
    </w:p>
    <w:p>
      <w:pPr>
        <w:spacing w:after="0" w:line="191" w:lineRule="exact"/>
        <w:rPr>
          <w:rFonts w:ascii="Times New Roman" w:cs="Times New Roman" w:eastAsia="Times New Roman" w:hAnsi="Times New Roman"/>
          <w:sz w:val="18"/>
          <w:szCs w:val="18"/>
          <w:color w:val="auto"/>
        </w:rPr>
      </w:pPr>
    </w:p>
    <w:p>
      <w:pPr>
        <w:ind w:left="980" w:right="620" w:hanging="64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Ordinary Shares or Related Securities by operation of law, including pursuant to a domestic order or negotiated divorce settlement;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any such transfer or distribution, it shall be a condition to such transfer that:</w:t>
      </w:r>
    </w:p>
    <w:p>
      <w:pPr>
        <w:spacing w:after="0" w:line="227" w:lineRule="exact"/>
        <w:rPr>
          <w:sz w:val="20"/>
          <w:szCs w:val="20"/>
          <w:color w:val="auto"/>
        </w:rPr>
      </w:pPr>
    </w:p>
    <w:p>
      <w:pPr>
        <w:ind w:left="980" w:right="20" w:hanging="648"/>
        <w:spacing w:after="0" w:line="258"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donee, transferee or distributee executes and delivers to the Representatives an agreement in form and substance satisfactory to the Representatives stating that such donee, transferee or distributee is receiving and holding such Ordinary Shares and/or Related Securities subject to the provisions of this letter agreement and agrees not to Sell or Offer to Sell such Ordinary Shares and/or Related Securities, engage in any Swap or engage in any other activities restricted under this letter agreement except in accordance with this letter agreement (as if such donee, transferee or distributee had been an original signatory hereto), and</w:t>
      </w:r>
    </w:p>
    <w:p>
      <w:pPr>
        <w:spacing w:after="0" w:line="183"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any public report or filing, including under the Exchange Act, shall clearly indicate in the footnotes thereto that the filing relates to such distribution or transfer and no voluntary public disclosure or filing shall be made in connection with such transfer or distribution.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Furthermore, notwithstanding the restrictions imposed by this letter agreement, the undersigned may:</w:t>
      </w:r>
    </w:p>
    <w:p>
      <w:pPr>
        <w:spacing w:after="0" w:line="225" w:lineRule="exact"/>
        <w:rPr>
          <w:sz w:val="20"/>
          <w:szCs w:val="20"/>
          <w:color w:val="auto"/>
        </w:rPr>
      </w:pPr>
    </w:p>
    <w:p>
      <w:pPr>
        <w:ind w:left="980" w:right="60" w:hanging="648"/>
        <w:spacing w:after="0" w:line="25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an option or other equity award to purchase Ordinary Shares or ADSs, as applicable, granted under any of the Company’s equity incentive plans or equity purchase plans, whether for cash or by net exercise or “cashless” exercise,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Ordinary Shares or ADSs, as applicable, shall continue to be subject to the restrictions on transfer set forth in this letter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required, any public report or filing, including under the Exchange Act, shall clearly indicate in the footnotes thereto that the filing relates to the exercise of an option, that no Ordinary Shares or ADSs, as applicable, were sold by the reporting person and that Ordinary Shares or ADSs, as applicable, received upon exercise of the option are subject to this letter agreement;</w:t>
      </w:r>
    </w:p>
    <w:p>
      <w:pPr>
        <w:spacing w:after="0" w:line="183" w:lineRule="exact"/>
        <w:rPr>
          <w:rFonts w:ascii="Times New Roman" w:cs="Times New Roman" w:eastAsia="Times New Roman" w:hAnsi="Times New Roman"/>
          <w:sz w:val="18"/>
          <w:szCs w:val="18"/>
          <w:color w:val="auto"/>
        </w:rPr>
      </w:pPr>
    </w:p>
    <w:p>
      <w:pPr>
        <w:ind w:left="980" w:right="180" w:hanging="648"/>
        <w:spacing w:after="0" w:line="268"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trading plan pursuant to Rule 10b5-1 under the Exchange Act (“</w:t>
      </w:r>
      <w:r>
        <w:rPr>
          <w:rFonts w:ascii="Times New Roman" w:cs="Times New Roman" w:eastAsia="Times New Roman" w:hAnsi="Times New Roman"/>
          <w:sz w:val="18"/>
          <w:szCs w:val="18"/>
          <w:b w:val="1"/>
          <w:bCs w:val="1"/>
          <w:color w:val="auto"/>
        </w:rPr>
        <w:t>10b5-1 Plan</w:t>
      </w:r>
      <w:r>
        <w:rPr>
          <w:rFonts w:ascii="Times New Roman" w:cs="Times New Roman" w:eastAsia="Times New Roman" w:hAnsi="Times New Roman"/>
          <w:sz w:val="18"/>
          <w:szCs w:val="18"/>
          <w:color w:val="auto"/>
        </w:rPr>
        <w:t xml:space="preserve">”) for the transfer of Ordinary Shares or ADSs,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plan does not provide for any transfers of Ordinary Shares or Related Securities during the Lock-up Period and the entry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such plan is not publicly disclosed, including in any filings under the Exchange Act, during the Lock-up Period;</w:t>
      </w:r>
    </w:p>
    <w:p>
      <w:pPr>
        <w:spacing w:after="0" w:line="174" w:lineRule="exact"/>
        <w:rPr>
          <w:rFonts w:ascii="Times New Roman" w:cs="Times New Roman" w:eastAsia="Times New Roman" w:hAnsi="Times New Roman"/>
          <w:sz w:val="18"/>
          <w:szCs w:val="18"/>
          <w:color w:val="auto"/>
        </w:rPr>
      </w:pPr>
    </w:p>
    <w:p>
      <w:pPr>
        <w:ind w:left="980" w:right="8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or dispose of ADSs acquired in the Offering or Ordinary Shares or ADSs acquired on the open market following the Offering,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public report or filing, including under the Exchange Act, reporting a reduction in beneficial ownership shall be required,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voluntarily, in connection with such transfer or disposition during the Lock-Up Period;</w:t>
      </w:r>
    </w:p>
    <w:p>
      <w:pPr>
        <w:spacing w:after="0" w:line="175" w:lineRule="exact"/>
        <w:rPr>
          <w:rFonts w:ascii="Times New Roman" w:cs="Times New Roman" w:eastAsia="Times New Roman" w:hAnsi="Times New Roman"/>
          <w:sz w:val="18"/>
          <w:szCs w:val="18"/>
          <w:color w:val="auto"/>
        </w:rPr>
      </w:pPr>
    </w:p>
    <w:p>
      <w:pPr>
        <w:ind w:left="980" w:hanging="648"/>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Ordinary Shares or ADSs to the Company as forfeitures to satisfy tax withholding obligations of the undersigned in connection with the vesting or exercise of equity awards by the undersigned pursuant to the Company’s equity incentive plans,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required, any public report or filing, including under the Exchange Act, shall clearly indicate in the footnotes thereto that the purpose of such transfer was to cover tax obligations of the undersigned in connection with such vesting or exercise;</w:t>
      </w:r>
    </w:p>
    <w:p>
      <w:pPr>
        <w:spacing w:after="0" w:line="179" w:lineRule="exact"/>
        <w:rPr>
          <w:rFonts w:ascii="Times New Roman" w:cs="Times New Roman" w:eastAsia="Times New Roman" w:hAnsi="Times New Roman"/>
          <w:sz w:val="18"/>
          <w:szCs w:val="18"/>
          <w:color w:val="auto"/>
        </w:rPr>
      </w:pPr>
    </w:p>
    <w:p>
      <w:pPr>
        <w:ind w:left="980" w:right="40" w:hanging="648"/>
        <w:spacing w:after="0" w:line="255"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sell, tender or otherwise dispose of Ordinary Shares or ADSs pursuant to a bona fide third-party tender offer for all outstanding shares of the Company, merger, consolidation or other similar transaction made to all holders of the Company’s securities involving a change of control of the Company (including, without limitation, the entering into any lock-up, voting or similar agreement pursuant to which the undersigned may agree to transfer, sell, tender or otherwise dispose of Ordinary Shares, ADSs, or other such securities in connection with such transaction, or vote any Ordinary Shares, ADSs, or other such securities in favor of any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such transaction is not completed, such securities held by the undersigned shall remain subject to the provisions of this letter agreement;[ or]</w:t>
      </w:r>
    </w:p>
    <w:p>
      <w:pPr>
        <w:spacing w:after="0" w:line="188" w:lineRule="exact"/>
        <w:rPr>
          <w:rFonts w:ascii="Times New Roman" w:cs="Times New Roman" w:eastAsia="Times New Roman" w:hAnsi="Times New Roman"/>
          <w:sz w:val="18"/>
          <w:szCs w:val="18"/>
          <w:color w:val="auto"/>
        </w:rPr>
      </w:pPr>
    </w:p>
    <w:p>
      <w:pPr>
        <w:ind w:left="980" w:right="100" w:hanging="648"/>
        <w:spacing w:after="0" w:line="255"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sell, tender or otherwise dispose of Ordinary Shares or ADSs pursuant to or make amendments or modifications of a 10b5-1 Plan;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(w) such 10b5-1 Plan was established prior to the execution of this letter agreement by the undersigned, (x) the existence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details of such 10b5-1 Plan were communicated to the Representatives, (y) any amendment or modification to such 10b5-1 Plan does not provide for any transfers of Ordinary Shares or Related Securities during the Lock-up Period and the entry into, or amendment or modification of such plan is not publicly disclosed, including in any filings under the Exchange Act, during the Lock-up Period, and (z) any filing under Section 16(a) of the Exchange Act in connection with such transfer shall indicate, to the extent permitted by such section and the related rules and regulations, that such transfer was pursuant to a 10b5-1 Plan[.] [;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980" w:hanging="648"/>
        <w:spacing w:after="0" w:line="258"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sell, tender or otherwise dispose of up to an aggregate of 20,000 ADSs held by the undersigned or a trust for the benefit of the undersigned’s Family Members as of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transfer, sale, tender or disposal shall be made at a price that is less than $12.00 per ADS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filing under Section 16(a) of the Exchange Act in connection with such transfer, sale, tender or disposal shall indicate in the footnotes thereto, to the extent permitted by such section and the related rules and regulations, that the filing relates to the circumstances described in this clause.]</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Ordinary Shares and/or Related Securities held by the undersigned and the undersigned’s Family Members, if any, except in compliance with the foregoing restrictions.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With respect to the Offering only, the undersigned waives any registration rights relating to registration under the Securities Act of the offer and sale of any Ordinary Shares and/or any Related Securities owned either of record or beneficially by the undersigned, including any rights to receive notice of the Offering.</w:t>
      </w:r>
    </w:p>
    <w:p>
      <w:pPr>
        <w:spacing w:after="0" w:line="17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ADSs. The undersigned will not, and will cause any Family Member not to take, directly or indirectly, any such action.</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Offering and the undersigned has consulted his/her/its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letter agreement, and nothing set forth in such disclosures is intended to suggest that the Representatives or any Underwriter is making such a recommendation.</w:t>
      </w:r>
    </w:p>
    <w:p>
      <w:pPr>
        <w:spacing w:after="0" w:line="18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If (i) the Company, on the one hand, or the Representatives, on the other hand, notifies the other in writing that it does not intend to proceed with the Offering, (ii) the Company files an application to withdraw the registration statement related to the Offering, (iii) the Underwriting Agreement is not executed on or before August 31, 2022, or (iv) the Underwriting Agreement (other than the provisions thereof that survive termination) terminates or is terminated prior to the Closing Date, then in each case, this letter agreement shall automatically, and without any action on the part of any other party, terminate and be of no further force and effect, and the undersigned shall automatically be released from the obligations under this letter agreement.</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of the State of New York.</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Name of Entity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3" w:lineRule="exact"/>
        <w:rPr>
          <w:sz w:val="20"/>
          <w:szCs w:val="20"/>
          <w:color w:val="auto"/>
        </w:rPr>
      </w:pPr>
    </w:p>
    <w:p>
      <w:pPr>
        <w:ind w:right="4639"/>
        <w:spacing w:after="0" w:line="284" w:lineRule="auto"/>
        <w:rPr>
          <w:sz w:val="20"/>
          <w:szCs w:val="20"/>
          <w:color w:val="auto"/>
        </w:rPr>
      </w:pPr>
      <w:r>
        <w:rPr>
          <w:rFonts w:ascii="Times New Roman" w:cs="Times New Roman" w:eastAsia="Times New Roman" w:hAnsi="Times New Roman"/>
          <w:sz w:val="18"/>
          <w:szCs w:val="18"/>
          <w:i w:val="1"/>
          <w:iCs w:val="1"/>
          <w:color w:val="auto"/>
        </w:rPr>
        <w:t>(Indicate capacity of person signing if signing as custodian or trustee, or on behalf of an entity)</w:t>
      </w:r>
    </w:p>
    <w:p>
      <w:pPr>
        <w:spacing w:after="0" w:line="376"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18" w:right="1440" w:bottom="1440" w:gutter="0" w:footer="0" w:header="0"/>
        </w:sectPr>
      </w:pPr>
    </w:p>
    <w:bookmarkStart w:id="52" w:name="page53"/>
    <w:bookmarkEnd w:id="52"/>
    <w:p>
      <w:pPr>
        <w:ind w:left="3640"/>
        <w:spacing w:after="0"/>
        <w:rPr>
          <w:sz w:val="20"/>
          <w:szCs w:val="20"/>
          <w:color w:val="auto"/>
        </w:rPr>
      </w:pPr>
      <w:r>
        <w:rPr>
          <w:rFonts w:ascii="Times New Roman" w:cs="Times New Roman" w:eastAsia="Times New Roman" w:hAnsi="Times New Roman"/>
          <w:sz w:val="18"/>
          <w:szCs w:val="18"/>
          <w:b w:val="1"/>
          <w:bCs w:val="1"/>
          <w:u w:val="single" w:color="auto"/>
          <w:color w:val="auto"/>
        </w:rPr>
        <w:t>Certain Defined Terms Used in 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letter agreement to which this Annex A is attached and of which it is made a part:</w:t>
      </w:r>
    </w:p>
    <w:p>
      <w:pPr>
        <w:spacing w:after="0" w:line="221"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Equivalent Position</w:t>
      </w:r>
      <w:r>
        <w:rPr>
          <w:rFonts w:ascii="Times New Roman" w:cs="Times New Roman" w:eastAsia="Times New Roman" w:hAnsi="Times New Roman"/>
          <w:sz w:val="18"/>
          <w:szCs w:val="18"/>
          <w:color w:val="auto"/>
        </w:rPr>
        <w:t>” shall have the meaning set forth in Rule 16a-1(b) under the Exchange 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left="980" w:hanging="324"/>
        <w:spacing w:after="0" w:line="259"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as used above shall have the meaning set forth in Rule 16a-1(e) under the Exchange Act.</w:t>
      </w:r>
    </w:p>
    <w:p>
      <w:pPr>
        <w:spacing w:after="0" w:line="179" w:lineRule="exact"/>
        <w:rPr>
          <w:rFonts w:ascii="Times New Roman" w:cs="Times New Roman" w:eastAsia="Times New Roman" w:hAnsi="Times New Roman"/>
          <w:sz w:val="18"/>
          <w:szCs w:val="18"/>
          <w:color w:val="auto"/>
        </w:rPr>
      </w:pPr>
    </w:p>
    <w:p>
      <w:pPr>
        <w:ind w:left="980" w:right="60" w:hanging="324"/>
        <w:spacing w:after="0" w:line="28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shall mean the period beginning on the date hereof and continuing through the close of trading on the date that is 90 days after the date of the Prospectus (as defined in the Underwriting Agreement).</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Equivalent Position</w:t>
      </w:r>
      <w:r>
        <w:rPr>
          <w:rFonts w:ascii="Times New Roman" w:cs="Times New Roman" w:eastAsia="Times New Roman" w:hAnsi="Times New Roman"/>
          <w:sz w:val="18"/>
          <w:szCs w:val="18"/>
          <w:color w:val="auto"/>
        </w:rPr>
        <w:t>” shall have the meaning set forth in Rule 16a-1(h) under the Exchange Act.</w:t>
      </w:r>
    </w:p>
    <w:p>
      <w:pPr>
        <w:spacing w:after="0" w:line="225" w:lineRule="exact"/>
        <w:rPr>
          <w:rFonts w:ascii="Times New Roman" w:cs="Times New Roman" w:eastAsia="Times New Roman" w:hAnsi="Times New Roman"/>
          <w:sz w:val="18"/>
          <w:szCs w:val="18"/>
          <w:color w:val="auto"/>
        </w:rPr>
      </w:pPr>
    </w:p>
    <w:p>
      <w:pPr>
        <w:ind w:left="980" w:right="40" w:hanging="324"/>
        <w:spacing w:after="0" w:line="268"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ADSs or options or warrants or other rights to acquire ADSs or Ordinary Shares or any securities exchangeable or exercisable for or convertible into ADSs or Ordinary Shares, or to acquire other securities or rights ultimately exchangeable or exercisable for or convertible into ADSs or Ordinary Shares.</w:t>
      </w:r>
    </w:p>
    <w:p>
      <w:pPr>
        <w:spacing w:after="0" w:line="17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 or Offer to Sell</w:t>
      </w:r>
      <w:r>
        <w:rPr>
          <w:rFonts w:ascii="Times New Roman" w:cs="Times New Roman" w:eastAsia="Times New Roman" w:hAnsi="Times New Roman"/>
          <w:sz w:val="18"/>
          <w:szCs w:val="18"/>
          <w:color w:val="auto"/>
        </w:rPr>
        <w:t>” shall mean to:</w:t>
      </w:r>
    </w:p>
    <w:p>
      <w:pPr>
        <w:spacing w:after="0" w:line="22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to sell, contract to sell or lend,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short sale or establish or increase a Put Equivalent Position or liquidate or decrease any Call Equivalent Position,</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hypothecate or grant any security interest in, or</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way transfer or dispose 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each case whether effected directly or indirectly.</w:t>
      </w:r>
    </w:p>
    <w:p>
      <w:pPr>
        <w:spacing w:after="0" w:line="221" w:lineRule="exact"/>
        <w:rPr>
          <w:sz w:val="20"/>
          <w:szCs w:val="20"/>
          <w:color w:val="auto"/>
        </w:rPr>
      </w:pPr>
    </w:p>
    <w:p>
      <w:pPr>
        <w:ind w:left="980" w:right="120" w:hanging="324"/>
        <w:spacing w:after="0" w:line="317" w:lineRule="auto"/>
        <w:tabs>
          <w:tab w:leader="none" w:pos="9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Swap</w:t>
      </w:r>
      <w:r>
        <w:rPr>
          <w:rFonts w:ascii="Times New Roman" w:cs="Times New Roman" w:eastAsia="Times New Roman" w:hAnsi="Times New Roman"/>
          <w:sz w:val="17"/>
          <w:szCs w:val="17"/>
          <w:color w:val="auto"/>
        </w:rPr>
        <w:t>” shall mean any swap, hedge or similar arrangement or agreement that transfers, in whole or in part, the economic risk of ownership of Ordinary Shares or Related Securities, regardless of whether any such transaction is to be settled in securities, in cash or otherwise.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defined in this Annex A shall have the meanings given to them in the body of this lock-up agreement.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Officers and Others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Signing Lock-up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Zaccardelli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Ebsworth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Brady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Edwards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 Cunningham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Deschamps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Rishi Gupta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Mahendra G. Shah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Vikas Sinha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Anders Ullman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W. Hahn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Poll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Kathleen Rickard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99 Bishopsgate</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London EC2M 3XF</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Tel: +44(0)20.7710.1000 Fax: +44(0)20.7374.4460</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85991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59915" cy="1371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Austin</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Beijing</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Boston</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Brussels</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Century City</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August 2022</w:t>
            </w: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Chicago</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Dubai</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Düsseldorf</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Frankfurt</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Hamburg</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Hong Kong</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Houston</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London</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 Angeles</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5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Madrid</w:t>
            </w: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Washington, D.C.</w:t>
            </w:r>
          </w:p>
        </w:tc>
      </w:tr>
      <w:tr>
        <w:trPr>
          <w:trHeight w:val="41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Central Square</w:t>
            </w:r>
          </w:p>
        </w:tc>
        <w:tc>
          <w:tcPr>
            <w:tcW w:w="18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Cardiff</w:t>
            </w:r>
          </w:p>
        </w:tc>
        <w:tc>
          <w:tcPr>
            <w:tcW w:w="6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CF10 1FS</w:t>
            </w:r>
          </w:p>
        </w:tc>
        <w:tc>
          <w:tcPr>
            <w:tcW w:w="18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Verona Pharma plc – Registration Statement on Form S-3 Exhibit 5.1</w:t>
            </w: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have acted as English legal advisers to Verona Pharma plc, a public limited company incorporated in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an offering of 14,260,000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representing eight ordinary shares of £0.05 each in the capital of the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and filing of the registration statement on Form S-3 to which this letter is attached as an exhibit (such registration statement, as amended, including the documents incorporated by reference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we have been asked to provide an opinion on certain matters, as set out below. We have taken instruction in this regard solely from the Company.</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color w:val="auto"/>
        </w:rPr>
        <w:t>Defined terms and headings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letter:</w:t>
      </w:r>
    </w:p>
    <w:p>
      <w:pPr>
        <w:spacing w:after="0" w:line="225" w:lineRule="exact"/>
        <w:rPr>
          <w:sz w:val="20"/>
          <w:szCs w:val="20"/>
          <w:color w:val="auto"/>
        </w:rPr>
      </w:pPr>
    </w:p>
    <w:p>
      <w:pPr>
        <w:ind w:left="1280" w:hanging="624"/>
        <w:spacing w:after="0" w:line="282"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without definition in this letter or the schedules hereto have the meanings assigned to them in the Registration Statement unless a contrary indication appears; and</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managers authorised by the SRA. We are affiliated with the firm Latham &amp; Watkins LLP, a limited liability partnership organised under the laws of Delaware.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cooperation with the Law Firm of Salman M. Al-Sudairi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11 August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285875" cy="93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5875" cy="9398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80" w:hanging="624"/>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ease of reference only and shall not affect interpretation.</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7"/>
          <w:szCs w:val="17"/>
          <w:b w:val="1"/>
          <w:bCs w:val="1"/>
          <w:color w:val="auto"/>
        </w:rPr>
        <w:t>Legal review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 of issuing this letter we have reviewed only the following documents and conducted only the following enquiries and searches:</w:t>
      </w:r>
    </w:p>
    <w:p>
      <w:pPr>
        <w:spacing w:after="0" w:line="225" w:lineRule="exact"/>
        <w:rPr>
          <w:sz w:val="20"/>
          <w:szCs w:val="20"/>
          <w:color w:val="auto"/>
        </w:rPr>
      </w:pPr>
    </w:p>
    <w:p>
      <w:pPr>
        <w:ind w:left="1280" w:hanging="624"/>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search at Companies House in respect of the Company conducted on 11 August 2022;</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enquiry at the Central Registry of Winding Up Petitions, London on 11 August 2022 at 10:05 a.m. (London time) with respect to the Company ((a) and (b) together,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minutes of the annual general meeting of the Company held on 27 April 2022 (the “</w:t>
      </w:r>
      <w:r>
        <w:rPr>
          <w:rFonts w:ascii="Times New Roman" w:cs="Times New Roman" w:eastAsia="Times New Roman" w:hAnsi="Times New Roman"/>
          <w:sz w:val="18"/>
          <w:szCs w:val="18"/>
          <w:b w:val="1"/>
          <w:bCs w:val="1"/>
          <w:color w:val="auto"/>
        </w:rPr>
        <w:t>Annual General Meeting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minutes of the meeting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held on 13 July 2022,</w:t>
      </w:r>
    </w:p>
    <w:p>
      <w:pPr>
        <w:spacing w:after="0" w:line="22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minutes of the meeting of the financing committee of the Board held on 10 August 2022;</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of the Company dated 24 February 2005;</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on change of name of the Company dated 18 September 2006;</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current articles of association of the Company adopted pursuant to a special resolution of shareholders passed at the general meeting held on 18 December 2020; and</w:t>
      </w:r>
    </w:p>
    <w:p>
      <w:pPr>
        <w:spacing w:after="0" w:line="161"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S-3 filed with the SEC on March 19, 2021 and declared effective on March 29, 2021, a preliminary prospectus supplement dated August 9, 2022, and a final prospectus supplement dated August 10, 2022.</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color w:val="auto"/>
        </w:rPr>
        <w:t>Applicable law</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This letter, the opinions given in it, and any non-contractual obligations arising out of or in connection with this letter and/or the opinions given in it, are governed by, and shall be construed in accordance with English law and relate only to English law as applied by the English courts as at today’s date. In particular:</w:t>
      </w:r>
    </w:p>
    <w:p>
      <w:pPr>
        <w:spacing w:after="0" w:line="176" w:lineRule="exact"/>
        <w:rPr>
          <w:sz w:val="20"/>
          <w:szCs w:val="20"/>
          <w:color w:val="auto"/>
        </w:rPr>
      </w:pPr>
    </w:p>
    <w:p>
      <w:pPr>
        <w:ind w:left="1280" w:hanging="624"/>
        <w:spacing w:after="0" w:line="282"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investigated the laws of any country other than England and we assume that no foreign law, (including, for the avoidance of doubt, European Union law on and after 1 January 2021), affects any of the opinions stated below;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this letter on the laws of any jurisdiction other than England.</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b w:val="1"/>
          <w:bCs w:val="1"/>
          <w:color w:val="auto"/>
        </w:rPr>
        <w:t>Assumptions and reservations</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The opinions given in this letter are given on the basis of each of the assumptions set out in Schedule 1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and are subject to each of the reservations set out in Schedule 2 (</w:t>
      </w:r>
      <w:r>
        <w:rPr>
          <w:rFonts w:ascii="Times New Roman" w:cs="Times New Roman" w:eastAsia="Times New Roman" w:hAnsi="Times New Roman"/>
          <w:sz w:val="18"/>
          <w:szCs w:val="18"/>
          <w:i w:val="1"/>
          <w:iCs w:val="1"/>
          <w:color w:val="auto"/>
        </w:rPr>
        <w:t>Reservations</w:t>
      </w:r>
      <w:r>
        <w:rPr>
          <w:rFonts w:ascii="Times New Roman" w:cs="Times New Roman" w:eastAsia="Times New Roman" w:hAnsi="Times New Roman"/>
          <w:sz w:val="18"/>
          <w:szCs w:val="18"/>
          <w:color w:val="auto"/>
        </w:rPr>
        <w:t>) to this letter. The opinions given in this letter are strictly limited to the matters stated in paragraph 2 (</w:t>
      </w:r>
      <w:r>
        <w:rPr>
          <w:rFonts w:ascii="Times New Roman" w:cs="Times New Roman" w:eastAsia="Times New Roman" w:hAnsi="Times New Roman"/>
          <w:sz w:val="18"/>
          <w:szCs w:val="18"/>
          <w:i w:val="1"/>
          <w:iCs w:val="1"/>
          <w:color w:val="auto"/>
        </w:rPr>
        <w:t>Opinions</w:t>
      </w:r>
      <w:r>
        <w:rPr>
          <w:rFonts w:ascii="Times New Roman" w:cs="Times New Roman" w:eastAsia="Times New Roman" w:hAnsi="Times New Roman"/>
          <w:sz w:val="18"/>
          <w:szCs w:val="18"/>
          <w:color w:val="auto"/>
        </w:rPr>
        <w:t>) below and do not extend, and should not be read as extending, by implication or otherwise, to any other matters.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11 August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285875" cy="939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5875" cy="9398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40" w:hanging="632"/>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paragraph 1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and the other matters set out in this letter and its Schedules, and subject further to the following:</w:t>
      </w:r>
    </w:p>
    <w:p>
      <w:pPr>
        <w:spacing w:after="0" w:line="227" w:lineRule="exact"/>
        <w:rPr>
          <w:rFonts w:ascii="Times New Roman" w:cs="Times New Roman" w:eastAsia="Times New Roman" w:hAnsi="Times New Roman"/>
          <w:sz w:val="18"/>
          <w:szCs w:val="18"/>
          <w:b w:val="1"/>
          <w:bCs w:val="1"/>
          <w:color w:val="auto"/>
        </w:rPr>
      </w:pPr>
    </w:p>
    <w:p>
      <w:pPr>
        <w:ind w:left="1280" w:hanging="624"/>
        <w:spacing w:after="0"/>
        <w:tabs>
          <w:tab w:leader="none" w:pos="12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finally amended, having become effective under the Securities Act;</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entries having been made in relation to the allotment and issue of the Ordinary Shares in the name of the recipient in the books and registers of the Company;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having been delivered in accordance with the terms and conditions of the Offering and the Registration Statement,</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it is our opinion that the Ordinary Shares were duly and validly authorised and issued, fully paid or credited as fully paid (subject to the receipt of valid consideration by the Company for the issue thereof) and are not subject to any call for payment of further capital.</w:t>
      </w:r>
    </w:p>
    <w:p>
      <w:pPr>
        <w:spacing w:after="0" w:line="158"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EXTENT OF OPINIONS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express no opinion as to any agreement, instrument or other document other than as specified in this letter or as to any liability to tax which may arise or be suffered as a result of or in connection with the Offering.</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7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 AND DISCLOSURE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LATHAM &amp; WATKINS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has been given on the basis of the following assumptions:</w:t>
      </w:r>
    </w:p>
    <w:p>
      <w:pPr>
        <w:spacing w:after="0" w:line="225" w:lineRule="exact"/>
        <w:rPr>
          <w:sz w:val="20"/>
          <w:szCs w:val="20"/>
          <w:color w:val="auto"/>
        </w:rPr>
      </w:pPr>
    </w:p>
    <w:p>
      <w:pPr>
        <w:ind w:left="1280" w:hanging="624"/>
        <w:spacing w:after="0" w:line="282"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case of a document signed electronically, the person signing it intended to sign and be bound by the document;</w:t>
      </w:r>
    </w:p>
    <w:p>
      <w:pPr>
        <w:spacing w:after="0" w:line="225" w:lineRule="exact"/>
        <w:rPr>
          <w:rFonts w:ascii="Times New Roman" w:cs="Times New Roman" w:eastAsia="Times New Roman" w:hAnsi="Times New Roman"/>
          <w:sz w:val="18"/>
          <w:szCs w:val="18"/>
          <w:color w:val="auto"/>
        </w:rPr>
      </w:pPr>
    </w:p>
    <w:p>
      <w:pPr>
        <w:ind w:left="1280" w:right="20" w:hanging="624"/>
        <w:spacing w:after="0" w:line="282"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or specimen form, it will be or has been duly executed in the form of that draft or specimen;</w:t>
      </w:r>
    </w:p>
    <w:p>
      <w:pPr>
        <w:spacing w:after="0" w:line="161"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articles of association of the Company referred to in paragraph 1.3(i) of this letter remain in full force and effect, and no alteration had been made to such articles of association, in each case, prior to the date on which the Ordinary Shares were allotted, issued or rights are granted to subscribe for Ordinary Shares (each such date being an “</w:t>
      </w:r>
      <w:r>
        <w:rPr>
          <w:rFonts w:ascii="Times New Roman" w:cs="Times New Roman" w:eastAsia="Times New Roman" w:hAnsi="Times New Roman"/>
          <w:sz w:val="18"/>
          <w:szCs w:val="18"/>
          <w:b w:val="1"/>
          <w:bCs w:val="1"/>
          <w:color w:val="auto"/>
        </w:rPr>
        <w:t>Allotment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forms and notices which should have been delivered to the UK Companies House in respect of the Company have been so delivered, that the results of the Searches are complete and accurate, that the position has not changed since the times at which the Searches were made and that the results of the Searches remained complete and accurate as at each Allotment Date;</w:t>
      </w:r>
    </w:p>
    <w:p>
      <w:pPr>
        <w:spacing w:after="0" w:line="175" w:lineRule="exact"/>
        <w:rPr>
          <w:rFonts w:ascii="Times New Roman" w:cs="Times New Roman" w:eastAsia="Times New Roman" w:hAnsi="Times New Roman"/>
          <w:sz w:val="18"/>
          <w:szCs w:val="18"/>
          <w:color w:val="auto"/>
        </w:rPr>
      </w:pPr>
    </w:p>
    <w:p>
      <w:pPr>
        <w:jc w:val="both"/>
        <w:ind w:left="1280" w:hanging="624"/>
        <w:spacing w:after="0" w:line="253"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 the resolutions described in the written resolutions of the board of directors of the Company provided to us in connection with the giving of this opinion or otherwise contemplated in connection with the matters referred to herein were duly passed as written resolutions of the board of directors of the Company, all constitutional, statutory and other formalities were and such resolutions have not been revoked or varied and remained in full force and effect at each Allotment Date; and (ii) the proceedings and resolutions described in the minutes of the meetings of the board of directors of the Company provided to us in connection with the giving of this opinion or otherwise contemplated in connection with the matters referred to herein were duly conducted as so described, and that each of the meetings referred to therein was duly constituted, convened and conducted and all constitutional, statutory and other formalities were duly observed (including, if applicable, those relating to the declaration of directors’ interests or the power of interested directors to vote), a quorum was present throughout, the requisite majority of directors voted in favour of approving the resolutions and the resolutions passed thereat were duly adopted, were not revoked or varied and remained in full force and effect as at each Allotment Date;</w:t>
      </w:r>
    </w:p>
    <w:p>
      <w:pPr>
        <w:spacing w:after="0" w:line="194" w:lineRule="exact"/>
        <w:rPr>
          <w:rFonts w:ascii="Times New Roman" w:cs="Times New Roman" w:eastAsia="Times New Roman" w:hAnsi="Times New Roman"/>
          <w:sz w:val="18"/>
          <w:szCs w:val="18"/>
          <w:color w:val="auto"/>
        </w:rPr>
      </w:pPr>
    </w:p>
    <w:p>
      <w:pPr>
        <w:jc w:val="both"/>
        <w:ind w:left="1280" w:hanging="624"/>
        <w:spacing w:after="0" w:line="261"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resolutions of the shareholders of the Company provided to us in connection with the giving of this opinion or otherwise contemplated in connection with the matters referred to herein were duly passed at a general meeting of the Company, all constitutional, statutory and other formalities were observed in relation to such general meeting and such resolutions were not revoked or varied prior to each Allotment Date and remained in full force and effect as at each Allotment Date;</w:t>
      </w:r>
    </w:p>
    <w:p>
      <w:pPr>
        <w:spacing w:after="0" w:line="179" w:lineRule="exact"/>
        <w:rPr>
          <w:rFonts w:ascii="Times New Roman" w:cs="Times New Roman" w:eastAsia="Times New Roman" w:hAnsi="Times New Roman"/>
          <w:sz w:val="18"/>
          <w:szCs w:val="18"/>
          <w:color w:val="auto"/>
        </w:rPr>
      </w:pPr>
    </w:p>
    <w:p>
      <w:pPr>
        <w:jc w:val="both"/>
        <w:ind w:left="1280" w:hanging="624"/>
        <w:spacing w:after="0" w:line="261"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each allotment and issue of any Ordinary Shares the Company received in full “cash consideration” (as such term is defined in section 583(3) of the Companies Act) equal to the subscription price payable for such Ordinary Shares and shall have entered the holder or holders thereof in the register of members of the Company showing that all such Ordinary Shares shall have been fully paid up as to their nominal value and any premium thereon as at each Allotment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left="624" w:hanging="624"/>
        <w:spacing w:after="0" w:line="256" w:lineRule="auto"/>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immediately prior to each Allotment Date, the directors of the Company had sufficient authority and powers conferred upon them to allot and issue such Ordinary Shares and grant such rights (as applicable) under section 551 of the Companies Act and under section 570 of the Companies Act as if section 561 of the Companies Act did not apply to such allotment and issue or grant, and the directors of the Company did not allot or issue (or purport to allot or issue) Ordinary Shares and did not grant rights (or purport to grant rights) to acquire Ordinary Shares in excess of such powers or in breach of any other limitation on their power to allot and issue Ordinary Shares or grant rights to acquire Ordinary Shares;</w:t>
      </w:r>
    </w:p>
    <w:p>
      <w:pPr>
        <w:spacing w:after="0" w:line="187" w:lineRule="exact"/>
        <w:rPr>
          <w:rFonts w:ascii="Times New Roman" w:cs="Times New Roman" w:eastAsia="Times New Roman" w:hAnsi="Times New Roman"/>
          <w:sz w:val="18"/>
          <w:szCs w:val="18"/>
          <w:color w:val="auto"/>
        </w:rPr>
      </w:pPr>
    </w:p>
    <w:p>
      <w:pPr>
        <w:ind w:left="624" w:hanging="624"/>
        <w:spacing w:after="0" w:line="282" w:lineRule="auto"/>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Ordinary Shares were allotted or issued, or are or were committed to be allotted or issued, at a discount to their nominal value (whether in dollars or equivalent in any other currency);</w:t>
      </w:r>
    </w:p>
    <w:p>
      <w:pPr>
        <w:spacing w:after="0" w:line="161" w:lineRule="exact"/>
        <w:rPr>
          <w:rFonts w:ascii="Times New Roman" w:cs="Times New Roman" w:eastAsia="Times New Roman" w:hAnsi="Times New Roman"/>
          <w:sz w:val="18"/>
          <w:szCs w:val="18"/>
          <w:color w:val="auto"/>
        </w:rPr>
      </w:pPr>
    </w:p>
    <w:p>
      <w:pPr>
        <w:jc w:val="both"/>
        <w:ind w:left="624" w:hanging="624"/>
        <w:spacing w:after="0" w:line="258" w:lineRule="auto"/>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Ordinary Shares or rights to subscribe for Shares have been offered to the public in the United Kingdom in breach of the Financial Services and Markets Act 2000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or of any other United Kingdom laws or regulations concerning offers of securities to the public, and no communication has been made in relation to the Ordinary Shares in breach of section 21 of the FSMA or any other United Kingdom laws or regulations relating to offers or invitations to subscribe for, or to acquire rights to subscribe for or otherwise acquire, shares or other securities;</w:t>
      </w:r>
    </w:p>
    <w:p>
      <w:pPr>
        <w:spacing w:after="0" w:line="183" w:lineRule="exact"/>
        <w:rPr>
          <w:rFonts w:ascii="Times New Roman" w:cs="Times New Roman" w:eastAsia="Times New Roman" w:hAnsi="Times New Roman"/>
          <w:sz w:val="18"/>
          <w:szCs w:val="18"/>
          <w:color w:val="auto"/>
        </w:rPr>
      </w:pPr>
    </w:p>
    <w:p>
      <w:pPr>
        <w:ind w:left="624" w:hanging="624"/>
        <w:spacing w:after="0" w:line="282" w:lineRule="auto"/>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issuing and allotting and granting rights to acquire Ordinary Shares, the Company is not carrying on a regulated activity for the purposes of section 19 of FSMA;</w:t>
      </w:r>
    </w:p>
    <w:p>
      <w:pPr>
        <w:spacing w:after="0" w:line="161" w:lineRule="exact"/>
        <w:rPr>
          <w:rFonts w:ascii="Times New Roman" w:cs="Times New Roman" w:eastAsia="Times New Roman" w:hAnsi="Times New Roman"/>
          <w:sz w:val="18"/>
          <w:szCs w:val="18"/>
          <w:color w:val="auto"/>
        </w:rPr>
      </w:pPr>
    </w:p>
    <w:p>
      <w:pPr>
        <w:ind w:left="624" w:hanging="624"/>
        <w:spacing w:after="0" w:line="282" w:lineRule="auto"/>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complied and will comply with all applicable anti-terrorism, anti-money laundering, sanctions and human rights laws and regulations and that each allotment and issue of Ordinary Shares was consistent with all such laws and regulations;</w:t>
      </w:r>
    </w:p>
    <w:p>
      <w:pPr>
        <w:spacing w:after="0" w:line="161" w:lineRule="exact"/>
        <w:rPr>
          <w:rFonts w:ascii="Times New Roman" w:cs="Times New Roman" w:eastAsia="Times New Roman" w:hAnsi="Times New Roman"/>
          <w:sz w:val="18"/>
          <w:szCs w:val="18"/>
          <w:color w:val="auto"/>
        </w:rPr>
      </w:pPr>
    </w:p>
    <w:p>
      <w:pPr>
        <w:jc w:val="both"/>
        <w:ind w:left="624" w:hanging="624"/>
        <w:spacing w:after="0" w:line="266" w:lineRule="auto"/>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were allotted and issued in good faith and on bona fide commercial terms and on arms’ length terms and for the purpose of carrying on the business of the Company and that there were reasonable grounds for believing that the allotment and issue of the Ordinary Shares would promote the success of the Company for the benefit of its members as a whole; and</w:t>
      </w:r>
    </w:p>
    <w:p>
      <w:pPr>
        <w:spacing w:after="0" w:line="175" w:lineRule="exact"/>
        <w:rPr>
          <w:rFonts w:ascii="Times New Roman" w:cs="Times New Roman" w:eastAsia="Times New Roman" w:hAnsi="Times New Roman"/>
          <w:sz w:val="18"/>
          <w:szCs w:val="18"/>
          <w:color w:val="auto"/>
        </w:rPr>
      </w:pPr>
    </w:p>
    <w:p>
      <w:pPr>
        <w:ind w:left="624" w:hanging="624"/>
        <w:spacing w:after="0" w:line="282" w:lineRule="auto"/>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not taken any corporate or other action nor have any steps been taken or legal proceedings been started against the Company for:</w:t>
      </w:r>
    </w:p>
    <w:p>
      <w:pPr>
        <w:spacing w:after="0" w:line="161" w:lineRule="exact"/>
        <w:rPr>
          <w:rFonts w:ascii="Times New Roman" w:cs="Times New Roman" w:eastAsia="Times New Roman" w:hAnsi="Times New Roman"/>
          <w:sz w:val="18"/>
          <w:szCs w:val="18"/>
          <w:color w:val="auto"/>
        </w:rPr>
      </w:pPr>
    </w:p>
    <w:p>
      <w:pPr>
        <w:ind w:left="1264" w:hanging="616"/>
        <w:spacing w:after="0" w:line="282" w:lineRule="auto"/>
        <w:tabs>
          <w:tab w:leader="none" w:pos="12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administration, winding up, dissolution, reorganisation or bankruptcy or similar procedures in other relevant jurisdictions, of; or</w:t>
      </w:r>
    </w:p>
    <w:p>
      <w:pPr>
        <w:spacing w:after="0" w:line="161" w:lineRule="exact"/>
        <w:rPr>
          <w:rFonts w:ascii="Times New Roman" w:cs="Times New Roman" w:eastAsia="Times New Roman" w:hAnsi="Times New Roman"/>
          <w:sz w:val="18"/>
          <w:szCs w:val="18"/>
          <w:color w:val="auto"/>
        </w:rPr>
      </w:pPr>
    </w:p>
    <w:p>
      <w:pPr>
        <w:ind w:left="1264" w:hanging="616"/>
        <w:spacing w:after="0"/>
        <w:tabs>
          <w:tab w:leader="none" w:pos="12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 moratorium in respect of; or</w:t>
      </w:r>
    </w:p>
    <w:p>
      <w:pPr>
        <w:spacing w:after="0" w:line="225" w:lineRule="exact"/>
        <w:rPr>
          <w:rFonts w:ascii="Times New Roman" w:cs="Times New Roman" w:eastAsia="Times New Roman" w:hAnsi="Times New Roman"/>
          <w:sz w:val="18"/>
          <w:szCs w:val="18"/>
          <w:color w:val="auto"/>
        </w:rPr>
      </w:pPr>
    </w:p>
    <w:p>
      <w:pPr>
        <w:ind w:left="1264" w:hanging="616"/>
        <w:spacing w:after="0"/>
        <w:tabs>
          <w:tab w:leader="none" w:pos="12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liquidator, receiver, trustee, administrator, administrative receiver, monitor or similar officer of,</w:t>
      </w:r>
    </w:p>
    <w:p>
      <w:pPr>
        <w:spacing w:after="0" w:line="225" w:lineRule="exact"/>
        <w:rPr>
          <w:sz w:val="20"/>
          <w:szCs w:val="20"/>
          <w:color w:val="auto"/>
        </w:rPr>
      </w:pPr>
    </w:p>
    <w:p>
      <w:pPr>
        <w:jc w:val="both"/>
        <w:ind w:left="644"/>
        <w:spacing w:after="0" w:line="256" w:lineRule="auto"/>
        <w:rPr>
          <w:sz w:val="20"/>
          <w:szCs w:val="20"/>
          <w:color w:val="auto"/>
        </w:rPr>
      </w:pPr>
      <w:r>
        <w:rPr>
          <w:rFonts w:ascii="Times New Roman" w:cs="Times New Roman" w:eastAsia="Times New Roman" w:hAnsi="Times New Roman"/>
          <w:sz w:val="18"/>
          <w:szCs w:val="18"/>
          <w:color w:val="auto"/>
        </w:rPr>
        <w:t>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monitor, administrator, administrative receiver or similar officer has been made with respect to the Company), and such actions and steps were not taken as at any Allotment Date.</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is subject to the following reservations:</w:t>
      </w:r>
    </w:p>
    <w:p>
      <w:pPr>
        <w:spacing w:after="0" w:line="225" w:lineRule="exact"/>
        <w:rPr>
          <w:sz w:val="20"/>
          <w:szCs w:val="20"/>
          <w:color w:val="auto"/>
        </w:rPr>
      </w:pPr>
    </w:p>
    <w:p>
      <w:pPr>
        <w:jc w:val="both"/>
        <w:ind w:left="1280" w:hanging="624"/>
        <w:spacing w:after="0" w:line="266" w:lineRule="auto"/>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1920" w:right="20" w:hanging="616"/>
        <w:spacing w:after="0" w:line="282" w:lineRule="auto"/>
        <w:tabs>
          <w:tab w:leader="none" w:pos="1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arising from applicable laws relating to insolvency, bankruptcy, administration, reorganisation, liquidation, moratoria, schemes, restructuring plans or analogous circumstances; and</w:t>
      </w:r>
    </w:p>
    <w:p>
      <w:pPr>
        <w:spacing w:after="0" w:line="159" w:lineRule="exact"/>
        <w:rPr>
          <w:rFonts w:ascii="Times New Roman" w:cs="Times New Roman" w:eastAsia="Times New Roman" w:hAnsi="Times New Roman"/>
          <w:sz w:val="18"/>
          <w:szCs w:val="18"/>
          <w:color w:val="auto"/>
        </w:rPr>
      </w:pPr>
    </w:p>
    <w:p>
      <w:pPr>
        <w:jc w:val="both"/>
        <w:ind w:left="1920" w:hanging="616"/>
        <w:spacing w:after="0" w:line="267" w:lineRule="auto"/>
        <w:tabs>
          <w:tab w:leader="none" w:pos="1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English court exercising its discretion under section 426 of the Insolvency Act 1986 (</w:t>
      </w:r>
      <w:r>
        <w:rPr>
          <w:rFonts w:ascii="Times New Roman" w:cs="Times New Roman" w:eastAsia="Times New Roman" w:hAnsi="Times New Roman"/>
          <w:sz w:val="18"/>
          <w:szCs w:val="18"/>
          <w:i w:val="1"/>
          <w:iCs w:val="1"/>
          <w:color w:val="auto"/>
        </w:rPr>
        <w:t>co-</w:t>
      </w:r>
      <w:r>
        <w:rPr>
          <w:rFonts w:ascii="Times New Roman" w:cs="Times New Roman" w:eastAsia="Times New Roman" w:hAnsi="Times New Roman"/>
          <w:sz w:val="18"/>
          <w:szCs w:val="18"/>
          <w:color w:val="auto"/>
        </w:rPr>
        <w:t xml:space="preserve">operation </w:t>
      </w:r>
      <w:r>
        <w:rPr>
          <w:rFonts w:ascii="Times New Roman" w:cs="Times New Roman" w:eastAsia="Times New Roman" w:hAnsi="Times New Roman"/>
          <w:sz w:val="18"/>
          <w:szCs w:val="18"/>
          <w:i w:val="1"/>
          <w:iCs w:val="1"/>
          <w:color w:val="auto"/>
        </w:rPr>
        <w:t>between courts exercising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jurisdiction in relation to insolvency</w:t>
      </w:r>
      <w:r>
        <w:rPr>
          <w:rFonts w:ascii="Times New Roman" w:cs="Times New Roman" w:eastAsia="Times New Roman" w:hAnsi="Times New Roman"/>
          <w:sz w:val="18"/>
          <w:szCs w:val="18"/>
          <w:color w:val="auto"/>
        </w:rPr>
        <w:t>) to assist the courts having the corresponding jurisdiction in any part of the United Kingdom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relevant country or territory;</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matters of fact;</w:t>
      </w:r>
    </w:p>
    <w:p>
      <w:pPr>
        <w:spacing w:after="0" w:line="225"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lowerLetter"/>
      <w:start w:val="4"/>
    </w:lvl>
  </w:abstractNum>
  <w:abstractNum w:abstractNumId="1">
    <w:nsid w:val="6B68079A"/>
    <w:multiLevelType w:val="hybridMultilevel"/>
    <w:lvl w:ilvl="0">
      <w:lvlJc w:val="left"/>
      <w:lvlText w:val="(%1)"/>
      <w:numFmt w:val="lowerRoman"/>
      <w:start w:val="3"/>
    </w:lvl>
  </w:abstractNum>
  <w:abstractNum w:abstractNumId="2">
    <w:nsid w:val="4E6AFB66"/>
    <w:multiLevelType w:val="hybridMultilevel"/>
    <w:lvl w:ilvl="0">
      <w:lvlJc w:val="left"/>
      <w:lvlText w:val="(%1)"/>
      <w:numFmt w:val="lowerRoman"/>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lowerRoman"/>
      <w:start w:val="2"/>
    </w:lvl>
  </w:abstractNum>
  <w:abstractNum w:abstractNumId="5">
    <w:nsid w:val="431BD7B7"/>
    <w:multiLevelType w:val="hybridMultilevel"/>
    <w:lvl w:ilvl="0">
      <w:lvlJc w:val="left"/>
      <w:lvlText w:val="(%1)"/>
      <w:numFmt w:val="lowerRoman"/>
      <w:start w:val="1"/>
    </w:lvl>
  </w:abstractNum>
  <w:abstractNum w:abstractNumId="6">
    <w:nsid w:val="3F2DBA31"/>
    <w:multiLevelType w:val="hybridMultilevel"/>
    <w:lvl w:ilvl="0">
      <w:lvlJc w:val="left"/>
      <w:lvlText w:val="(%1)"/>
      <w:numFmt w:val="lowerRoman"/>
      <w:start w:val="1"/>
    </w:lvl>
  </w:abstractNum>
  <w:abstractNum w:abstractNumId="7">
    <w:nsid w:val="7C83E458"/>
    <w:multiLevelType w:val="hybridMultilevel"/>
    <w:lvl w:ilvl="0">
      <w:lvlJc w:val="left"/>
      <w:lvlText w:val="(%1)"/>
      <w:numFmt w:val="upperLetter"/>
      <w:start w:val="5"/>
    </w:lvl>
  </w:abstractNum>
  <w:abstractNum w:abstractNumId="8">
    <w:nsid w:val="257130A3"/>
    <w:multiLevelType w:val="hybridMultilevel"/>
    <w:lvl w:ilvl="0">
      <w:lvlJc w:val="left"/>
      <w:lvlText w:val="(%1)"/>
      <w:numFmt w:val="lowerRoman"/>
      <w:start w:val="2"/>
    </w:lvl>
  </w:abstractNum>
  <w:abstractNum w:abstractNumId="9">
    <w:nsid w:val="62BBD95A"/>
    <w:multiLevelType w:val="hybridMultilevel"/>
    <w:lvl w:ilvl="0">
      <w:lvlJc w:val="left"/>
      <w:lvlText w:val="(%1)"/>
      <w:numFmt w:val="lowerRoman"/>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lowerRoman"/>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lowerRoman"/>
      <w:start w:val="1"/>
    </w:lvl>
  </w:abstractNum>
  <w:abstractNum w:abstractNumId="15">
    <w:nsid w:val="2D1D5AE9"/>
    <w:multiLevelType w:val="hybridMultilevel"/>
    <w:lvl w:ilvl="0">
      <w:lvlJc w:val="left"/>
      <w:lvlText w:val="(%1)"/>
      <w:numFmt w:val="lowerRoman"/>
      <w:start w:val="7"/>
    </w:lvl>
  </w:abstractNum>
  <w:abstractNum w:abstractNumId="16">
    <w:nsid w:val="6763845E"/>
    <w:multiLevelType w:val="hybridMultilevel"/>
    <w:lvl w:ilvl="0">
      <w:lvlJc w:val="left"/>
      <w:lvlText w:val="•"/>
      <w:numFmt w:val="bullet"/>
      <w:start w:val="1"/>
    </w:lvl>
    <w:lvl w:ilvl="1">
      <w:lvlJc w:val="left"/>
      <w:lvlText w:val="%2."/>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2"/>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2"/>
    </w:lvl>
    <w:lvl w:ilvl="1">
      <w:lvlJc w:val="left"/>
      <w:lvlText w:val="(%2)"/>
      <w:numFmt w:val="lowerLetter"/>
      <w:start w:val="1"/>
    </w:lvl>
  </w:abstractNum>
  <w:abstractNum w:abstractNumId="24">
    <w:nsid w:val="71F32454"/>
    <w:multiLevelType w:val="hybridMultilevel"/>
    <w:lvl w:ilvl="0">
      <w:lvlJc w:val="left"/>
      <w:lvlText w:val="%1."/>
      <w:numFmt w:val="decimal"/>
      <w:start w:val="3"/>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9"/>
    </w:lvl>
    <w:lvl w:ilvl="1">
      <w:lvlJc w:val="left"/>
      <w:lvlText w:val="(%2)"/>
      <w:numFmt w:val="lowerRoman"/>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1"/>
    </w:lvl>
    <w:lvl w:ilvl="1">
      <w:lvlJc w:val="left"/>
      <w:lvlText w:val="(%2)"/>
      <w:numFmt w:val="lowerRoman"/>
      <w:start w:val="1"/>
    </w:lvl>
  </w:abstractNum>
  <w:abstractNum w:abstractNumId="29">
    <w:nsid w:val="8138641"/>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2022-08-13T10:11:00Z</dcterms:created>
  <dcterms:modified xsi:type="dcterms:W3CDTF">2022-08-13T10:11:00Z</dcterms:modified>
</cp:coreProperties>
</file>