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Verona Pharma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p>
      <w:pPr>
        <w:spacing w:after="0" w:line="200" w:lineRule="exact"/>
        <w:rPr>
          <w:sz w:val="24"/>
          <w:szCs w:val="24"/>
          <w:color w:val="auto"/>
        </w:rPr>
      </w:pPr>
    </w:p>
    <w:p>
      <w:pPr>
        <w:spacing w:after="0" w:line="289" w:lineRule="exact"/>
        <w:rPr>
          <w:sz w:val="24"/>
          <w:szCs w:val="24"/>
          <w:color w:val="auto"/>
        </w:rPr>
      </w:pPr>
    </w:p>
    <w:p>
      <w:pPr>
        <w:ind w:left="1280"/>
        <w:spacing w:after="0"/>
        <w:rPr>
          <w:sz w:val="20"/>
          <w:szCs w:val="20"/>
          <w:color w:val="auto"/>
        </w:rPr>
      </w:pPr>
      <w:r>
        <w:rPr>
          <w:rFonts w:ascii="Arial" w:cs="Arial" w:eastAsia="Arial" w:hAnsi="Arial"/>
          <w:sz w:val="18"/>
          <w:szCs w:val="18"/>
          <w:b w:val="1"/>
          <w:bCs w:val="1"/>
          <w:color w:val="auto"/>
        </w:rPr>
        <w:t>United Kingdom</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760"/>
        <w:spacing w:after="0"/>
        <w:rPr>
          <w:sz w:val="20"/>
          <w:szCs w:val="20"/>
          <w:color w:val="auto"/>
        </w:rPr>
      </w:pPr>
      <w:r>
        <w:rPr>
          <w:rFonts w:ascii="Arial" w:cs="Arial" w:eastAsia="Arial" w:hAnsi="Arial"/>
          <w:sz w:val="18"/>
          <w:szCs w:val="18"/>
          <w:b w:val="1"/>
          <w:bCs w:val="1"/>
          <w:color w:val="auto"/>
        </w:rPr>
        <w:t>001-39067</w:t>
      </w:r>
    </w:p>
    <w:p>
      <w:pPr>
        <w:spacing w:after="0" w:line="27" w:lineRule="exact"/>
        <w:rPr>
          <w:sz w:val="24"/>
          <w:szCs w:val="24"/>
          <w:color w:val="auto"/>
        </w:rPr>
      </w:pPr>
    </w:p>
    <w:p>
      <w:pPr>
        <w:jc w:val="center"/>
        <w:ind w:right="176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76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500" w:space="720"/>
            <w:col w:w="2800" w:space="720"/>
            <w:col w:w="2500"/>
          </w:cols>
          <w:pgMar w:left="320" w:top="544"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 More London Riverside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London SE1 2RE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+44 203 283 4200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p>
      <w:pPr>
        <w:spacing w:after="0" w:line="200" w:lineRule="exact"/>
        <w:rPr>
          <w:sz w:val="24"/>
          <w:szCs w:val="24"/>
          <w:color w:val="auto"/>
        </w:rPr>
      </w:pPr>
    </w:p>
    <w:p>
      <w:pPr>
        <w:spacing w:after="0" w:line="31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8"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Written communications pursuant to Rule 425 under the Securities Act (17 CFR 230.425)</w:t>
      </w:r>
    </w:p>
    <w:p>
      <w:pPr>
        <w:spacing w:after="0" w:line="232"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Soliciting material pursuant to Rule 14a-12 under the Exchange Act (17 CFR 240.14a-12)</w:t>
      </w:r>
    </w:p>
    <w:p>
      <w:pPr>
        <w:spacing w:after="0" w:line="218"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Pre-commencement communications pursuant to Rule 14d-2(b) under the Exchange Act (17 CFR 240.14d-2(b))</w:t>
      </w:r>
    </w:p>
    <w:p>
      <w:pPr>
        <w:spacing w:after="0" w:line="232"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Pre-commencement communications pursuant to Rule 13e-4(c) under the Exchange Act (17 CFR 240.13e-4(c))</w:t>
      </w:r>
    </w:p>
    <w:p>
      <w:pPr>
        <w:spacing w:after="0" w:line="24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195"/>
        </w:trPr>
        <w:tc>
          <w:tcPr>
            <w:tcW w:w="4180" w:type="dxa"/>
            <w:vAlign w:val="bottom"/>
            <w:tcBorders>
              <w:top w:val="single" w:sz="8" w:color="auto"/>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Title of each class</w:t>
            </w:r>
          </w:p>
        </w:tc>
        <w:tc>
          <w:tcPr>
            <w:tcW w:w="370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Trading Symbol(s)</w:t>
            </w:r>
          </w:p>
        </w:tc>
        <w:tc>
          <w:tcPr>
            <w:tcW w:w="3360" w:type="dxa"/>
            <w:vAlign w:val="bottom"/>
            <w:tcBorders>
              <w:top w:val="single" w:sz="8" w:color="auto"/>
              <w:right w:val="single" w:sz="8" w:color="auto"/>
            </w:tcBorders>
          </w:tcPr>
          <w:p>
            <w:pPr>
              <w:ind w:left="440"/>
              <w:spacing w:after="0" w:line="195" w:lineRule="exact"/>
              <w:rPr>
                <w:sz w:val="20"/>
                <w:szCs w:val="20"/>
                <w:color w:val="auto"/>
              </w:rPr>
            </w:pPr>
            <w:r>
              <w:rPr>
                <w:rFonts w:ascii="Arial" w:cs="Arial" w:eastAsia="Arial" w:hAnsi="Arial"/>
                <w:sz w:val="18"/>
                <w:szCs w:val="18"/>
                <w:color w:val="auto"/>
              </w:rPr>
              <w:t>Name of each exchange on which</w:t>
            </w:r>
          </w:p>
        </w:tc>
      </w:tr>
      <w:tr>
        <w:trPr>
          <w:trHeight w:val="230"/>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10"/>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Ordinary shares, nominal value £0.05 per share*</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VRNA</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02" w:lineRule="exact"/>
        <w:rPr>
          <w:sz w:val="24"/>
          <w:szCs w:val="24"/>
          <w:color w:val="auto"/>
        </w:rPr>
      </w:pPr>
    </w:p>
    <w:p>
      <w:pPr>
        <w:jc w:val="both"/>
        <w:ind w:right="480"/>
        <w:spacing w:after="0" w:line="277" w:lineRule="auto"/>
        <w:rPr>
          <w:sz w:val="20"/>
          <w:szCs w:val="20"/>
          <w:color w:val="auto"/>
        </w:rPr>
      </w:pPr>
      <w:r>
        <w:rPr>
          <w:rFonts w:ascii="Arial" w:cs="Arial" w:eastAsia="Arial" w:hAnsi="Arial"/>
          <w:sz w:val="18"/>
          <w:szCs w:val="18"/>
          <w:i w:val="1"/>
          <w:iCs w:val="1"/>
          <w:color w:val="auto"/>
        </w:rPr>
        <w:t>* The ordinary shares are represented by American Depositary Shares (each representing 8 ordinary shares), which are exempt from the operation of Section 12(a) of the Securities Exchange Act of 1934, as amended, pursuant to Rule 12a-8 thereunder.</w:t>
      </w:r>
    </w:p>
    <w:p>
      <w:pPr>
        <w:spacing w:after="0" w:line="170" w:lineRule="exact"/>
        <w:rPr>
          <w:sz w:val="24"/>
          <w:szCs w:val="24"/>
          <w:color w:val="auto"/>
        </w:rPr>
      </w:pPr>
    </w:p>
    <w:p>
      <w:pPr>
        <w:jc w:val="both"/>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April 29, 2021, Verona Pharma plc (the “Company”) announced its financial results for the quarter ended March 31, 2021. The full text of the press release issued in connection with the announcement is furnished as Exhibit 99.1 to this Current Report on Form 8-K.</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relating to Item 2.02 shall be deemed to be furnished, and not filed:</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320"/>
        <w:spacing w:after="0"/>
        <w:tabs>
          <w:tab w:leader="none" w:pos="11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ind w:left="300"/>
        <w:spacing w:after="0"/>
        <w:tabs>
          <w:tab w:leader="none" w:pos="112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issued on April 29, 2021</w:t>
        </w:r>
      </w:hyperlink>
    </w:p>
    <w:p>
      <w:pPr>
        <w:spacing w:after="0" w:line="23" w:lineRule="exact"/>
        <w:rPr>
          <w:sz w:val="20"/>
          <w:szCs w:val="20"/>
          <w:color w:val="auto"/>
        </w:rPr>
      </w:pPr>
    </w:p>
    <w:p>
      <w:pPr>
        <w:ind w:left="320"/>
        <w:spacing w:after="0"/>
        <w:tabs>
          <w:tab w:leader="none" w:pos="11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Arial" w:cs="Arial" w:eastAsia="Arial" w:hAnsi="Arial"/>
                <w:sz w:val="18"/>
                <w:szCs w:val="18"/>
                <w:b w:val="1"/>
                <w:bCs w:val="1"/>
                <w:color w:val="auto"/>
              </w:rPr>
              <w:t>VERONA PHARMA PLC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April 29, 2021</w:t>
            </w: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Zaccardelli, Pharm. D.</w:t>
            </w:r>
          </w:p>
        </w:tc>
      </w:tr>
      <w:tr>
        <w:trPr>
          <w:trHeight w:val="195"/>
        </w:trPr>
        <w:tc>
          <w:tcPr>
            <w:tcW w:w="3560" w:type="dxa"/>
            <w:vAlign w:val="bottom"/>
          </w:tcPr>
          <w:p>
            <w:pPr>
              <w:spacing w:after="0"/>
              <w:rPr>
                <w:sz w:val="16"/>
                <w:szCs w:val="16"/>
                <w:color w:val="auto"/>
              </w:rPr>
            </w:pPr>
          </w:p>
        </w:tc>
        <w:tc>
          <w:tcPr>
            <w:tcW w:w="264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David Zaccardelli, Pharm. D.</w:t>
            </w:r>
          </w:p>
        </w:tc>
      </w:tr>
      <w:tr>
        <w:trPr>
          <w:trHeight w:val="230"/>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260"/>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Verona Pharma Reports First Quarter 2021 Financial Results and Provides Corporate Update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ENHANCE Phase 3 program enrollment continues on track to complete in 2H21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Board strengthened with NED appointment of Lisa Deschamps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today at 9:00 a.m. EDT / 2:00 p.m. BST</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LONDON and RALEIGH, N.C., April 29, 2021 </w:t>
      </w:r>
      <w:r>
        <w:rPr>
          <w:rFonts w:ascii="Arial" w:cs="Arial" w:eastAsia="Arial" w:hAnsi="Arial"/>
          <w:sz w:val="18"/>
          <w:szCs w:val="18"/>
          <w:color w:val="auto"/>
        </w:rPr>
        <w:t>– Verona Pharma plc (Nasdaq: VRNA) (“Verona Pharma” or the “Company”), a clinical-stage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respiratory diseases, announces its financial results for the three months ended March 31, 2021, and provides a corporate update.</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first quarter of 2021 set a positive tone for what we expect to be another exciting year of substantial progress for Verona Pharma,” said David Zaccardelli, Pharm. D., President and Chief Executive Officer. "Patient recruitment is ongoing in our Phase 3 ENHANCE (“Ensifentrine as a Novel inHAled Nebulized COPD thErapy”) clinical program. Based on our projections, we continue to expect to complete enrollment in both studies in the second half of 2021 and to report top-line data from ENHANCE-2 in the first half of 2022 and from ENHANCE-1 in the second half of 2022.</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already reported results from two clinical studies this year. In February, we reported positive Phase 2 results with the pressurized metered-dose inhaler (“pMDI”) formulation of ensifentrine in moderate to severe COPD patients, and, last week, we reported that data from a pilot study with pMDI ensifentrine showed that ensifentrine added on to standard of care was well tolerated in patients hospitalized with COVID-19. The study was not powered to identify statistically significant efficacy outcomes and no benefit with ensifentrine added on to standard of care was observed.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this clinical progress, we strengthened our board with the Non-Executive Director appointment of Lisa Deschamps, Senior Vice President, Chief Business Officer, Novartis Gene Therapies. Lisa’s strategic and commercial expertise will be valuable as we progress ensifentrine through Phase 3 trials and prepare for commercialization.”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2323"/>
        </w:rPr>
        <w:t>First Quarter and Recent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w:t>
      </w:r>
    </w:p>
    <w:p>
      <w:pPr>
        <w:spacing w:after="0" w:line="229" w:lineRule="exact"/>
        <w:rPr>
          <w:sz w:val="20"/>
          <w:szCs w:val="20"/>
          <w:color w:val="auto"/>
        </w:rPr>
      </w:pPr>
    </w:p>
    <w:p>
      <w:pPr>
        <w:jc w:val="both"/>
        <w:ind w:left="660" w:hanging="328"/>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April 2021, Verona Pharma reported that results from the pilot study with pMDI ensifentrine showed ensifentrine added on to standard of care was well tolerated in patients hospitalized with COVID-19. The study was not powered to identify statistically significant efficacy outcomes and no clinical efficacy benefit with ensifentrine added on to standard of care was observed. The Company does not currently plan to conduct further studies of ensifentrine in the treatment of COVID-19.</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February 2021, Verona Pharma announced positive Phase 2 efficacy and safety data with pMDI ensifentrine in patients with moderate to severe COPD. The primary and secondary lung function endpoints were achieved and the data support further evaluation of twice-daily dosing. All three inhaled formulations have demonstrated statistically significant improvements in lung function in COPD patients, supporting the broad potential of ensifentrine delivered via nebulizers and handheld inhalers.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Corporate</w:t>
      </w:r>
    </w:p>
    <w:p>
      <w:pPr>
        <w:spacing w:after="0" w:line="229" w:lineRule="exact"/>
        <w:rPr>
          <w:sz w:val="20"/>
          <w:szCs w:val="20"/>
          <w:color w:val="auto"/>
        </w:rPr>
      </w:pPr>
    </w:p>
    <w:p>
      <w:pPr>
        <w:jc w:val="both"/>
        <w:ind w:left="6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March 2021, Ms. Lisa Deschamps joined the board as a Non-Executive Director. Ms. Deschamps is Senior Vice President, Chief Business Officer, of Novartis Gene Therapies. She has significant global and US experience in bringing respiratory and other specialized therapeutic area products to the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Key Milestones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near-term milestones include:</w:t>
      </w:r>
    </w:p>
    <w:p>
      <w:pPr>
        <w:spacing w:after="0" w:line="225" w:lineRule="exact"/>
        <w:rPr>
          <w:sz w:val="20"/>
          <w:szCs w:val="20"/>
          <w:color w:val="auto"/>
        </w:rPr>
      </w:pPr>
    </w:p>
    <w:p>
      <w:pPr>
        <w:ind w:left="660" w:hanging="328"/>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Presenting three abstracts demonstrating positive safety, symptom and quality of life data from Phase 2b clinical studies with nebulized ensifentrine in COPD at the American Thoracic Society International Conference (“ATS”) </w:t>
      </w:r>
      <w:r>
        <w:rPr>
          <w:rFonts w:ascii="Arial" w:cs="Arial" w:eastAsia="Arial" w:hAnsi="Arial"/>
          <w:sz w:val="18"/>
          <w:szCs w:val="18"/>
          <w:u w:val="single" w:color="auto"/>
          <w:color w:val="auto"/>
        </w:rPr>
        <w:t>here</w:t>
      </w:r>
      <w:r>
        <w:rPr>
          <w:rFonts w:ascii="Arial" w:cs="Arial" w:eastAsia="Arial" w:hAnsi="Arial"/>
          <w:sz w:val="18"/>
          <w:szCs w:val="18"/>
          <w:color w:val="auto"/>
        </w:rPr>
        <w:t xml:space="preserve"> in May 2021.</w:t>
      </w:r>
    </w:p>
    <w:p>
      <w:pPr>
        <w:spacing w:after="0" w:line="170" w:lineRule="exact"/>
        <w:rPr>
          <w:rFonts w:ascii="Arial" w:cs="Arial" w:eastAsia="Arial" w:hAnsi="Arial"/>
          <w:sz w:val="18"/>
          <w:szCs w:val="18"/>
          <w:color w:val="auto"/>
        </w:rPr>
      </w:pPr>
    </w:p>
    <w:p>
      <w:pPr>
        <w:jc w:val="both"/>
        <w:ind w:left="620" w:hanging="302"/>
        <w:spacing w:after="0" w:line="286"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recruitment projections, the Company expects to complete enrollment in both Phase 3 trials, ENHANCE-1 and ENHANCE-2, with the nebulized formulation of ensifentrine for the maintenance treatment of COPD in the second half of 2021. With the pandemic and government and other measures in response impacting a number of clinical trial activities, the Company continues to monitor these timelines.</w:t>
      </w:r>
    </w:p>
    <w:p>
      <w:pPr>
        <w:spacing w:after="0" w:line="165" w:lineRule="exact"/>
        <w:rPr>
          <w:rFonts w:ascii="Arial" w:cs="Arial" w:eastAsia="Arial" w:hAnsi="Arial"/>
          <w:sz w:val="17"/>
          <w:szCs w:val="17"/>
          <w:color w:val="auto"/>
        </w:rPr>
      </w:pPr>
    </w:p>
    <w:p>
      <w:pPr>
        <w:ind w:left="620" w:hanging="302"/>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Longer term, based on forecasted recruitment and study progress, the Company expects to announce top-line data from ENHANCE-2 in the first half of 2022 and from ENHANCE-1 in the second half of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2021 Financial Results</w:t>
      </w:r>
    </w:p>
    <w:p>
      <w:pPr>
        <w:spacing w:after="0" w:line="225" w:lineRule="exact"/>
        <w:rPr>
          <w:sz w:val="20"/>
          <w:szCs w:val="20"/>
          <w:color w:val="auto"/>
        </w:rPr>
      </w:pPr>
    </w:p>
    <w:p>
      <w:pPr>
        <w:jc w:val="both"/>
        <w:ind w:left="620" w:hanging="302"/>
        <w:spacing w:after="0" w:line="261"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Cash and cash equivalents at March 31, 2021, were $169.6 million (December 31, 2020: $188.0 million). The Company believes</w:t>
      </w:r>
      <w:r>
        <w:rPr>
          <w:rFonts w:ascii="Arial" w:cs="Arial" w:eastAsia="Arial" w:hAnsi="Arial"/>
          <w:sz w:val="18"/>
          <w:szCs w:val="18"/>
          <w:b w:val="1"/>
          <w:bCs w:val="1"/>
          <w:color w:val="auto"/>
        </w:rPr>
        <w:t xml:space="preserve"> </w:t>
      </w:r>
      <w:r>
        <w:rPr>
          <w:rFonts w:ascii="Arial" w:cs="Arial" w:eastAsia="Arial" w:hAnsi="Arial"/>
          <w:sz w:val="18"/>
          <w:szCs w:val="18"/>
          <w:color w:val="auto"/>
        </w:rPr>
        <w:t>our cash and cash equivalents at March 31, 2021, together with funding expected to become available under the $30.0 million debt financing facility secured in November 2020 and from cash receipts from U.K. tax credits, will enable us to fund our planned operating expenses and capital expenditure requirements into 2023.</w:t>
      </w:r>
    </w:p>
    <w:p>
      <w:pPr>
        <w:spacing w:after="0" w:line="179" w:lineRule="exact"/>
        <w:rPr>
          <w:rFonts w:ascii="Arial" w:cs="Arial" w:eastAsia="Arial" w:hAnsi="Arial"/>
          <w:sz w:val="18"/>
          <w:szCs w:val="18"/>
          <w:color w:val="auto"/>
        </w:rPr>
      </w:pPr>
    </w:p>
    <w:p>
      <w:pPr>
        <w:jc w:val="both"/>
        <w:ind w:left="620" w:hanging="302"/>
        <w:spacing w:after="0" w:line="266"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Research and development (“R&amp;D”) expenses were $13.6 million for the first quarter ended March 31, 2021 (Q1 2020: R&amp;D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$7.6 million). The increase was primarily due to costs associated with the Phase 3 ENHANCE program as well an increase in share-based compensation charges.</w:t>
      </w:r>
    </w:p>
    <w:p>
      <w:pPr>
        <w:spacing w:after="0" w:line="175" w:lineRule="exact"/>
        <w:rPr>
          <w:rFonts w:ascii="Arial" w:cs="Arial" w:eastAsia="Arial" w:hAnsi="Arial"/>
          <w:sz w:val="18"/>
          <w:szCs w:val="18"/>
          <w:color w:val="auto"/>
        </w:rPr>
      </w:pPr>
    </w:p>
    <w:p>
      <w:pPr>
        <w:jc w:val="both"/>
        <w:ind w:left="620" w:hanging="302"/>
        <w:spacing w:after="0" w:line="266"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G&amp;A Expenses: </w:t>
      </w:r>
      <w:r>
        <w:rPr>
          <w:rFonts w:ascii="Arial" w:cs="Arial" w:eastAsia="Arial" w:hAnsi="Arial"/>
          <w:sz w:val="18"/>
          <w:szCs w:val="18"/>
          <w:color w:val="auto"/>
        </w:rPr>
        <w:t>General and administrative expenses (“G&amp;A”) were $9.3 million for the first quarter ended March 31, 2021 (Q1 2020: G&amp;A</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$6.9 million). This increase was driven by an increase in share-based compensation charges, partially offset by executive change costs in the prior period.</w:t>
      </w:r>
    </w:p>
    <w:p>
      <w:pPr>
        <w:spacing w:after="0" w:line="175"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$21.3 million for the first quarter ended March 31, 2021 (Q1 2020: net loss $12.3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2323"/>
        </w:rPr>
        <w:t>Conference Call and Webcast Information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Verona Pharma will host an investment community conference call at 9:00 a.m. EDT / 2:00 p.m. BST on Thursday, April 29, 2021 to discuss the first quarter 2021 financial results and the corporate update.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Analysts and investors may participate by dialing one of the following numbers and reference conference ID 7429971:</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+1-888-317-6003 for callers in the United States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+1-412-317-6061 for international callers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57" w:lineRule="auto"/>
        <w:rPr>
          <w:sz w:val="20"/>
          <w:szCs w:val="20"/>
          <w:color w:val="auto"/>
        </w:rPr>
      </w:pPr>
      <w:r>
        <w:rPr>
          <w:rFonts w:ascii="Arial" w:cs="Arial" w:eastAsia="Arial" w:hAnsi="Arial"/>
          <w:sz w:val="18"/>
          <w:szCs w:val="18"/>
          <w:color w:val="auto"/>
        </w:rPr>
        <w:t>A live webcast will be available on the Events and Presentations link on the Investors page of the Company's website, www.veronapharma.com, and an audio replay will be available there for 30 days. An electronic copy of the first quarter 2021 results press release will also be made available today on the Company’s website. This press release does not constitute an offer to sell or the solicitation of an offer to buy any of the Company’s securities, and shall not constitute an offer, solicitation or sale in any jurisdiction in which such offer, solicitation or sale would be unlawful prior to registration or qualification under the securities laws of that jurisdiction.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For further information please contact:</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Verona Pharma plc</w:t>
            </w:r>
          </w:p>
        </w:tc>
        <w:tc>
          <w:tcPr>
            <w:tcW w:w="2180" w:type="dxa"/>
            <w:vAlign w:val="bottom"/>
            <w:gridSpan w:val="3"/>
          </w:tcPr>
          <w:p>
            <w:pPr>
              <w:spacing w:after="0"/>
              <w:rPr>
                <w:sz w:val="20"/>
                <w:szCs w:val="20"/>
                <w:color w:val="auto"/>
              </w:rPr>
            </w:pPr>
            <w:r>
              <w:rPr>
                <w:rFonts w:ascii="Arial" w:cs="Arial" w:eastAsia="Arial" w:hAnsi="Arial"/>
                <w:sz w:val="18"/>
                <w:szCs w:val="18"/>
                <w:color w:val="auto"/>
              </w:rPr>
              <w:t>US Tel: +1-833-417-0262</w:t>
            </w:r>
          </w:p>
        </w:tc>
      </w:tr>
      <w:tr>
        <w:trPr>
          <w:trHeight w:val="230"/>
        </w:trPr>
        <w:tc>
          <w:tcPr>
            <w:tcW w:w="596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w w:val="92"/>
              </w:rPr>
              <w:t>UK Tel: +44 (0)203 283 4200</w:t>
            </w:r>
          </w:p>
        </w:tc>
      </w:tr>
      <w:tr>
        <w:trPr>
          <w:trHeight w:val="392"/>
        </w:trPr>
        <w:tc>
          <w:tcPr>
            <w:tcW w:w="5960" w:type="dxa"/>
            <w:vAlign w:val="bottom"/>
          </w:tcPr>
          <w:p>
            <w:pPr>
              <w:spacing w:after="0"/>
              <w:rPr>
                <w:sz w:val="20"/>
                <w:szCs w:val="20"/>
                <w:color w:val="auto"/>
              </w:rPr>
            </w:pPr>
            <w:r>
              <w:rPr>
                <w:rFonts w:ascii="Arial" w:cs="Arial" w:eastAsia="Arial" w:hAnsi="Arial"/>
                <w:sz w:val="18"/>
                <w:szCs w:val="18"/>
                <w:color w:val="auto"/>
              </w:rPr>
              <w:t>Victoria Stewart, Director of Communications</w:t>
            </w:r>
          </w:p>
        </w:tc>
        <w:tc>
          <w:tcPr>
            <w:tcW w:w="2180" w:type="dxa"/>
            <w:vAlign w:val="bottom"/>
            <w:gridSpan w:val="3"/>
          </w:tcPr>
          <w:p>
            <w:pPr>
              <w:spacing w:after="0"/>
              <w:rPr>
                <w:sz w:val="20"/>
                <w:szCs w:val="20"/>
                <w:color w:val="auto"/>
              </w:rPr>
            </w:pPr>
            <w:r>
              <w:rPr>
                <w:rFonts w:ascii="Arial" w:cs="Arial" w:eastAsia="Arial" w:hAnsi="Arial"/>
                <w:sz w:val="18"/>
                <w:szCs w:val="18"/>
                <w:color w:val="auto"/>
              </w:rPr>
              <w:t>info@veronapharma.com</w:t>
            </w:r>
          </w:p>
        </w:tc>
      </w:tr>
      <w:tr>
        <w:trPr>
          <w:trHeight w:val="438"/>
        </w:trPr>
        <w:tc>
          <w:tcPr>
            <w:tcW w:w="5960" w:type="dxa"/>
            <w:vAlign w:val="bottom"/>
          </w:tcPr>
          <w:p>
            <w:pPr>
              <w:spacing w:after="0"/>
              <w:rPr>
                <w:sz w:val="20"/>
                <w:szCs w:val="20"/>
                <w:color w:val="auto"/>
              </w:rPr>
            </w:pPr>
            <w:r>
              <w:rPr>
                <w:rFonts w:ascii="Arial" w:cs="Arial" w:eastAsia="Arial" w:hAnsi="Arial"/>
                <w:sz w:val="18"/>
                <w:szCs w:val="18"/>
                <w:b w:val="1"/>
                <w:bCs w:val="1"/>
                <w:color w:val="auto"/>
              </w:rPr>
              <w:t>Argot Partners</w:t>
            </w:r>
          </w:p>
        </w:tc>
        <w:tc>
          <w:tcPr>
            <w:tcW w:w="1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Tel: +1-212-600-1902</w:t>
            </w:r>
          </w:p>
        </w:tc>
        <w:tc>
          <w:tcPr>
            <w:tcW w:w="340" w:type="dxa"/>
            <w:vAlign w:val="bottom"/>
            <w:gridSpan w:val="2"/>
          </w:tcPr>
          <w:p>
            <w:pPr>
              <w:spacing w:after="0"/>
              <w:rPr>
                <w:sz w:val="24"/>
                <w:szCs w:val="24"/>
                <w:color w:val="auto"/>
              </w:rPr>
            </w:pPr>
          </w:p>
        </w:tc>
      </w:tr>
      <w:tr>
        <w:trPr>
          <w:trHeight w:val="190"/>
        </w:trPr>
        <w:tc>
          <w:tcPr>
            <w:tcW w:w="5960" w:type="dxa"/>
            <w:vAlign w:val="bottom"/>
          </w:tcPr>
          <w:p>
            <w:pPr>
              <w:spacing w:after="0" w:line="190" w:lineRule="exact"/>
              <w:rPr>
                <w:sz w:val="20"/>
                <w:szCs w:val="20"/>
                <w:color w:val="auto"/>
              </w:rPr>
            </w:pPr>
            <w:r>
              <w:rPr>
                <w:rFonts w:ascii="Arial" w:cs="Arial" w:eastAsia="Arial" w:hAnsi="Arial"/>
                <w:sz w:val="18"/>
                <w:szCs w:val="18"/>
                <w:color w:val="auto"/>
              </w:rPr>
              <w:t>(US Investor Enquiries)</w:t>
            </w:r>
          </w:p>
        </w:tc>
        <w:tc>
          <w:tcPr>
            <w:tcW w:w="2180" w:type="dxa"/>
            <w:vAlign w:val="bottom"/>
            <w:gridSpan w:val="3"/>
          </w:tcPr>
          <w:p>
            <w:pPr>
              <w:spacing w:after="0" w:line="190" w:lineRule="exact"/>
              <w:rPr>
                <w:sz w:val="20"/>
                <w:szCs w:val="20"/>
                <w:color w:val="auto"/>
              </w:rPr>
            </w:pPr>
            <w:r>
              <w:rPr>
                <w:rFonts w:ascii="Arial" w:cs="Arial" w:eastAsia="Arial" w:hAnsi="Arial"/>
                <w:sz w:val="18"/>
                <w:szCs w:val="18"/>
                <w:color w:val="auto"/>
                <w:w w:val="98"/>
              </w:rPr>
              <w:t>verona@argotpartners.com</w:t>
            </w:r>
          </w:p>
        </w:tc>
      </w:tr>
      <w:tr>
        <w:trPr>
          <w:trHeight w:val="237"/>
        </w:trPr>
        <w:tc>
          <w:tcPr>
            <w:tcW w:w="5960" w:type="dxa"/>
            <w:vAlign w:val="bottom"/>
          </w:tcPr>
          <w:p>
            <w:pPr>
              <w:spacing w:after="0"/>
              <w:rPr>
                <w:sz w:val="20"/>
                <w:szCs w:val="20"/>
                <w:color w:val="auto"/>
              </w:rPr>
            </w:pPr>
            <w:r>
              <w:rPr>
                <w:rFonts w:ascii="Arial" w:cs="Arial" w:eastAsia="Arial" w:hAnsi="Arial"/>
                <w:sz w:val="18"/>
                <w:szCs w:val="18"/>
                <w:color w:val="auto"/>
              </w:rPr>
              <w:t>Kimberly Minarovich / Michael Barron</w:t>
            </w:r>
          </w:p>
        </w:tc>
        <w:tc>
          <w:tcPr>
            <w:tcW w:w="18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Optimum Strategic Communications</w:t>
            </w:r>
          </w:p>
        </w:tc>
        <w:tc>
          <w:tcPr>
            <w:tcW w:w="2180" w:type="dxa"/>
            <w:vAlign w:val="bottom"/>
            <w:gridSpan w:val="3"/>
          </w:tcPr>
          <w:p>
            <w:pPr>
              <w:spacing w:after="0"/>
              <w:rPr>
                <w:sz w:val="20"/>
                <w:szCs w:val="20"/>
                <w:color w:val="auto"/>
              </w:rPr>
            </w:pPr>
            <w:r>
              <w:rPr>
                <w:rFonts w:ascii="Arial" w:cs="Arial" w:eastAsia="Arial" w:hAnsi="Arial"/>
                <w:sz w:val="18"/>
                <w:szCs w:val="18"/>
                <w:color w:val="auto"/>
              </w:rPr>
              <w:t>Tel: +44 (0)203 950 9144</w:t>
            </w:r>
          </w:p>
        </w:tc>
      </w:tr>
      <w:tr>
        <w:trPr>
          <w:trHeight w:val="190"/>
        </w:trPr>
        <w:tc>
          <w:tcPr>
            <w:tcW w:w="5960" w:type="dxa"/>
            <w:vAlign w:val="bottom"/>
          </w:tcPr>
          <w:p>
            <w:pPr>
              <w:spacing w:after="0" w:line="190" w:lineRule="exact"/>
              <w:rPr>
                <w:sz w:val="20"/>
                <w:szCs w:val="20"/>
                <w:color w:val="auto"/>
              </w:rPr>
            </w:pPr>
            <w:r>
              <w:rPr>
                <w:rFonts w:ascii="Arial" w:cs="Arial" w:eastAsia="Arial" w:hAnsi="Arial"/>
                <w:sz w:val="18"/>
                <w:szCs w:val="18"/>
                <w:color w:val="auto"/>
              </w:rPr>
              <w:t>(International Media and European Investor Enquiries)</w:t>
            </w:r>
          </w:p>
        </w:tc>
        <w:tc>
          <w:tcPr>
            <w:tcW w:w="2180" w:type="dxa"/>
            <w:vAlign w:val="bottom"/>
            <w:tcBorders>
              <w:bottom w:val="single" w:sz="8" w:color="auto"/>
            </w:tcBorders>
            <w:gridSpan w:val="3"/>
          </w:tcPr>
          <w:p>
            <w:pPr>
              <w:spacing w:after="0" w:line="190" w:lineRule="exact"/>
              <w:rPr>
                <w:sz w:val="20"/>
                <w:szCs w:val="20"/>
                <w:color w:val="auto"/>
              </w:rPr>
            </w:pPr>
            <w:r>
              <w:rPr>
                <w:rFonts w:ascii="Arial" w:cs="Arial" w:eastAsia="Arial" w:hAnsi="Arial"/>
                <w:sz w:val="18"/>
                <w:szCs w:val="18"/>
                <w:color w:val="auto"/>
                <w:w w:val="90"/>
              </w:rPr>
              <w:t>verona@optimumcomms.com</w:t>
            </w:r>
          </w:p>
        </w:tc>
      </w:tr>
      <w:tr>
        <w:trPr>
          <w:trHeight w:val="453"/>
        </w:trPr>
        <w:tc>
          <w:tcPr>
            <w:tcW w:w="5960" w:type="dxa"/>
            <w:vAlign w:val="bottom"/>
          </w:tcPr>
          <w:p>
            <w:pPr>
              <w:spacing w:after="0"/>
              <w:rPr>
                <w:sz w:val="20"/>
                <w:szCs w:val="20"/>
                <w:color w:val="auto"/>
              </w:rPr>
            </w:pPr>
            <w:r>
              <w:rPr>
                <w:rFonts w:ascii="Arial" w:cs="Arial" w:eastAsia="Arial" w:hAnsi="Arial"/>
                <w:sz w:val="18"/>
                <w:szCs w:val="18"/>
                <w:color w:val="auto"/>
              </w:rPr>
              <w:t>Mary Clark / Eva Haas / Shabnam Bashir</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2"/>
        </w:trPr>
        <w:tc>
          <w:tcPr>
            <w:tcW w:w="5960" w:type="dxa"/>
            <w:vAlign w:val="bottom"/>
          </w:tcPr>
          <w:p>
            <w:pPr>
              <w:spacing w:after="0"/>
              <w:rPr>
                <w:sz w:val="20"/>
                <w:szCs w:val="20"/>
                <w:color w:val="auto"/>
              </w:rPr>
            </w:pPr>
            <w:r>
              <w:rPr>
                <w:rFonts w:ascii="Arial" w:cs="Arial" w:eastAsia="Arial" w:hAnsi="Arial"/>
                <w:sz w:val="18"/>
                <w:szCs w:val="18"/>
                <w:b w:val="1"/>
                <w:bCs w:val="1"/>
                <w:color w:val="auto"/>
              </w:rPr>
              <w:t>About Verona Pharma</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Verona Pharma is a clinical-stage biopharmaceutical company focused on developing and commercializing innovative therapies for the treatment of respiratory diseases with significant unmet medical needs. If successfully developed and approved, Verona Pharma’s product candidate, ensifentrine, has the potential to be the first therapy for the treatment of respiratory diseases that combines bronchodilator and anti-inflammatory activities in one compound. The Company is evaluating nebulized ensifentrine in its Phase 3 clinical program ENHANCE (“Ensifentrine as a Novel inHAled Nebulized COPD thErapy”) for COPD maintenance treatment. Two additional formulations of ensifentrine are in Phase 2 development for the treatment of COPD: dry powder inhaler (“DPI”) and pressurized metered-dose inhaler (“pMDI”). Ensifentrine has potential applications in cystic fibrosis, asthma and other respiratory diseases. For more information, please visit </w:t>
      </w:r>
      <w:r>
        <w:rPr>
          <w:rFonts w:ascii="Arial" w:cs="Arial" w:eastAsia="Arial" w:hAnsi="Arial"/>
          <w:sz w:val="17"/>
          <w:szCs w:val="17"/>
          <w:u w:val="single" w:color="auto"/>
          <w:color w:val="auto"/>
        </w:rPr>
        <w:t>www.veronapharma.com</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Verona Pharma is closely monitoring the potential impact of the COVID-19 pandemic on its operations and clinical trials, in particular the timelines and costs of its Phase 3 ENHANCE clinical program. The pandemic and government and other measures in response are impacting a number of clinical trial activities and the Company will provide an update if it becomes aware of any meaningful disruption caused by the pandemic to its clinical trials.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help protect the health and safety of the patients, caregivers and healthcare professionals involved in its clinical trials, as well as its employees and independent contractors, the Company continues to follow guidance from the FDA and other health regulatory authorities regarding the conduct of clinical trials during the COVID-19 pandemic to ensure the safety of study participants, minimize risks to study integrity, and maintain compliance with good clinical practice (GCP).</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Verona Pharma is closely monitoring activities at the Company’s contract manufacturers associated with clinical supply for the ongoing clinical trials, and is satisfied that appropriate plans and procedures are in place to ensure uninterrupted future supply of ensifentrine to the clinical trial sites, subject to potential limitations on their operations and on the supply chain due to the COVID-19 pandemic. The Company is continuing to monitor this situation and will provide an update if it becomes aware of any meaningful disruption caused by the pandemic to the clinical supply of ensifentrine for its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Verona Pharma has also implemented measures to help keep the Company’s employees, families, and local communities healthy and safe. All employees are working remotely and all business travel has been restricted.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press release contains forward-looking statements. All statements contained in this press release with respect to our operational review, outlook and financial review that do not relate to matters of historical fact should be considered forward-looking statements, including, but not limited to, statements regarding the development of ensifentrine and the progress and timing of clinical trials and data, the goals and design of clinical trials, the potential for ensifentrine to be the first therapy for the treatment of respiratory diseases to combine bronchodilator and anti-inflammatory effects in one compound, the potential of ensifentrine in the treatment of COPD, cystic fibrosis, asthma and other respiratory diseases, as well as the potential of the DPI and pMDI formulations of ensifentrine, the impact of the COVID-19 pandemic on our business and operations and the Company’s future financial results, the funding we expect to become available under the $30.0 million debt financing facility and from cash receipts from U.K. tax credits, and the sufficiency of cash and cash equivalents.</w:t>
      </w:r>
    </w:p>
    <w:p>
      <w:pPr>
        <w:spacing w:after="0" w:line="19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potential delays in enrolling patients, which could adversely affect our research and development efforts and the completion of our clinical trials; we may not be successful in developing ensifentrine for multiple indications; our ability to obtain approval for and commercialize ensifentrine in multiple major pharmaceutical markets; misconduct or other improper activities by our employees, consultants, principal investigators, and third-party service providers; our future growth and ability to compete depends on retaining our key personnel and recruiting additional qualified personnel; material differences between our “top-line” data and final data; our reliance on third parties, including clinical research organizations, clinical investigators, manufacturers and suppliers, and the risks related to these parties’ ability to successfully develop and commercialize ensifentrine; and lawsuits related to patents covering ensifentrine and the potential for our patents to be found invalid or unenforceable; changes in our tax rates, unavailability of certain tax credits or reliefs or exposure to additional tax liabilities or assessments could affect our profitability, and audits by tax authorities could result in additional tax payments for prior periods; and our vulnerability to natural disasters, global economic factors and other unexpected events, including health epidemics or pandemics like the COVID-19 pandemic, which has and may continue to adversely impact our business. These and other important factors under the caption “Risk Factors” in our Annual Report on Form 10-K for the year ended December 31, 2020,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4620" w:type="dxa"/>
            <w:vAlign w:val="bottom"/>
            <w:gridSpan w:val="2"/>
          </w:tcPr>
          <w:p>
            <w:pPr>
              <w:jc w:val="right"/>
              <w:ind w:right="2110"/>
              <w:spacing w:after="0"/>
              <w:rPr>
                <w:sz w:val="20"/>
                <w:szCs w:val="20"/>
                <w:color w:val="auto"/>
              </w:rPr>
            </w:pPr>
            <w:r>
              <w:rPr>
                <w:rFonts w:ascii="Arial" w:cs="Arial" w:eastAsia="Arial" w:hAnsi="Arial"/>
                <w:sz w:val="18"/>
                <w:szCs w:val="18"/>
                <w:b w:val="1"/>
                <w:bCs w:val="1"/>
                <w:color w:val="232323"/>
              </w:rPr>
              <w:t>Verona Pharma, plc</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980" w:type="dxa"/>
            <w:vAlign w:val="bottom"/>
          </w:tcPr>
          <w:p>
            <w:pPr>
              <w:spacing w:after="0"/>
              <w:rPr>
                <w:sz w:val="24"/>
                <w:szCs w:val="24"/>
                <w:color w:val="auto"/>
              </w:rPr>
            </w:pPr>
          </w:p>
        </w:tc>
        <w:tc>
          <w:tcPr>
            <w:tcW w:w="4620" w:type="dxa"/>
            <w:vAlign w:val="bottom"/>
            <w:gridSpan w:val="2"/>
          </w:tcPr>
          <w:p>
            <w:pPr>
              <w:jc w:val="right"/>
              <w:ind w:right="1590"/>
              <w:spacing w:after="0"/>
              <w:rPr>
                <w:sz w:val="20"/>
                <w:szCs w:val="20"/>
                <w:color w:val="auto"/>
              </w:rPr>
            </w:pPr>
            <w:r>
              <w:rPr>
                <w:rFonts w:ascii="Arial" w:cs="Arial" w:eastAsia="Arial" w:hAnsi="Arial"/>
                <w:sz w:val="18"/>
                <w:szCs w:val="18"/>
                <w:b w:val="1"/>
                <w:bCs w:val="1"/>
                <w:color w:val="232323"/>
              </w:rPr>
              <w:t>Consolidated Financial Summary</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9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6"/>
          </w:tcPr>
          <w:p>
            <w:pPr>
              <w:jc w:val="right"/>
              <w:ind w:right="241"/>
              <w:spacing w:after="0"/>
              <w:rPr>
                <w:sz w:val="20"/>
                <w:szCs w:val="20"/>
                <w:color w:val="auto"/>
              </w:rPr>
            </w:pPr>
            <w:r>
              <w:rPr>
                <w:rFonts w:ascii="Arial" w:cs="Arial" w:eastAsia="Arial" w:hAnsi="Arial"/>
                <w:sz w:val="18"/>
                <w:szCs w:val="18"/>
                <w:color w:val="auto"/>
                <w:w w:val="91"/>
              </w:rPr>
              <w:t>Three months ended March 31,</w:t>
            </w:r>
          </w:p>
        </w:tc>
      </w:tr>
      <w:tr>
        <w:trPr>
          <w:trHeight w:val="223"/>
        </w:trPr>
        <w:tc>
          <w:tcPr>
            <w:tcW w:w="3980" w:type="dxa"/>
            <w:vAlign w:val="bottom"/>
            <w:tcBorders>
              <w:bottom w:val="single" w:sz="8" w:color="CCEEFF"/>
            </w:tcBorders>
          </w:tcPr>
          <w:p>
            <w:pPr>
              <w:spacing w:after="0"/>
              <w:rPr>
                <w:sz w:val="19"/>
                <w:szCs w:val="19"/>
                <w:color w:val="auto"/>
              </w:rPr>
            </w:pPr>
          </w:p>
        </w:tc>
        <w:tc>
          <w:tcPr>
            <w:tcW w:w="44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r>
      <w:tr>
        <w:trPr>
          <w:trHeight w:val="209"/>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13,574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7,634</w:t>
            </w: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9,282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6,850</w:t>
            </w:r>
          </w:p>
        </w:tc>
      </w:tr>
      <w:tr>
        <w:trPr>
          <w:trHeight w:val="209"/>
        </w:trPr>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44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22,856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14,484</w:t>
            </w:r>
          </w:p>
        </w:tc>
        <w:tc>
          <w:tcPr>
            <w:tcW w:w="100" w:type="dxa"/>
            <w:vAlign w:val="bottom"/>
            <w:tcBorders>
              <w:bottom w:val="single" w:sz="8" w:color="CCEEFF"/>
            </w:tcBorders>
          </w:tcPr>
          <w:p>
            <w:pPr>
              <w:spacing w:after="0"/>
              <w:rPr>
                <w:sz w:val="18"/>
                <w:szCs w:val="18"/>
                <w:color w:val="auto"/>
              </w:rPr>
            </w:pPr>
          </w:p>
        </w:tc>
      </w:tr>
      <w:tr>
        <w:trPr>
          <w:trHeight w:val="209"/>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4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(14,484)</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rPr>
              <w:t>Other income / (expense)</w:t>
            </w:r>
          </w:p>
        </w:tc>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Benefit from R&amp;D tax credit</w:t>
            </w:r>
          </w:p>
        </w:tc>
        <w:tc>
          <w:tcPr>
            <w:tcW w:w="4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1,685</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Interest income</w:t>
            </w:r>
          </w:p>
        </w:tc>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69</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Fair value movement on warrants</w:t>
            </w:r>
          </w:p>
        </w:tc>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(507)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142</w:t>
            </w: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 (loss)</w:t>
            </w:r>
          </w:p>
        </w:tc>
        <w:tc>
          <w:tcPr>
            <w:tcW w:w="4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293</w:t>
            </w:r>
          </w:p>
        </w:tc>
      </w:tr>
      <w:tr>
        <w:trPr>
          <w:trHeight w:val="209"/>
        </w:trPr>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other income, net</w:t>
            </w:r>
          </w:p>
        </w:tc>
        <w:tc>
          <w:tcPr>
            <w:tcW w:w="44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Borders>
              <w:bottom w:val="single" w:sz="8" w:color="CCEEFF"/>
            </w:tcBorders>
          </w:tcPr>
          <w:p>
            <w:pPr>
              <w:spacing w:after="0"/>
              <w:rPr>
                <w:sz w:val="18"/>
                <w:szCs w:val="18"/>
                <w:color w:val="auto"/>
              </w:rPr>
            </w:pPr>
          </w:p>
        </w:tc>
      </w:tr>
      <w:tr>
        <w:trPr>
          <w:trHeight w:val="209"/>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4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(12,295)</w:t>
            </w:r>
          </w:p>
        </w:tc>
        <w:tc>
          <w:tcPr>
            <w:tcW w:w="100" w:type="dxa"/>
            <w:vAlign w:val="bottom"/>
            <w:shd w:val="clear" w:color="auto" w:fill="CCEEFF"/>
          </w:tcPr>
          <w:p>
            <w:pPr>
              <w:spacing w:after="0"/>
              <w:rPr>
                <w:sz w:val="18"/>
                <w:szCs w:val="18"/>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Income tax expense</w:t>
            </w: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4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9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9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4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463,505,681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105,453,364</w:t>
            </w:r>
          </w:p>
        </w:tc>
      </w:tr>
      <w:tr>
        <w:trPr>
          <w:trHeight w:val="216"/>
        </w:trPr>
        <w:tc>
          <w:tcPr>
            <w:tcW w:w="39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Loss per ordinary share — basic and diluted</w:t>
            </w:r>
          </w:p>
        </w:tc>
        <w:tc>
          <w:tcPr>
            <w:tcW w:w="44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39"/>
        </w:trPr>
        <w:tc>
          <w:tcPr>
            <w:tcW w:w="39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321"/>
              <w:spacing w:after="0"/>
              <w:rPr>
                <w:sz w:val="20"/>
                <w:szCs w:val="20"/>
                <w:color w:val="auto"/>
              </w:rPr>
            </w:pPr>
            <w:r>
              <w:rPr>
                <w:rFonts w:ascii="Arial" w:cs="Arial" w:eastAsia="Arial" w:hAnsi="Arial"/>
                <w:sz w:val="18"/>
                <w:szCs w:val="18"/>
                <w:color w:val="auto"/>
              </w:rPr>
              <w:t>March 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8"/>
                <w:szCs w:val="18"/>
                <w:color w:val="auto"/>
                <w:w w:val="88"/>
              </w:rPr>
              <w:t>December 31</w:t>
            </w:r>
          </w:p>
        </w:tc>
      </w:tr>
      <w:tr>
        <w:trPr>
          <w:trHeight w:val="230"/>
        </w:trPr>
        <w:tc>
          <w:tcPr>
            <w:tcW w:w="3980" w:type="dxa"/>
            <w:vAlign w:val="bottom"/>
            <w:tcBorders>
              <w:bottom w:val="single" w:sz="8" w:color="CCEEFF"/>
            </w:tcBorders>
          </w:tcPr>
          <w:p>
            <w:pPr>
              <w:spacing w:after="0"/>
              <w:rPr>
                <w:sz w:val="20"/>
                <w:szCs w:val="20"/>
                <w:color w:val="auto"/>
              </w:rPr>
            </w:pPr>
          </w:p>
        </w:tc>
        <w:tc>
          <w:tcPr>
            <w:tcW w:w="44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r>
      <w:tr>
        <w:trPr>
          <w:trHeight w:val="209"/>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7"/>
              </w:rPr>
              <w:t>Cash, cash equivalents and short term investments</w:t>
            </w:r>
          </w:p>
        </w:tc>
        <w:tc>
          <w:tcPr>
            <w:tcW w:w="4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187,986</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Total assets</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190,128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204,206</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172,414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184,854</w:t>
            </w:r>
          </w:p>
        </w:tc>
      </w:tr>
      <w:tr>
        <w:trPr>
          <w:trHeight w:val="675"/>
        </w:trPr>
        <w:tc>
          <w:tcPr>
            <w:tcW w:w="39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2021-04-29T06:17:34Z</dcterms:created>
  <dcterms:modified xsi:type="dcterms:W3CDTF">2021-04-29T06:17:34Z</dcterms:modified>
</cp:coreProperties>
</file>