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5" w:lineRule="exact"/>
        <w:rPr>
          <w:sz w:val="24"/>
          <w:szCs w:val="24"/>
          <w:color w:val="auto"/>
        </w:rPr>
      </w:pPr>
    </w:p>
    <w:p>
      <w:pPr>
        <w:ind w:left="680" w:hanging="377"/>
        <w:spacing w:after="0"/>
        <w:tabs>
          <w:tab w:leader="none" w:pos="68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20" w:lineRule="exact"/>
        <w:rPr>
          <w:sz w:val="24"/>
          <w:szCs w:val="24"/>
          <w:color w:val="auto"/>
        </w:rPr>
      </w:pPr>
    </w:p>
    <w:p>
      <w:pPr>
        <w:ind w:left="480" w:hanging="397"/>
        <w:spacing w:after="0"/>
        <w:tabs>
          <w:tab w:leader="none" w:pos="48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18"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5220" w:type="dxa"/>
            <w:vAlign w:val="bottom"/>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United Kingdom</w:t>
            </w:r>
          </w:p>
        </w:tc>
        <w:tc>
          <w:tcPr>
            <w:tcW w:w="372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w w:val="96"/>
              </w:rPr>
              <w:t>98-1489389</w:t>
            </w:r>
          </w:p>
        </w:tc>
      </w:tr>
      <w:tr>
        <w:trPr>
          <w:trHeight w:val="187"/>
        </w:trPr>
        <w:tc>
          <w:tcPr>
            <w:tcW w:w="5220" w:type="dxa"/>
            <w:vAlign w:val="bottom"/>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2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w w:val="99"/>
              </w:rPr>
              <w:t>(I.R.S. Employer Identification No.)</w:t>
            </w:r>
          </w:p>
        </w:tc>
      </w:tr>
      <w:tr>
        <w:trPr>
          <w:trHeight w:val="502"/>
        </w:trPr>
        <w:tc>
          <w:tcPr>
            <w:tcW w:w="5220" w:type="dxa"/>
            <w:vAlign w:val="bottom"/>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6"/>
              </w:rPr>
              <w:t>3 More London Riverside</w:t>
            </w:r>
          </w:p>
        </w:tc>
        <w:tc>
          <w:tcPr>
            <w:tcW w:w="3720" w:type="dxa"/>
            <w:vAlign w:val="bottom"/>
          </w:tcPr>
          <w:p>
            <w:pPr>
              <w:spacing w:after="0"/>
              <w:rPr>
                <w:sz w:val="24"/>
                <w:szCs w:val="24"/>
                <w:color w:val="auto"/>
              </w:rPr>
            </w:pPr>
          </w:p>
        </w:tc>
      </w:tr>
      <w:tr>
        <w:trPr>
          <w:trHeight w:val="230"/>
        </w:trPr>
        <w:tc>
          <w:tcPr>
            <w:tcW w:w="5220" w:type="dxa"/>
            <w:vAlign w:val="bottom"/>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6"/>
              </w:rPr>
              <w:t>London SE1 2RE United Kingdom</w:t>
            </w:r>
          </w:p>
        </w:tc>
        <w:tc>
          <w:tcPr>
            <w:tcW w:w="372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r>
      <w:tr>
        <w:trPr>
          <w:trHeight w:val="213"/>
        </w:trPr>
        <w:tc>
          <w:tcPr>
            <w:tcW w:w="5220" w:type="dxa"/>
            <w:vAlign w:val="bottom"/>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3720" w:type="dxa"/>
            <w:vAlign w:val="bottom"/>
          </w:tcPr>
          <w:p>
            <w:pPr>
              <w:jc w:val="center"/>
              <w:ind w:left="1521"/>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+44 203 283 4200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442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24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8"/>
                <w:szCs w:val="18"/>
                <w:b w:val="1"/>
                <w:bCs w:val="1"/>
                <w:color w:val="auto"/>
                <w:w w:val="95"/>
              </w:rPr>
              <w:t>Trading Symbol</w:t>
            </w:r>
          </w:p>
        </w:tc>
        <w:tc>
          <w:tcPr>
            <w:tcW w:w="456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193"/>
        </w:trPr>
        <w:tc>
          <w:tcPr>
            <w:tcW w:w="4420" w:type="dxa"/>
            <w:vAlign w:val="bottom"/>
          </w:tcPr>
          <w:p>
            <w:pPr>
              <w:jc w:val="center"/>
              <w:ind w:left="421"/>
              <w:spacing w:after="0"/>
              <w:rPr>
                <w:sz w:val="20"/>
                <w:szCs w:val="20"/>
                <w:color w:val="auto"/>
              </w:rPr>
            </w:pPr>
            <w:r>
              <w:rPr>
                <w:rFonts w:ascii="Times New Roman" w:cs="Times New Roman" w:eastAsia="Times New Roman" w:hAnsi="Times New Roman"/>
                <w:sz w:val="14"/>
                <w:szCs w:val="14"/>
                <w:color w:val="auto"/>
                <w:w w:val="99"/>
              </w:rPr>
              <w:t>Ordinary shares, nominal value £0.05 per share*</w:t>
            </w:r>
          </w:p>
        </w:tc>
        <w:tc>
          <w:tcPr>
            <w:tcW w:w="22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rPr>
              <w:t>VRNA</w:t>
            </w:r>
          </w:p>
        </w:tc>
        <w:tc>
          <w:tcPr>
            <w:tcW w:w="4560" w:type="dxa"/>
            <w:vAlign w:val="bottom"/>
          </w:tcPr>
          <w:p>
            <w:pPr>
              <w:jc w:val="center"/>
              <w:ind w:right="301"/>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r>
    </w:tbl>
    <w:p>
      <w:pPr>
        <w:spacing w:after="0" w:line="198" w:lineRule="exact"/>
        <w:rPr>
          <w:sz w:val="24"/>
          <w:szCs w:val="24"/>
          <w:color w:val="auto"/>
        </w:rPr>
      </w:pPr>
    </w:p>
    <w:p>
      <w:pPr>
        <w:ind w:right="220" w:firstLine="5"/>
        <w:spacing w:after="0" w:line="263" w:lineRule="auto"/>
        <w:tabs>
          <w:tab w:leader="none" w:pos="10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95" w:lineRule="exact"/>
        <w:rPr>
          <w:sz w:val="24"/>
          <w:szCs w:val="24"/>
          <w:color w:val="auto"/>
        </w:rPr>
      </w:pPr>
    </w:p>
    <w:p>
      <w:pPr>
        <w:ind w:right="2000"/>
        <w:spacing w:after="0" w:line="23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500"/>
        <w:spacing w:after="0" w:line="21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5"/>
        <w:spacing w:after="0" w:line="207" w:lineRule="exact"/>
        <w:tabs>
          <w:tab w:leader="none" w:pos="2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0"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26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Small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4"/>
        </w:trPr>
        <w:tc>
          <w:tcPr>
            <w:tcW w:w="3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8" w:lineRule="exact"/>
        <w:rPr>
          <w:sz w:val="24"/>
          <w:szCs w:val="24"/>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1"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equity held by non-affiliates was approximately $212.1 million as of June 30, 2022, the last business day of the registrant's most recently completed second fiscal quarter. Solely for purposes of this disclosure, shares held by executive officers, directors and certain shareholders of the registrant as of such date have been excluded because such persons or entities may be deemed to be affiliates of the registrant.</w:t>
      </w:r>
    </w:p>
    <w:p>
      <w:pPr>
        <w:spacing w:after="0" w:line="76"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March 3, 2023, the registrant had 631,904,598 ordinary shares, nominal value £0.05 per share, outstanding, which if all held in ADS form, would be represented by 78,988,075 American Depositary Shares, each representing eight (8) ordinary shares.</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0"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Portions of the registrant’s definitive proxy statement that the registrant intends to file with the Securities and Exchange Commission pursuant to Regulation 14A in connection with the registrant’s 2023 Annual Meeting of Shareholders are incorporated by reference into Part III of this Annual Report on Form 10-K to the extent stated herein.</w:t>
      </w:r>
    </w:p>
    <w:p>
      <w:pPr>
        <w:sectPr>
          <w:pgSz w:w="11900" w:h="16838" w:orient="portrait"/>
          <w:cols w:equalWidth="0" w:num="1">
            <w:col w:w="11240"/>
          </w:cols>
          <w:pgMar w:left="320" w:top="1440" w:right="339" w:bottom="631" w:gutter="0" w:footer="0" w:header="0"/>
        </w:sectPr>
      </w:pPr>
    </w:p>
    <w:bookmarkStart w:id="1" w:name="page2"/>
    <w:bookmarkEnd w:id="1"/>
    <w:p>
      <w:pPr>
        <w:spacing w:after="0" w:line="25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326390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0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All references in this Annual Report on Form 10-K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18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This Annual Report may include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and the expected regulations applicable to ensifentrine,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the Oxford Term Loan and from cash receipts from U.K. tax credits, and the sufficiency of our cash and cash equivalents to fund operations, are forward-looking statements.</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the important factors described under the sections in this Annual Report entitled “Risk Factors” and “Management’s Discussion and Analysis of Financial Condition and Results of Operations” and in our other filings with the SEC.</w:t>
      </w:r>
    </w:p>
    <w:p>
      <w:pPr>
        <w:spacing w:after="0" w:line="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and Section 21E of the Exchange Act.</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1272540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color w:val="auto"/>
        </w:rPr>
        <w:t>Our business is subject to numerous risks and uncertainties, including those described in Part I, Item 1A. “Risk Factors” in this Annual Report. You should carefully consider these risks and uncertainties when investing in our ADSs. The principal risks and uncertainties affecting our business include the following:</w:t>
      </w:r>
    </w:p>
    <w:p>
      <w:pPr>
        <w:spacing w:after="0" w:line="30"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never generated any product revenue;</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to complete development of and commercialize ensifentrine and any future product candidates, if approved, or develop and commercialize other formulations or target indications of ensifentrine, if approved;</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advances under the $150.0 million Oxford Term Loan are contingent upon achievement of certain clinical and regulatory milestones and other specified conditions. If we fail to meet those conditions, we will need to find alternative sources of funding;</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solely on the success of ensifentrine, our only product candidate under development;</w:t>
      </w:r>
    </w:p>
    <w:p>
      <w:pPr>
        <w:spacing w:after="0" w:line="8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our product candidates;</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Ensifentrine may have serious adverse, undesirable or unacceptable side effects which may delay or prevent marketing approval;</w:t>
      </w:r>
    </w:p>
    <w:p>
      <w:pPr>
        <w:spacing w:after="0" w:line="8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enroll patients in our clinical trials, or enrollment is slower than anticipated, our research and development efforts could be adversely affected;</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either when testing ensifentrine in the clinic or at the commercial stage, and our product liability insurance may not cover all damages from such claims;</w:t>
      </w:r>
    </w:p>
    <w:p>
      <w:pPr>
        <w:spacing w:after="0" w:line="75"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processes are lengthy, time consuming and inherently unpredictable, and if we are ultimately unable to obtain regulatory approval for ensifentrine, our business will be substantially harmed;</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may increase the difficulty and cost for us to obtain marketing approval of and commercialize ensifentrine and may affect the prices we may set;</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which may result in others discovering, developing or commercializing competing products before or more successfully than we do;</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independent clinical investigators and clinical research organizations, to conduct our pre-clinical studies and clinical trials;</w:t>
      </w:r>
    </w:p>
    <w:p>
      <w:pPr>
        <w:spacing w:after="0" w:line="51" w:lineRule="exact"/>
        <w:rPr>
          <w:rFonts w:ascii="Times New Roman" w:cs="Times New Roman" w:eastAsia="Times New Roman" w:hAnsi="Times New Roman"/>
          <w:sz w:val="18"/>
          <w:szCs w:val="18"/>
          <w:color w:val="auto"/>
        </w:rPr>
      </w:pPr>
    </w:p>
    <w:p>
      <w:pPr>
        <w:jc w:val="both"/>
        <w:ind w:left="320" w:hanging="315"/>
        <w:spacing w:after="0"/>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6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new strategic relationships for ensifentrine, our business, research and development and commercialization prospects could be adversely affected;</w:t>
      </w:r>
    </w:p>
    <w:p>
      <w:pPr>
        <w:spacing w:after="0" w:line="64" w:lineRule="exact"/>
        <w:rPr>
          <w:rFonts w:ascii="Times New Roman" w:cs="Times New Roman" w:eastAsia="Times New Roman" w:hAnsi="Times New Roman"/>
          <w:sz w:val="18"/>
          <w:szCs w:val="18"/>
          <w:color w:val="auto"/>
        </w:rPr>
      </w:pPr>
    </w:p>
    <w:p>
      <w:pPr>
        <w:jc w:val="both"/>
        <w:ind w:left="320" w:hanging="315"/>
        <w:spacing w:after="0" w:line="235"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w:t>
      </w:r>
    </w:p>
    <w:p>
      <w:pPr>
        <w:spacing w:after="0" w:line="7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patents and other intellectual property rights to protect ensifentrine, the enforcement, defense and maintenance of which may be challenging and costly;</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906780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4" w:lineRule="exact"/>
        <w:rPr>
          <w:sz w:val="20"/>
          <w:szCs w:val="20"/>
          <w:color w:val="auto"/>
        </w:rPr>
      </w:pPr>
    </w:p>
    <w:p>
      <w:pPr>
        <w:ind w:left="315" w:hanging="315"/>
        <w:spacing w:after="0" w:line="252" w:lineRule="auto"/>
        <w:tabs>
          <w:tab w:leader="none" w:pos="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51"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ability to compete depends on our ability to retain our key personnel and recruit additional qualified personnel;</w:t>
      </w:r>
    </w:p>
    <w:p>
      <w:pPr>
        <w:spacing w:after="0" w:line="94" w:lineRule="exact"/>
        <w:rPr>
          <w:rFonts w:ascii="Times New Roman" w:cs="Times New Roman" w:eastAsia="Times New Roman" w:hAnsi="Times New Roman"/>
          <w:sz w:val="18"/>
          <w:szCs w:val="18"/>
          <w:color w:val="auto"/>
        </w:rPr>
      </w:pPr>
    </w:p>
    <w:p>
      <w:pPr>
        <w:ind w:left="315" w:hanging="315"/>
        <w:spacing w:after="0" w:line="252" w:lineRule="auto"/>
        <w:tabs>
          <w:tab w:leader="none" w:pos="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regulatory and sales and marketing capabilities, and as a result, we may encounter difficulties in managing our growth, which could disrupt our operations;</w:t>
      </w:r>
    </w:p>
    <w:p>
      <w:pPr>
        <w:spacing w:after="0" w:line="51"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American Depositary Shares may be volatile and may fluctuate due to factors beyond our control; and</w:t>
      </w:r>
    </w:p>
    <w:p>
      <w:pPr>
        <w:spacing w:after="0" w:line="94" w:lineRule="exact"/>
        <w:rPr>
          <w:rFonts w:ascii="Times New Roman" w:cs="Times New Roman" w:eastAsia="Times New Roman" w:hAnsi="Times New Roman"/>
          <w:sz w:val="18"/>
          <w:szCs w:val="18"/>
          <w:color w:val="auto"/>
        </w:rPr>
      </w:pPr>
    </w:p>
    <w:p>
      <w:pPr>
        <w:ind w:left="315" w:hanging="315"/>
        <w:spacing w:after="0" w:line="252" w:lineRule="auto"/>
        <w:tabs>
          <w:tab w:leader="none" w:pos="3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906780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1440" w:right="339" w:bottom="1440" w:gutter="0" w:footer="0" w:header="0"/>
        </w:sectPr>
      </w:pPr>
    </w:p>
    <w:bookmarkStart w:id="5" w:name="page6"/>
    <w:bookmarkEnd w:id="5"/>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80" w:type="dxa"/>
            <w:vAlign w:val="bottom"/>
            <w:gridSpan w:val="9"/>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Table of Contents</w:t>
            </w:r>
          </w:p>
        </w:tc>
        <w:tc>
          <w:tcPr>
            <w:tcW w:w="108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03"/>
        </w:trPr>
        <w:tc>
          <w:tcPr>
            <w:tcW w:w="1100" w:type="dxa"/>
            <w:vAlign w:val="bottom"/>
            <w:gridSpan w:val="6"/>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Part I</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1.</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Business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1A.</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1B.</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2.</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Properties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3.</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4.</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23"/>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5.</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640" w:type="dxa"/>
            <w:vAlign w:val="bottom"/>
            <w:tcBorders>
              <w:top w:val="single" w:sz="8" w:color="0000FF"/>
            </w:tcBorders>
            <w:shd w:val="clear" w:color="auto" w:fill="CCEEFF"/>
          </w:tcPr>
          <w:p>
            <w:pPr>
              <w:spacing w:after="0"/>
              <w:rPr>
                <w:sz w:val="10"/>
                <w:szCs w:val="10"/>
                <w:color w:val="auto"/>
              </w:rPr>
            </w:pPr>
          </w:p>
        </w:tc>
        <w:tc>
          <w:tcPr>
            <w:tcW w:w="480" w:type="dxa"/>
            <w:vAlign w:val="bottom"/>
            <w:tcBorders>
              <w:top w:val="single" w:sz="8" w:color="0000FF"/>
            </w:tcBorders>
            <w:shd w:val="clear" w:color="auto" w:fill="CCEEFF"/>
          </w:tcPr>
          <w:p>
            <w:pPr>
              <w:spacing w:after="0"/>
              <w:rPr>
                <w:sz w:val="10"/>
                <w:szCs w:val="10"/>
                <w:color w:val="auto"/>
              </w:rPr>
            </w:pPr>
          </w:p>
        </w:tc>
        <w:tc>
          <w:tcPr>
            <w:tcW w:w="9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78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6.</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[Reserved]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7.</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640" w:type="dxa"/>
            <w:vAlign w:val="bottom"/>
            <w:tcBorders>
              <w:top w:val="single" w:sz="8" w:color="0000FF"/>
            </w:tcBorders>
            <w:shd w:val="clear" w:color="auto" w:fill="CCEEFF"/>
          </w:tcPr>
          <w:p>
            <w:pPr>
              <w:spacing w:after="0"/>
              <w:rPr>
                <w:sz w:val="10"/>
                <w:szCs w:val="10"/>
                <w:color w:val="auto"/>
              </w:rPr>
            </w:pPr>
          </w:p>
        </w:tc>
        <w:tc>
          <w:tcPr>
            <w:tcW w:w="480" w:type="dxa"/>
            <w:vAlign w:val="bottom"/>
            <w:tcBorders>
              <w:top w:val="single" w:sz="8" w:color="0000FF"/>
            </w:tcBorders>
            <w:shd w:val="clear" w:color="auto" w:fill="CCEEFF"/>
          </w:tcPr>
          <w:p>
            <w:pPr>
              <w:spacing w:after="0"/>
              <w:rPr>
                <w:sz w:val="10"/>
                <w:szCs w:val="10"/>
                <w:color w:val="auto"/>
              </w:rPr>
            </w:pPr>
          </w:p>
        </w:tc>
        <w:tc>
          <w:tcPr>
            <w:tcW w:w="9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7A.</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80" w:type="dxa"/>
            <w:vAlign w:val="bottom"/>
          </w:tcPr>
          <w:p>
            <w:pPr>
              <w:spacing w:after="0"/>
              <w:rPr>
                <w:sz w:val="24"/>
                <w:szCs w:val="24"/>
                <w:color w:val="auto"/>
              </w:rPr>
            </w:pP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8.</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9.</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9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9A.</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9B.</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Other Information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9C.</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640" w:type="dxa"/>
            <w:vAlign w:val="bottom"/>
            <w:tcBorders>
              <w:top w:val="single" w:sz="8" w:color="0000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23"/>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Part III</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10.</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11.</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12.</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640" w:type="dxa"/>
            <w:vAlign w:val="bottom"/>
            <w:tcBorders>
              <w:top w:val="single" w:sz="8" w:color="0000FF"/>
            </w:tcBorders>
            <w:shd w:val="clear" w:color="auto" w:fill="CCEEFF"/>
          </w:tcPr>
          <w:p>
            <w:pPr>
              <w:spacing w:after="0"/>
              <w:rPr>
                <w:sz w:val="10"/>
                <w:szCs w:val="10"/>
                <w:color w:val="auto"/>
              </w:rPr>
            </w:pPr>
          </w:p>
        </w:tc>
        <w:tc>
          <w:tcPr>
            <w:tcW w:w="480" w:type="dxa"/>
            <w:vAlign w:val="bottom"/>
            <w:tcBorders>
              <w:top w:val="single" w:sz="8" w:color="0000FF"/>
            </w:tcBorders>
            <w:shd w:val="clear" w:color="auto" w:fill="CCEEFF"/>
          </w:tcPr>
          <w:p>
            <w:pPr>
              <w:spacing w:after="0"/>
              <w:rPr>
                <w:sz w:val="10"/>
                <w:szCs w:val="10"/>
                <w:color w:val="auto"/>
              </w:rPr>
            </w:pPr>
          </w:p>
        </w:tc>
        <w:tc>
          <w:tcPr>
            <w:tcW w:w="9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78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13.</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14.</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23"/>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Item 15.</w:t>
            </w:r>
          </w:p>
        </w:tc>
        <w:tc>
          <w:tcPr>
            <w:tcW w:w="9060" w:type="dxa"/>
            <w:vAlign w:val="bottom"/>
            <w:gridSpan w:val="23"/>
            <w:shd w:val="clear" w:color="auto" w:fill="CCEEFF"/>
          </w:tcPr>
          <w:p>
            <w:pPr>
              <w:ind w:left="36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240" w:type="dxa"/>
            <w:vAlign w:val="bottom"/>
            <w:tcBorders>
              <w:top w:val="single" w:sz="8" w:color="0000FF"/>
            </w:tcBorders>
            <w:shd w:val="clear" w:color="auto" w:fill="CCEEFF"/>
          </w:tcPr>
          <w:p>
            <w:pPr>
              <w:spacing w:after="0"/>
              <w:rPr>
                <w:sz w:val="10"/>
                <w:szCs w:val="10"/>
                <w:color w:val="auto"/>
              </w:rPr>
            </w:pPr>
          </w:p>
        </w:tc>
        <w:tc>
          <w:tcPr>
            <w:tcW w:w="8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289"/>
        </w:trPr>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Item 16.</w:t>
            </w:r>
          </w:p>
        </w:tc>
        <w:tc>
          <w:tcPr>
            <w:tcW w:w="9060" w:type="dxa"/>
            <w:vAlign w:val="bottom"/>
            <w:gridSpan w:val="23"/>
          </w:tcPr>
          <w:p>
            <w:pPr>
              <w:ind w:left="360"/>
              <w:spacing w:after="0"/>
              <w:rPr>
                <w:sz w:val="20"/>
                <w:szCs w:val="20"/>
                <w:color w:val="auto"/>
              </w:rPr>
            </w:pPr>
            <w:r>
              <w:rPr>
                <w:rFonts w:ascii="Times New Roman" w:cs="Times New Roman" w:eastAsia="Times New Roman" w:hAnsi="Times New Roman"/>
                <w:sz w:val="18"/>
                <w:szCs w:val="18"/>
                <w:color w:val="0000FF"/>
              </w:rPr>
              <w:t>Form 10-K Summary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124"/>
        </w:trPr>
        <w:tc>
          <w:tcPr>
            <w:tcW w:w="20" w:type="dxa"/>
            <w:vAlign w:val="bottom"/>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89"/>
        </w:trPr>
        <w:tc>
          <w:tcPr>
            <w:tcW w:w="1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r>
      <w:tr>
        <w:trPr>
          <w:trHeight w:val="1569"/>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3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first-in-class, inhaled, selective, dual inhibitor of the enzymes phosphodiesterase 3 and 4 (“PDE3” and “PDE4”), combining bronchodilator and non-steroidal anti-inflammatory activities in one compound.</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Initially, we are developing inhaled ensifentrine for the treatment of chronic obstructive pulmonary disease (“COPD”), a common, chronic, progressive, and life-threatening respiratory disease without a cure. If successfully developed, ensifentrine would be the first therapeutic with a novel mode of action for COPD in over a decade.</w:t>
      </w:r>
    </w:p>
    <w:p>
      <w:pPr>
        <w:spacing w:after="0" w:line="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During 2022, we reported positive top-line results from both of our Phase 3 ENHANCE (“Ensifentrine as a Novel inHAled Nebulized COPD thErapy”) trials evaluating nebulized ensifentrine for the maintenance treatment of COPD. Ensifentrine met the primary endpoint in both the ENHANCE-1 and ENHANCE-2 trials demonstrating statistically significant and clinically meaningful improvements in measures of lung function. In addition, ensifentrine substantially reduced the rate and risk of COPD exacerbations in ENHANCE-1 and ENHANCE-2. Ensifentrine was well tolerated in both trials.</w:t>
      </w:r>
    </w:p>
    <w:p>
      <w:pPr>
        <w:spacing w:after="0" w:line="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Based on the results from our ENHANCE program, we believe ensifentrine, if approved, has the potential to change the treatment paradigm for COPD. The totality of data from clinical trials, in particular top-line results from the ENHANCE program, support our belief. We plan to submit a New Drug Application (“NDA”) to the U.S. Food and Drug Administration (“FDA”) in the second quarter of 2023 for inhaled ensifentrine for the maintenance treatment of COPD.</w:t>
      </w:r>
    </w:p>
    <w:p>
      <w:pPr>
        <w:spacing w:after="0" w:line="4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approved, we intend to commercialize inhaled ensifentrine for the maintenance treatment of COPD in the United States (“U.S.”). Although we believe ensifentrine will not be regulated as a drug device combination,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w:t>
      </w:r>
    </w:p>
    <w:p>
      <w:pPr>
        <w:spacing w:after="0" w:line="76"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6"/>
          <w:szCs w:val="16"/>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COPD and current treatments</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COPD is a common, progressive, life-threatening respiratory disease without a cure. It causes loss of lung function, leading to debilitating breathlessness, hospitalizations, and death. COPD has a major impact on everyday life. Patients struggle with basic activities such as getting out of bed, showering, eating, and walking. Worldwide, COPD affects approximately 384 million people and is the third leading cause of death, according to the Global Initiative for Chronic Obstructive Lung Disease.</w:t>
      </w:r>
    </w:p>
    <w:p>
      <w:pPr>
        <w:spacing w:after="0" w:line="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goal of COPD pharmacological therapy is to improve patients’ quality of life by reducing symptoms, decreasing the quantity and severity of exacerbations (often an escalation of symptoms) and to improve patients’ ability to function.</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For approximately 40 years, the treatment of COPD has been dominated by three classes of inhaled therapies approved for use by the FDA and the European Commission based on the European Medicines Agency’s (“EMA”) opinion: anti-muscarinics, beta-agonists and inhaled corticosteroids (“ICSs”). COPD patients are frequently treated with bronchodilators, including long-acting anti-muscarinics (“LAMAs”) and long-acting beta-agonists (“LABAs”), to relieve airway constriction and make it easier to breathe. In addition, patients at risk for exacerbations may be prescribed ICSs to prevent them.</w:t>
      </w:r>
    </w:p>
    <w:p>
      <w:pPr>
        <w:spacing w:after="0" w:line="7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Certain COPD patients are treated with the oral PDE4 inhibitor, roflumilast (Daliresp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which has demonstrated a reduction in exacerbation risk in patients with severe chronic bronchitis. However, oral PDE4 therapy results in systemic exposure, which has been associated with unfavorable gastrointestinal side-effects such as nausea, emesis, diarrhea, abdominal pain, loss of appetite and weight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Approximately 8.5 million COPD patients in the U.S. receive LAMA, LABA, or ICS treatments alone or in combination regardless of COPD severity. Despite these medications and the earlier use of dual (LAMA/LABA) and triple (LAMA/LABA/ICS) therapies, many patients continue to suffer debilitating symptoms. According to a December 2022 study by Phreesia, 45% of patients continue to have symptoms more than 24 days a month. This burden leaves a significant opportunity for new inhaled therapies that offer additional benefit added to the three main classes of treatment. New treatment options are urgently needed to help improve lung function and symptoms, reduce exacerbations and improve overall quality of life in these patients.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Ensifentrine</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Ensifentrine is an investigational, first-in-class, inhaled, small molecule and selective, dual PDE3 and PDE4 inhibitor. This dual inhibition enables it to act as a bronchodilator and a non-steroidal anti-inflammatory agent in a single compound. Importantly, ensifentrine’s therapeutic profile differentiates it from existing classes of bronchodilator and anti-inflammatory treatments. We are not aware of any other single compound in clinical development in the U.S. or Europe or approved by the FDA nor the European Commission for the treatment of respiratory diseases that acts both as a bronchodilator and anti-inflammatory agent. If successfully developed and approved, ensifentrine has the potential to be the first novel class of therapeutic in COPD in over 10 years and to become the only bronchodilator option that could be added to existing classes of inhaled therapies including LAMA, LABA and ICS.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profile</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Ensifentrine has been well tolerated in clinical trials involving approximately 3,000 subjects to date. Additionally, ensifentrine did not prolong the QT interval or impact other cardiac conduction parameters in a thorough QT study in healthy volunteers. It is delivered directly to the lungs by inhalation to maximize pulmonary exposure to ensifentrine while minimizing systemic exposure. This feature minimizes any systemic side-effects such as the gastrointestinal disturbance associated with oral PDE4 inhibitors. In addition, in non-clinical trials ensifentrine has demonstrated high selectivity for PDE3 and PDE4 over other enzymes and receptors, which is believed to minimize off-target effects.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Differentiated profile</w:t>
      </w:r>
    </w:p>
    <w:p>
      <w:pPr>
        <w:spacing w:after="0" w:line="8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By selectively inhibiting PDE3 and PDE4, ensifentrine impacts three key mechanisms in respiratory disease: bronchodilation, inflammation and mucociliary clearance. Ensifentrine is designed to increase the levels of cellular cAMP and cGMP in smooth muscle cells and inflammatory cells, resulting in bronchodilator and anti-inflammatory effects. Ensifentrine has also been shown to stimulate the cystic fibrosis transmembrane conductance regulator (“CFTR”), which is an ion channel in the epithelial cells lining the airways. Mutations in the CFTR protein result in poorly or non-functioning ion channels, which cause CF. CFTR dysfunction is also potentially important in COPD. CFTR stimulation leads to improved electrolyte balance in the lung and thinning of the mucus, which facilitates mucociliary clearance and leads to improved lung function and potentially a reduction in lung infections.</w:t>
      </w:r>
    </w:p>
    <w:p>
      <w:pPr>
        <w:spacing w:after="0" w:line="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Dual inhibition of PDE3 and PDE4 has shown enhanced or synergistic effects compared with inhibition of either PDE alone on contraction of airway smooth muscle and suppression of inflammatory mediator release in several preclinical studies. We believe these enhanced effects may increase the utility of ensifentrine in the treatment of respiratory diseases including COPD, asthma and 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889000</wp:posOffset>
            </wp:positionV>
            <wp:extent cx="6043930" cy="323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043930" cy="323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2b</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Ensifentrine has demonstrated improvements in lung function, symptoms and quality of life with or without background therapy in two 4-week, Phase 2b dose-ranging clinical trials in moderate to severe COPD patients. In both studies ensifentrine was well tolerated at all doses with an adverse event profile similar to placebo:</w:t>
      </w:r>
    </w:p>
    <w:p>
      <w:pPr>
        <w:spacing w:after="0" w:line="75" w:lineRule="exact"/>
        <w:rPr>
          <w:sz w:val="20"/>
          <w:szCs w:val="20"/>
          <w:color w:val="auto"/>
        </w:rPr>
      </w:pPr>
    </w:p>
    <w:p>
      <w:pPr>
        <w:jc w:val="both"/>
        <w:ind w:left="320" w:hanging="315"/>
        <w:spacing w:after="0" w:line="222"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we reported positive top-line results with ensifentrine as monotherapy from our first Phase 2b trial in 403 patients. The trial evaluated four doses of nebulized ensifentrine (0.75 mg, 1.5 mg, 3 mg and 6 mg) or placebo twice daily over 4 weeks. Patients withheld use of regular long-acting bronchodilator therapy for the duration of the study. The trial met its primary endpoint of improved lung function with ensifentrine demonstrating a clinically and statistically significant increase in peak forced expiratory volume in 1 second (“FEV</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at week 4 compared to placebo. In addition, clinically relevant secondary endpoints were met including significant progressive improvements in COPD symptoms.</w:t>
      </w:r>
    </w:p>
    <w:p>
      <w:pPr>
        <w:spacing w:after="0" w:line="63" w:lineRule="exact"/>
        <w:rPr>
          <w:rFonts w:ascii="Times New Roman" w:cs="Times New Roman" w:eastAsia="Times New Roman" w:hAnsi="Times New Roman"/>
          <w:sz w:val="18"/>
          <w:szCs w:val="18"/>
          <w:color w:val="auto"/>
        </w:rPr>
      </w:pPr>
    </w:p>
    <w:p>
      <w:pPr>
        <w:jc w:val="both"/>
        <w:ind w:left="320" w:hanging="315"/>
        <w:spacing w:after="0" w:line="219" w:lineRule="auto"/>
        <w:tabs>
          <w:tab w:leader="none" w:pos="3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2020, we reported positive top-line results with ensifentrine added on to background therapy from our second Phase 2b trial in 413 patients. This trial evaluated four doses of nebulized ensifentrine (0.375 mg, 0.75 mg, 1.5 mg and 3 mg) or placebo added on to treatment with once-daily tiotropium (Spiriva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Respimat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 commonly used LAMA bronchodilator, in symptomatic patients with moderate to severe COPD who required additional treatment. The trial met its primary endpoint of improved lung function, with ensifentrine plus tiotropium demonstrating a clinically and statistically significant dose-dependent improvement in peak FEV</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7"/>
          <w:szCs w:val="17"/>
          <w:color w:val="auto"/>
        </w:rPr>
        <w:t xml:space="preserve"> and FEV</w:t>
      </w:r>
      <w:r>
        <w:rPr>
          <w:rFonts w:ascii="Times New Roman" w:cs="Times New Roman" w:eastAsia="Times New Roman" w:hAnsi="Times New Roman"/>
          <w:sz w:val="21"/>
          <w:szCs w:val="21"/>
          <w:color w:val="auto"/>
          <w:vertAlign w:val="subscript"/>
        </w:rPr>
        <w:t>1</w:t>
      </w:r>
      <w:r>
        <w:rPr>
          <w:rFonts w:ascii="Times New Roman" w:cs="Times New Roman" w:eastAsia="Times New Roman" w:hAnsi="Times New Roman"/>
          <w:sz w:val="17"/>
          <w:szCs w:val="17"/>
          <w:color w:val="auto"/>
        </w:rPr>
        <w:t xml:space="preserve"> over 12 hours with ensifentrine at week 4, compared to placebo plus tiotropium. Additionally, clinically meaningful and statistically significant improvements in health-related quality of life were observed with ensifentrine added on to tiotropium.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648335</wp:posOffset>
            </wp:positionH>
            <wp:positionV relativeFrom="page">
              <wp:posOffset>889000</wp:posOffset>
            </wp:positionV>
            <wp:extent cx="6252210" cy="3517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252210" cy="351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3 ENHANCE program</w:t>
      </w:r>
    </w:p>
    <w:p>
      <w:pPr>
        <w:spacing w:after="0" w:line="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Ensifentrine has successfully met the primary endpoints in two randomized, double-blind, placebo-controlled Phase 3 trials, ENHANCE-1 and ENHANCE-2, demonstrating statistically significant and clinically meaningful improvements in measures of lung function in moderate to severe COPD patients. Improvements in symptoms and quality of life measures were shown in both trials, which reached statistical significance in ENHANCE-1. Ensifentrine substantially reduced the rate and risk of moderate to severe COPD exacerbations in both trials. Ensifentrine was well tolerated in both trials.</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ENHANCE trials were designed to evaluate ensifentrine as monotherapy and added onto a single bronchodilator with approximately 50% of subjects receiving either a LAMA or a LABA. Additionally, approximately 20% of subjects received ICSs with their concomitant LAMA or LABA.</w:t>
      </w:r>
    </w:p>
    <w:p>
      <w:pPr>
        <w:spacing w:after="0" w:line="51"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6"/>
          <w:szCs w:val="16"/>
          <w:color w:val="auto"/>
        </w:rPr>
        <w:t>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856615</wp:posOffset>
            </wp:positionH>
            <wp:positionV relativeFrom="page">
              <wp:posOffset>889000</wp:posOffset>
            </wp:positionV>
            <wp:extent cx="5835650" cy="4001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5650" cy="400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demographics and disease characteristics were well balanced between treatment groups in both trials.</w:t>
      </w:r>
    </w:p>
    <w:p>
      <w:pPr>
        <w:spacing w:after="0" w:line="95" w:lineRule="exact"/>
        <w:rPr>
          <w:sz w:val="20"/>
          <w:szCs w:val="20"/>
          <w:color w:val="auto"/>
        </w:rPr>
      </w:pPr>
    </w:p>
    <w:p>
      <w:pPr>
        <w:ind w:left="320" w:hanging="315"/>
        <w:spacing w:after="0" w:line="238"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approximately 69% of subjects received background COPD therapy, either LAMA or a LABA. Additionally, approximately 20% of all subjects received ICS with concomitant LAMA or LABA.</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ENHANCE-2 approximately 55% of subjects received background COPD therapy, either a LAMA or a LABA. Additionally, approximately 15% of all subjects received ICS with concomitant LAMA or LABA.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648335</wp:posOffset>
            </wp:positionH>
            <wp:positionV relativeFrom="page">
              <wp:posOffset>889000</wp:posOffset>
            </wp:positionV>
            <wp:extent cx="6252210" cy="3309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252210" cy="330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reported positive top-line results from ENHANCE-2 and ENHANCE-1, in August and December 2022, respectively. Ensifentrine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w:t>
      </w:r>
    </w:p>
    <w:p>
      <w:pPr>
        <w:spacing w:after="0" w:line="2" w:lineRule="exact"/>
        <w:rPr>
          <w:sz w:val="20"/>
          <w:szCs w:val="20"/>
          <w:color w:val="auto"/>
        </w:rPr>
      </w:pPr>
    </w:p>
    <w:p>
      <w:pPr>
        <w:ind w:right="1860" w:firstLine="5"/>
        <w:spacing w:after="0" w:line="300" w:lineRule="auto"/>
        <w:tabs>
          <w:tab w:leader="none" w:pos="1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Ensifentrine substantially reduced the rate and risk of moderate to severe COPD exacerbations and was well tolerated in both trials. </w:t>
      </w:r>
      <w:r>
        <w:rPr>
          <w:rFonts w:ascii="Times New Roman" w:cs="Times New Roman" w:eastAsia="Times New Roman" w:hAnsi="Times New Roman"/>
          <w:sz w:val="18"/>
          <w:szCs w:val="18"/>
          <w:i w:val="1"/>
          <w:iCs w:val="1"/>
          <w:color w:val="auto"/>
        </w:rPr>
        <w:t>Highlights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endpoint met (FEV</w:t>
      </w:r>
      <w:r>
        <w:rPr>
          <w:rFonts w:ascii="Times New Roman" w:cs="Times New Roman" w:eastAsia="Times New Roman" w:hAnsi="Times New Roman"/>
          <w:sz w:val="22"/>
          <w:szCs w:val="22"/>
          <w:b w:val="1"/>
          <w:bCs w:val="1"/>
          <w:color w:val="auto"/>
          <w:vertAlign w:val="subscript"/>
        </w:rPr>
        <w:t>1</w:t>
      </w:r>
      <w:r>
        <w:rPr>
          <w:rFonts w:ascii="Times New Roman" w:cs="Times New Roman" w:eastAsia="Times New Roman" w:hAnsi="Times New Roman"/>
          <w:sz w:val="18"/>
          <w:szCs w:val="18"/>
          <w:b w:val="1"/>
          <w:bCs w:val="1"/>
          <w:color w:val="auto"/>
        </w:rPr>
        <w:t xml:space="preserve"> AUC 0-12 hr)</w:t>
      </w:r>
    </w:p>
    <w:p>
      <w:pPr>
        <w:spacing w:after="0" w:line="51" w:lineRule="exact"/>
        <w:rPr>
          <w:sz w:val="20"/>
          <w:szCs w:val="20"/>
          <w:color w:val="auto"/>
        </w:rPr>
      </w:pPr>
    </w:p>
    <w:p>
      <w:pPr>
        <w:ind w:left="320" w:hanging="315"/>
        <w:spacing w:after="0" w:line="27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Placebo corrected, change from baseline in average FEV</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xml:space="preserve"> area under the curve 0-12 hours post dose at week 12 was 87 mL (p&lt;0.0001) for ensifentrine in ENHANCE-1 and 94 mL (p&lt;0.0001) for ensifentrine in ENHANCE-2.</w:t>
      </w:r>
    </w:p>
    <w:p>
      <w:pPr>
        <w:spacing w:after="0" w:line="27" w:lineRule="exact"/>
        <w:rPr>
          <w:rFonts w:ascii="Times New Roman" w:cs="Times New Roman" w:eastAsia="Times New Roman" w:hAnsi="Times New Roman"/>
          <w:sz w:val="18"/>
          <w:szCs w:val="18"/>
          <w:color w:val="auto"/>
        </w:rPr>
      </w:pPr>
    </w:p>
    <w:p>
      <w:pPr>
        <w:ind w:left="320" w:hanging="315"/>
        <w:spacing w:after="0" w:line="225"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consistent improvements with ensifentrine in all subgroups including gender, age, smoking status, COPD severity, background medication, ICS use, chronic bronchitis, FEV</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xml:space="preserve"> reversibility and geographic region.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endpoints evaluating lung function met:</w:t>
      </w:r>
    </w:p>
    <w:p>
      <w:pPr>
        <w:spacing w:after="0" w:line="97"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Placebo corrected, increase in peak FEV</w:t>
      </w:r>
      <w:r>
        <w:rPr>
          <w:rFonts w:ascii="Times New Roman" w:cs="Times New Roman" w:eastAsia="Times New Roman" w:hAnsi="Times New Roman"/>
          <w:sz w:val="10"/>
          <w:szCs w:val="10"/>
          <w:color w:val="auto"/>
        </w:rPr>
        <w:t>1</w:t>
      </w:r>
      <w:r>
        <w:rPr>
          <w:rFonts w:ascii="Times New Roman" w:cs="Times New Roman" w:eastAsia="Times New Roman" w:hAnsi="Times New Roman"/>
          <w:sz w:val="16"/>
          <w:szCs w:val="16"/>
          <w:color w:val="auto"/>
        </w:rPr>
        <w:t xml:space="preserve"> of 147 mL (p&lt;0.0001) 0-4 hours post dose at week 12 in ENHANCE-1 and 146 mL (p&lt;0.0001) in ENHANCE-2.</w:t>
      </w:r>
    </w:p>
    <w:p>
      <w:pPr>
        <w:spacing w:after="0" w:line="43" w:lineRule="exact"/>
        <w:rPr>
          <w:rFonts w:ascii="Times New Roman" w:cs="Times New Roman" w:eastAsia="Times New Roman" w:hAnsi="Times New Roman"/>
          <w:sz w:val="16"/>
          <w:szCs w:val="16"/>
          <w:color w:val="auto"/>
        </w:rPr>
      </w:pPr>
    </w:p>
    <w:p>
      <w:pPr>
        <w:ind w:left="320" w:hanging="315"/>
        <w:spacing w:after="0" w:line="269"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Placebo corrected, increase in morning trough FEV</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xml:space="preserve"> of 35 mL (p=0.0413) at week 12 in ENHANCE-1 and 49 mL (p=0.0016) in ENHANCE-2, supporting twice daily dosing regimen.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648335</wp:posOffset>
            </wp:positionH>
            <wp:positionV relativeFrom="page">
              <wp:posOffset>889000</wp:posOffset>
            </wp:positionV>
            <wp:extent cx="6252210" cy="3134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252210" cy="313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Exacerbation rate and risk reduced</w:t>
      </w:r>
    </w:p>
    <w:p>
      <w:pPr>
        <w:spacing w:after="0" w:line="97" w:lineRule="exact"/>
        <w:rPr>
          <w:sz w:val="20"/>
          <w:szCs w:val="20"/>
          <w:color w:val="auto"/>
        </w:rPr>
      </w:pPr>
    </w:p>
    <w:p>
      <w:pPr>
        <w:ind w:left="320" w:hanging="315"/>
        <w:spacing w:after="0" w:line="238"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receiving ensifentrine demonstrated a 36% reduction in the rate of moderate to severe COPD exacerbations over 24 weeks (p=0.0503) compared to those receiving placebo in ENHANCE-1 and a 43% reduction (p=0.0090) in ENHANCE-2.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648335</wp:posOffset>
            </wp:positionH>
            <wp:positionV relativeFrom="page">
              <wp:posOffset>889000</wp:posOffset>
            </wp:positionV>
            <wp:extent cx="6252210" cy="3101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252210" cy="3101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15" w:hanging="315"/>
        <w:spacing w:after="0" w:line="238" w:lineRule="auto"/>
        <w:tabs>
          <w:tab w:leader="none" w:pos="3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pooled exacerbation data from ENHANCE-1 and ENHANCE-2, ensifentrine demonstrated a 40% reduction in the rate of moderate to severe COPD exacerbations over 24 weeks (p=0.0012) compared to those receiving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67945</wp:posOffset>
            </wp:positionV>
            <wp:extent cx="5835650" cy="2200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5650" cy="220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5" w:hanging="315"/>
        <w:spacing w:after="0" w:line="238" w:lineRule="auto"/>
        <w:tabs>
          <w:tab w:leader="none" w:pos="3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with ensifentrine significantly decreased the risk of a moderate/severe exacerbation as measured by time to first exacerbation when compared with placebo by 38% (p=0.0382) in ENHANCE-1 and by 42% (p=0.0089) in ENHANCE-2.</w:t>
      </w:r>
    </w:p>
    <w:p>
      <w:pPr>
        <w:sectPr>
          <w:pgSz w:w="11900" w:h="16838" w:orient="portrait"/>
          <w:cols w:equalWidth="0" w:num="1">
            <w:col w:w="11235"/>
          </w:cols>
          <w:pgMar w:left="325"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1440"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648335</wp:posOffset>
            </wp:positionH>
            <wp:positionV relativeFrom="page">
              <wp:posOffset>1172845</wp:posOffset>
            </wp:positionV>
            <wp:extent cx="6252210" cy="381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252210" cy="381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hanging="315"/>
        <w:spacing w:after="0" w:line="238" w:lineRule="auto"/>
        <w:tabs>
          <w:tab w:leader="none" w:pos="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pooled exacerbation data from ENHANCE-1 and ENHANCE-2, ensifentrine significantly decreased the risk of a moderate/severe exacerbation as measured by time to first exacerbation when compared with placebo by 41% (p=0.0009).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856615</wp:posOffset>
            </wp:positionH>
            <wp:positionV relativeFrom="page">
              <wp:posOffset>889000</wp:posOffset>
            </wp:positionV>
            <wp:extent cx="5835650" cy="3317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3565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COPD symptoms and Quality of Life </w:t>
      </w:r>
      <w:r>
        <w:rPr>
          <w:rFonts w:ascii="Times New Roman" w:cs="Times New Roman" w:eastAsia="Times New Roman" w:hAnsi="Times New Roman"/>
          <w:sz w:val="18"/>
          <w:szCs w:val="18"/>
          <w:color w:val="auto"/>
        </w:rPr>
        <w:t>(“QOL”)</w:t>
      </w:r>
    </w:p>
    <w:p>
      <w:pPr>
        <w:spacing w:after="0" w:line="97" w:lineRule="exact"/>
        <w:rPr>
          <w:sz w:val="20"/>
          <w:szCs w:val="20"/>
          <w:color w:val="auto"/>
        </w:rPr>
      </w:pPr>
    </w:p>
    <w:p>
      <w:pPr>
        <w:jc w:val="both"/>
        <w:ind w:left="320" w:hanging="315"/>
        <w:spacing w:after="0" w:line="233" w:lineRule="auto"/>
        <w:tabs>
          <w:tab w:leader="none" w:pos="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daily symptoms as measured by E-RS* Total Score in the ensifentrine group improved from baseline to greater than the minimal clinically important difference (“MCID”) of -2 units with a statistically significant improvement compared to placebo at week 24. Improvements in symptoms were early and sustained with statistical significance versus placebo at weeks 6, 12 and 24. Similar improvements were demonstrated in ENHANCE-2 but statistical significance was not achieved due to improvements observed in the placebo group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856615</wp:posOffset>
            </wp:positionH>
            <wp:positionV relativeFrom="page">
              <wp:posOffset>889000</wp:posOffset>
            </wp:positionV>
            <wp:extent cx="5835650" cy="3017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3565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320" w:hanging="315"/>
        <w:spacing w:after="0" w:line="229" w:lineRule="auto"/>
        <w:tabs>
          <w:tab w:leader="none" w:pos="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QOL as measured by SGRQ* Total Score in the ensifentrine group improved from baseline to greater than the MCID of -4 units with a statistically significant improvement compared to placebo at week 24. Improvements in QOL were early and sustained with statistical significance versus placebo at weeks 6, 12 and 24. In ENHANCE-2, QOL as measured by SGRQ* Total Score in the ensifentrine group also improved from baseline to greater than the MCID of -4 units at weeks 12 and 24, numerically exceeding placebo at each measurement, but statistical significance was not achieved due to improvements observed in the placebo group over time.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*E-RS, Evaluating Respiratory Symptoms, and SGRQ, St. George’s Respiratory Questionnaire, are validated patient reported outcome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856615</wp:posOffset>
            </wp:positionH>
            <wp:positionV relativeFrom="page">
              <wp:posOffset>889000</wp:posOffset>
            </wp:positionV>
            <wp:extent cx="5835650" cy="3142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35650" cy="3142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Favorable safety profile</w:t>
      </w:r>
    </w:p>
    <w:p>
      <w:pPr>
        <w:spacing w:after="0" w:line="97" w:lineRule="exact"/>
        <w:rPr>
          <w:sz w:val="20"/>
          <w:szCs w:val="20"/>
          <w:color w:val="auto"/>
        </w:rPr>
      </w:pPr>
    </w:p>
    <w:p>
      <w:pPr>
        <w:ind w:left="320" w:hanging="315"/>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Ensifentrine was well tolerated with very few adverse events occurring in more than 1% of subjects and greater than placebo over 24 and 48 weeks.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68"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60"/>
          </w:cols>
          <w:pgMar w:left="320" w:top="1440" w:right="91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440055</wp:posOffset>
            </wp:positionH>
            <wp:positionV relativeFrom="page">
              <wp:posOffset>889000</wp:posOffset>
            </wp:positionV>
            <wp:extent cx="6669405" cy="31343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669405" cy="313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believe ensifentrine, if approved, has the potential to change the treatment paradigm for COPD. The totality of data from clinical trials, in particular the top-line results from the ENHANCE program, including improvements in measures of lung function, symptoms, quality of life measures, and exacerbation reductions, coupled with the consistent safety results, support our belief. We plan to submit an NDA to the FDA in the second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67310</wp:posOffset>
            </wp:positionV>
            <wp:extent cx="6252210" cy="3293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52210" cy="32931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Formulations</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Verona Pharma has developed formulations of ensifentrine for the three most widely used inhalation devices: nebulizer, DPI and pMDI. The nebulized formulation of ensifentrine is designed to be suitable for use in a standard jet nebulizer, not a proprietary device. Delivery of COPD medications by nebulizer is important because such medications can be used by adults of almost any age and dexterity and regardless of peak inspiratory flow, offering advantages to patients who struggle to operate handheld inhaler devices or have low peak inspiratory flow. DPI and pMDI handheld inhaler formats are relatively portable and convenient and are also important delivery mechanisms.</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 In February 2021, we reported positive results from the second, multiple dose part of a Phase 2 trial with pMDI ensifentrine in patients with moderate to severe COPD. Ensifentrine delivered by pMDI met all of the primary and secondary lung function endpoints. The improvement in lung function was dose-ordered and statistically significant at peak and over the 12-hour dosing interval compared with placebo, and supports twice-daily dosing of ensifentrine via pMDI for the treatment of COPD. Data from the single dose part of the study were reported in March 2020.</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Verona Pharma has successfully demonstrated proof of concept in Phase 2 COPD trials with all three formulations. In addition, the data from Phase 2 trials were consistent across the three formulations. All three dosage forms have demonstrated statistically significant and clinically meaningful improvements in lung function and duration of action, supporting twice-daily dosing and a safety profile similar to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71755</wp:posOffset>
            </wp:positionV>
            <wp:extent cx="5835650" cy="3209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35650" cy="320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additional indications for ensifentrine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Cystic fibrosis and asthma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COPD, we believe ensifentrine has potential applications in other respiratory diseases including CF and asthma.</w:t>
      </w:r>
    </w:p>
    <w:p>
      <w:pPr>
        <w:spacing w:after="0" w:line="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CF is a progressive, fatal genetic disease without a cure and a median age of death of 46 years. The condition is characterized by thick, sticky mucus that damages many of the body’s organs. It causes repeat and persistent lung infections that result in frequent exacerbations and hospitalizations. Other symptoms include malnutrition, constipation and diarrhea, and some adults develop diabetes, arthritis and liver problems.</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CF is the most common fatal inherited disease in the U.S. and Europe. Approximately 40,000 people in the U.S. and an estimated 105,000 people worldwide have been diagnosed with CF across more than 90 countries and approximately 1,000 new cases are diagnosed each year, according to the Cystic Fibrosis Foundation. The U.S. and European regulatory authorities consider CF to be a rare, or orphan, disease and provide incentives to encourage development of effective new treatments.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 patients endure multiple daily medications, frequent exacerbations and hospitalizations. Ultimately, selected patients have lung transplants.</w:t>
      </w:r>
    </w:p>
    <w:p>
      <w:pPr>
        <w:spacing w:after="0" w:line="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 Phase 2a clinical trial, a single dose of nebulized ensifentrine demonstrated an improvement in lung function in patients with CF. In addition, in preclinical studies, ensifentrine activated the cystic fibrosis transmembrane conductance regulator (“CFTR”), which is beneficial in reducing mucous viscosity and improving mucociliary clearance. We believe these data support the continued development of ensifentrine as a potential therapy for CF.</w:t>
      </w:r>
    </w:p>
    <w:p>
      <w:pPr>
        <w:spacing w:after="0" w:line="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Asthma is a common chronic inflammatory lung condition that causes sporadic breathing difficulties. The disease causes narrowing and swelling of the airways leading to symptoms including difficulty breathing, wheezing, coughing and tightness in the chest. Exposure to triggers such as allergens or irritants can lead to asthma 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Asthma attacks vary in severity and frequency. More than 260 million people worldwide suffer from asthma and it is the most common chronic disease among children, according to estimates from the World Health Organization. Approximately 60% of adult asthmatics in the U.S. have uncontrolled asthma despite regularly taking medication.</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there is no cure, symptoms may be prevented by avoiding triggers and through established maintenance therapies including bronchodilators, ICS, anti-IgE agents and leukotriene inhibitors.</w:t>
      </w:r>
    </w:p>
    <w:p>
      <w:pPr>
        <w:spacing w:after="0" w:line="4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Ensifentrine has shown potential in a Phase 2a clinical trial in asthma. The data from this trial, published in October 2019 in the journal </w:t>
      </w:r>
      <w:r>
        <w:rPr>
          <w:rFonts w:ascii="Times New Roman" w:cs="Times New Roman" w:eastAsia="Times New Roman" w:hAnsi="Times New Roman"/>
          <w:sz w:val="18"/>
          <w:szCs w:val="18"/>
          <w:i w:val="1"/>
          <w:iCs w:val="1"/>
          <w:color w:val="auto"/>
        </w:rPr>
        <w:t>Pulmonary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Pharmacology &amp; Therapeutic</w:t>
      </w:r>
      <w:r>
        <w:rPr>
          <w:rFonts w:ascii="Times New Roman" w:cs="Times New Roman" w:eastAsia="Times New Roman" w:hAnsi="Times New Roman"/>
          <w:sz w:val="18"/>
          <w:szCs w:val="18"/>
          <w:color w:val="auto"/>
        </w:rPr>
        <w:t>s, demonstrated that ensifentrine produced dose-dependent improvements in lung function that were comparable to current rescue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medication, high dose nebulized albuterol. Importantly, ensifentrine was well tolerated and patients experienced fewer systemic effects than those receiving albuterol.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team</w:t>
      </w:r>
    </w:p>
    <w:p>
      <w:pPr>
        <w:spacing w:after="0" w:line="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expert team has decades of experience in developing and commercializing respiratory therapeutics including the following COPD therapeutics: Advair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Anoro Ellipta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Breo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Flovent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Flutiform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Incruse Ellipta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Serevent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Symbicort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Tudorza Pressair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Ventolin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do not have manufacturing facilities and rely on, and expect to continue to rely on, third-party contract manufacturing organizations (“CMOs”) for the supply of current good manufacturing practices (“cGMP”) compliant clinical trial materials of ensifentrine, and any future product candidates, as well as for commercial quantities of ensifentrine and any future product candidates, if approved. We currently do not have any agreements for the long-term commercial production of ensifentrine.</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may contract with other CMOs in the future, we currently have one CMO for the manufacture of ensifentrine drug substance and one CMO for each formulation of ensifentrine.</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of our current CMOs have commercial scale manufacturing capabilities. We believe that the ensifentrine drug substance and drug product manufacturing processes can be transferred to other CMOs to produce clinical and commercial supplies in the ordinary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the United States, we are preparing to commercialize nebulized ensifentrine ourselves, if approved. Current maintenance COPD treatments in the U.S. generate approximately $10 billion in sales. In the US, approximately 8.5 million patients receive chronic maintenance treatment for COPD. These patients receive LAMAs, LABAs, and ICS products alone or in combination across all COPD severities. Despite the use of these therapies, approximately 50% of patients report having symptoms for more than 24 days a month. This burden is significant and highlights the need for new and novel mechanisms of actions to treat COPD patients. These patients need therapies that can help improve their lung function and symptoms. In addition to the number of patients that remain symptomatic, COPD places a tremendous burden on the U.S. healthcare system with approximately $50 billion in direct and indirect costs.</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Based on our market research, conducted with U.S. healthcare providers and payers, we believe ensifentrine would be widely adopted with use as an add on therapy across all symptomatic patients regardless of COPD severity and treatment. Most of ensifentrine’s use would be as an add on therapy to current patients who are on LAMA LABA / ICS, LAMA/LABA, or triple therapy. This is due to the urgent unmet need for new therapies to help improve lung function, symptoms and quality of life in these patients. Our market research also suggests the majority of ensifentrine usage would be initially commenced by pulmonologists. Due to this focused prescriber base, we anticipate a field sales force of approximately 100 representatives would be able to reach the potential ensifentrine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COPD affects over 384 million people worldwide with many patients remaining undiagnosed. Our strategy outside of the U.S. including Asia, Europe and Latin America, is to establish partnerships with leading companies that can support the further development and commercialization of ensifentrine in those regions.</w:t>
      </w:r>
    </w:p>
    <w:p>
      <w:pPr>
        <w:spacing w:after="0" w:line="3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June 2021, we executed on this strategy by entering into a strategic collaboration with Nuance Pharma, a Shanghai-based specialty pharmaceutical company, with a potential value of up to $219.0 million to develop and commercialize ensifentrine in Greater China. Under the terms of the agreement, we granted Nuance Pharma the exclusive rights to develop and commercialize ensifentrine in Greater China. In return, we received an aggregate $40.0 million upfront payment consisting of $25.0 million in cash and an equity interest valued at $15.0 million, as of June 9, 2021, in Nuance Biotech, the parent company of Nuance Pharma. We are eligible to receive further milestone payments of up to $179.0 million that are triggered upon achievement of certain clinical, regulatory and commercial milestones as well as tiered double-digit royalties on net sales in Greater China.</w:t>
      </w:r>
    </w:p>
    <w:p>
      <w:pPr>
        <w:spacing w:after="0" w:line="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Nuance Pharma is responsible for all costs related to clinical development and commercialization in Greater China. A joint steering committee has been established to ensure ensifentrine’s clinical development in the region aligns with our global development and commercialization strategy. In August 2022, Nuance Pharma, received clearance from China’s Center for Drug Evaluation to begin Phase 1 and Phase 3 studies of ensifentrine for COPD in mainland China.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 institutions. If successfully developed and commercialized, ensifentrine will compete with existing treatments and new treatments that may become available in the future.</w:t>
      </w:r>
    </w:p>
    <w:p>
      <w:pPr>
        <w:spacing w:after="0" w:line="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Ensifentrine is a unique, first-in-class therapeutic candidate with both bronchodilator and non-steroidal anti-inflammatory properties in a single compound. As far as we are aware, no other dual PDE3 and PDE4 inhibitor is on the market nor in clinical development in the U.S. or Europe. Based on our market research, we expect ensifentrine to be used across the patient spectrum regardless of severity. We expect it will mainly be used as an add on therapy in symptomatic patients across all existing classes of therapies (LAMA, LABA, ICS). Some healthcare providers have indicated that they would use ensifentrine as a monotherapy based on ensifentrine’s clinical profile.</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Consequently, we believe that, if approved, nebulized ensifentrine’s unique profile will enable it to compete with all approved COPD therapies including nebulized and handheld inhaler formulations, DPI and pMDI. Furthermore, because ensifentrine’s mechanism of action is complementary to available therapies, we believe it could be used in addition to these treatments.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the currently approved nebulizer products for the maintenance treatment of COPD, we consider ensifentrine's potential competitors in the U.S. market to be LABAs (Brovana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Perforomist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LAMAs (Yupelri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Lonhala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Magnair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8"/>
          <w:szCs w:val="18"/>
          <w:color w:val="auto"/>
        </w:rPr>
        <w:t>In the DPI/pMDI maintenance treatment of COPD market, ensifentrine’s current closest potential competitors are Symbicort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combination of a long-acting beta2-agonist bronchodilator and ICS marketed by AstraZeneca plc, Spiriva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long-acting anti-muscarinic bronchodilator marketed by Boehringer Ingelheim GmbH, Advair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combination of a long-acting beta2-agonist bronchodilator and ICS marketed by GlaxoSmithKline plc, Utibron Neohaler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combination of a long-acting beta2-agonist and long-acting anti-muscarinic bronchodilator marketed by Novartis International AG, Breo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combination of a long-acting beta2-agonist bronchodilator and ICS marketed by GlaxoSmithKline, and Anoro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combination of a long-acting beta2-agonist bronchodilator and long-acting anti-muscarinic bronchodilator marketed by GlaxoSmithKline. A triple-combination therapy of a LAMA, a LABA and ICS, developed by GlaxoSmithKline and Chiesi Farmaceutici S.p.A., Trelegy Ellipta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has been approved in the U.S. and the European Union and AstraZeneca also has a triple-therapy combination product (LAMA / LABA / ICS), Breztri Aerosphere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that was approved in the U.S. in July 2020, in the European Union in December 2020 and in China in December 2019.</w:t>
      </w:r>
    </w:p>
    <w:p>
      <w:pPr>
        <w:spacing w:after="0" w:line="7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Other potential therapies in clinical development for the prevention of COPD exacerbations include injectable biologics. Sanofi’s anti-IL4, Dupixent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AstraZeneca’s anti-IL5, Fasenra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GlaxoSmithKline’s anti-IL5, Nucala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Chiesi’s PDE4 inhibitor, tanimilast, are in Phase 3 trials. We are also aware of several anti-inflammatories and bronchodilators that are in Phase 2 clinical trials for the treatment of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3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As of December 31, 2022, our patent portfolio consisted of ten issued U.S. patents, eight pending U.S. patent applications (including four U.S. provisional patent applications), 70 issued foreign patents and 76 pending foreign applications. These patents and patent applications include claims directed to certain respirable formulations comprising ensifentrine, a crystalline form of ensifentrine, combinations of ensifentrine with certain respiratory drugs, certain salts of ensifentrine, ensifentrine for use in the treatment of cystic fibrosis and for use in the treatment of certain aspects of some other respiratory disorders, and a method of making ensifentrine, with expected expiry dates up to 2042.</w:t>
      </w:r>
    </w:p>
    <w:p>
      <w:pPr>
        <w:spacing w:after="0" w:line="76"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extensions, the availability of legal remedies in a particular country and the validity and enforceability of the patent.</w:t>
      </w:r>
    </w:p>
    <w:p>
      <w:pPr>
        <w:spacing w:after="0" w:line="36"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8"/>
          <w:szCs w:val="18"/>
          <w:color w:val="auto"/>
        </w:rPr>
        <w:t>Furthermore, we rely upon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inventions.</w:t>
      </w:r>
    </w:p>
    <w:p>
      <w:pPr>
        <w:spacing w:after="0" w:line="80"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“Item 1A. Risk Factors - Risks Related to Intellectual Property and Information Technology.”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Ligand (formerly Vernalis)</w:t>
      </w:r>
    </w:p>
    <w:p>
      <w:pPr>
        <w:spacing w:after="0" w:line="8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February 2005, Rhinopharma Limited (“Rhinopharma”) entered into an assignment and license agreement with Ligand UK Development Limited (formerly Vernalis Development Limited) (“Ligand”), which since October 2018 has been a wholly owned subsidiary of Ligand Pharmaceuticals, Inc. In 2006, we acquired Rhinopharma and all its rights and liabilities under the assignment and license agreement. On March 24, 2022, we entered into an agreement with Ligand to amend the assignment and license agreement. We refer to the assignment and license agreement and the amendment agreement together as the Ligand Agreement. Pursuant to the Ligand Agreement, Ligand has assigned to us all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March 2022, we entered into an Amendment Agreement (the “Amendment”) with Ligand whereby the Ligand Agreement was amended to clarify certain ambiguous terms in the Ligand Agreement. Pursuant to the Amendment:</w:t>
      </w:r>
    </w:p>
    <w:p>
      <w:pPr>
        <w:spacing w:after="0" w:line="75" w:lineRule="exact"/>
        <w:rPr>
          <w:sz w:val="20"/>
          <w:szCs w:val="20"/>
          <w:color w:val="auto"/>
        </w:rPr>
      </w:pPr>
    </w:p>
    <w:p>
      <w:pPr>
        <w:jc w:val="both"/>
        <w:ind w:firstLine="5"/>
        <w:spacing w:after="0" w:line="233" w:lineRule="auto"/>
        <w:tabs>
          <w:tab w:leader="none" w:pos="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75"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our discretion, by issuing to Ligand shares in the Company of equivalent value; and</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paid the $2.0 million to Ligand in March, 2022 and accounted for the $2.0 million payment at execution as selling, general and administrative expense in the consolidated statements of operations as the payment is related to a contract modification.</w:t>
      </w:r>
    </w:p>
    <w:p>
      <w:pPr>
        <w:spacing w:after="0" w:line="6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Ligand Agreement expires on March 24, 2042, unless terminated earlier by either party in accordance with its terms. Either party may terminate the Ligand Agreement for bankruptcy or insolvency of the other party, or for an uncured material breach of the other party, conditional upon the party seeking to terminate obtaining a final judgment of the English High Court declaring that the other party is in material breach of its obligations under the Ligand Agreement.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 provided however, that any of our sublicensees shall have the right to enter into a direct license agreement with Ligand for the portion of the Program IP that was sub-licensed by such sub-licensee.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and foreign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drug approval process</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file an application for review or non-approval of a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95" w:lineRule="exact"/>
        <w:rPr>
          <w:sz w:val="20"/>
          <w:szCs w:val="20"/>
          <w:color w:val="auto"/>
        </w:rPr>
      </w:pPr>
    </w:p>
    <w:p>
      <w:pPr>
        <w:ind w:left="320" w:hanging="315"/>
        <w:spacing w:after="0" w:line="252"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and formulation studies in compliance with the FDA's good laboratory practice (“GLP”) regulations;</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4" w:lineRule="exact"/>
        <w:rPr>
          <w:sz w:val="20"/>
          <w:szCs w:val="20"/>
          <w:color w:val="auto"/>
        </w:rPr>
      </w:pPr>
    </w:p>
    <w:p>
      <w:pPr>
        <w:ind w:left="320" w:hanging="315"/>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requirements to establish the safety and efficacy of the proposed drug product for each indication;</w:t>
      </w:r>
    </w:p>
    <w:p>
      <w:pPr>
        <w:spacing w:after="0" w:line="7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FDA advisory committee review, if required by the FDA;</w:t>
      </w:r>
    </w:p>
    <w:p>
      <w:pPr>
        <w:spacing w:after="0" w:line="81" w:lineRule="exact"/>
        <w:rPr>
          <w:rFonts w:ascii="Times New Roman" w:cs="Times New Roman" w:eastAsia="Times New Roman" w:hAnsi="Times New Roman"/>
          <w:sz w:val="18"/>
          <w:szCs w:val="18"/>
          <w:color w:val="auto"/>
        </w:rPr>
      </w:pPr>
    </w:p>
    <w:p>
      <w:pPr>
        <w:jc w:val="both"/>
        <w:ind w:left="320" w:hanging="315"/>
        <w:spacing w:after="0"/>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of selected clinical investigation sites to assess compliance with GCP; and</w:t>
      </w:r>
    </w:p>
    <w:p>
      <w:pPr>
        <w:spacing w:after="0" w:line="6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 U.S. Prescribing Information to permit commercial marketing of the product for particular indications for use in the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8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Non-clinical studies include laboratory evaluation of product chemistry, toxicity and formulation, as well as animal studies to assess potential safety and efficacy. An IND sponsor must submit the results of the non-clinical tests, together with manufacturing information, analytical data and any available clinical data or literature, among other things, to the FDA as part of an IND. An IND is a request for authorization from the FDA to ship in interstate commerce and administer an investigational new drug product to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new drug to human subjects under the supervision of qualified investigators in accordance with GCP requirements, which include the requirement that all research subjects or a legal representative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reviews the data and recommends whether or not a study may move forward at designated checkpoints. It may halt the clinical trial if it determines that there is an unacceptable safety risk or on other grounds, such as no demonstration of efficacy. Information about certain clinical trials must be submitted within specific timeframes to the National Institutes of Health, or NIH, for public dissemination on their www.clinicaltrials.gov website.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phases, which may overlap or be combined:</w:t>
      </w:r>
    </w:p>
    <w:p>
      <w:pPr>
        <w:spacing w:after="0" w:line="82" w:lineRule="exact"/>
        <w:rPr>
          <w:sz w:val="20"/>
          <w:szCs w:val="20"/>
          <w:color w:val="auto"/>
        </w:rPr>
      </w:pPr>
    </w:p>
    <w:p>
      <w:pPr>
        <w:ind w:left="320" w:hanging="315"/>
        <w:spacing w:after="0" w:line="252"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75" w:lineRule="exact"/>
        <w:rPr>
          <w:rFonts w:ascii="Times New Roman" w:cs="Times New Roman" w:eastAsia="Times New Roman" w:hAnsi="Times New Roman"/>
          <w:sz w:val="18"/>
          <w:szCs w:val="18"/>
          <w:color w:val="auto"/>
        </w:rPr>
      </w:pPr>
    </w:p>
    <w:p>
      <w:pPr>
        <w:jc w:val="both"/>
        <w:ind w:left="320" w:hanging="315"/>
        <w:spacing w:after="0" w:line="235" w:lineRule="auto"/>
        <w:tabs>
          <w:tab w:leader="none" w:pos="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These trials are used to gain additional experience from the treatment of patients in the intended therapeutic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indication. In certain instances, the FDA may mandate the performance of Phase 4 clinical trials as a condition of approval of an NDA.</w:t>
      </w:r>
    </w:p>
    <w:p>
      <w:pPr>
        <w:spacing w:after="0" w:line="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w:t>
      </w:r>
    </w:p>
    <w:p>
      <w:pPr>
        <w:spacing w:after="0" w:line="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4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from the FDA.</w:t>
      </w:r>
    </w:p>
    <w:p>
      <w:pPr>
        <w:spacing w:after="0" w:line="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product candidate may be eligible for priority review.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4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6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Any marketing application for a drug submitted to the FDA for approval, including a product candidate with a fast track designation and/or breakthrough therapy designation, may be eligible for other types of FDA programs to expedite the FDA review and approval process, such as priority review and accelerated approval.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 molecular entity NDAs, priority review designation means the FDA’s goal is to take action on the marketing application within six months of the 60-day filing date (as compared to ten months under standard review).</w:t>
      </w:r>
    </w:p>
    <w:p>
      <w:pPr>
        <w:spacing w:after="0" w:line="6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Products receiving accelerated approval may be subject to expedited withdrawal procedures if the sponsor fails to conduct the required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After the FDA grants orphan drug designation, the generic identity of the therapeutic agent and its potential orphan use are disclosed publicly by the FDA.</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If a product that has orphan drug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6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 designated orphan drug many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6" w:lineRule="exact"/>
        <w:rPr>
          <w:sz w:val="20"/>
          <w:szCs w:val="20"/>
          <w:color w:val="auto"/>
        </w:rPr>
      </w:pPr>
    </w:p>
    <w:p>
      <w:pPr>
        <w:ind w:left="320" w:hanging="315"/>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4" w:lineRule="exact"/>
        <w:rPr>
          <w:sz w:val="20"/>
          <w:szCs w:val="20"/>
          <w:color w:val="auto"/>
        </w:rPr>
      </w:pPr>
    </w:p>
    <w:p>
      <w:pPr>
        <w:ind w:left="320" w:hanging="315"/>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approvals;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Product Marketing Exclusivity</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Market exclusivity provisions authorized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6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order to market any medicinal product outside of the U.S., similar regulatory requirements, including adherence to GLP, Good Clinical Practices (“GCP”) and Good Manufacturing Practice (“GMP”), to initiate clinical trials and, subsequently, to obtain marketing approval of a new pharmaceutical product are in place in each jurisdiction and vary country to country.</w:t>
      </w:r>
    </w:p>
    <w:p>
      <w:pPr>
        <w:spacing w:after="0" w:line="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Each jurisdiction will apply these regulations in their assessment of clinical trial applications and marketing authorization applications. The foreign regulatory approval process includes all of the risks associated with FDA approval set forth above, as well as additional country-specific regulation. The foreign regulatory approval process includes all of the risks associated with FDA approval set forth above, as well as additional country-specific regulation. Whether or not we obtain FDA approval for a product, we must obtain approval of a product by the comparable regulatory authorities of foreign countries before we can commence clinical trials or marketing of the product in those countries. The time required to obtain approval in other countries and jurisdictions might differ from and be longer than that required to obtain FDA approval. Regulatory approval in one country or jurisdiction does not ensure regulatory approval in another. In addition,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(“EU”) are subject to significant regulatory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biological substances. Non-clinical studies (pharmaco-toxicological) must be conducted in compliance with the principles of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Conference on Harmonization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While the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6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76" w:lineRule="exact"/>
        <w:rPr>
          <w:sz w:val="20"/>
          <w:szCs w:val="20"/>
          <w:color w:val="auto"/>
        </w:rPr>
      </w:pPr>
    </w:p>
    <w:p>
      <w:pPr>
        <w:ind w:right="720"/>
        <w:spacing w:after="0" w:line="342" w:lineRule="auto"/>
        <w:rPr>
          <w:sz w:val="20"/>
          <w:szCs w:val="20"/>
          <w:color w:val="auto"/>
        </w:rPr>
      </w:pPr>
      <w:r>
        <w:rPr>
          <w:rFonts w:ascii="Times New Roman" w:cs="Times New Roman" w:eastAsia="Times New Roman" w:hAnsi="Times New Roman"/>
          <w:sz w:val="18"/>
          <w:szCs w:val="18"/>
          <w:color w:val="auto"/>
        </w:rPr>
        <w:t xml:space="preserve">Medicines used in clinical trials must be manufactured in accordance with GMP. Other national and EU-wide regulatory requirements may also apply. </w:t>
      </w:r>
      <w:r>
        <w:rPr>
          <w:rFonts w:ascii="Times New Roman" w:cs="Times New Roman" w:eastAsia="Times New Roman" w:hAnsi="Times New Roman"/>
          <w:sz w:val="18"/>
          <w:szCs w:val="18"/>
          <w:i w:val="1"/>
          <w:iCs w:val="1"/>
          <w:color w:val="auto"/>
        </w:rPr>
        <w:t>Marketing authorization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EU, medicinal products can only be placed on the market after obtaining a marketing authorization (“MA”). To obtain regulatory approval of a product candidate under EU regulatory systems, we must submit a MA, or MAA. The process for doing this depends, among other things, on the nature of the medicinal product. There are two types of MAs:</w:t>
      </w:r>
    </w:p>
    <w:p>
      <w:pPr>
        <w:spacing w:after="0" w:line="75" w:lineRule="exact"/>
        <w:rPr>
          <w:sz w:val="20"/>
          <w:szCs w:val="20"/>
          <w:color w:val="auto"/>
        </w:rPr>
      </w:pPr>
    </w:p>
    <w:p>
      <w:pPr>
        <w:jc w:val="both"/>
        <w:ind w:left="320" w:hanging="315"/>
        <w:spacing w:after="0" w:line="229"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(“CHMP”) of the EMA, and are valid throughout the entire territory of the EU. The centralized procedure is mandatory for certain types of medicinal products, such as (i) medicines derived from biotechnology processes, (ii) advanced therapy medicinal products (such as gene therapy, somatic cell therapy and tissue engineered products), (iii) orphan designated medicinal products, and (iv) products that contain a new active substance indicated for the treatment of certain diseases such as HIV/AIDS, cancer, neurodegenerative disorders, diabetes, auto-immune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4" w:lineRule="exact"/>
        <w:rPr>
          <w:sz w:val="20"/>
          <w:szCs w:val="20"/>
          <w:color w:val="auto"/>
        </w:rPr>
      </w:pPr>
    </w:p>
    <w:p>
      <w:pPr>
        <w:jc w:val="both"/>
        <w:ind w:left="320" w:hanging="315"/>
        <w:spacing w:after="0" w:line="229" w:lineRule="auto"/>
        <w:tabs>
          <w:tab w:leader="none" w:pos="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member states of the EU and only cover their respective territory, and are available for products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above described procedures, in order to grant the MA, the EMA or the competent authorities of the member states of the EU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7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 MAA by the EMA is 210 days. In exceptional cases, the CHMP might perform an accelerated assessment of a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In the EEA, new products authorized for marketing, (i.e.,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and products may not qualify for data exclusivity.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the EEA, MAAs for new medicinal products 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We have received a waiver for pediatric data in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may be designated as orphan if its sponsor can establish that: (1)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that has been authorized for marketing in the EU, or if such a method exists, the product will be of significant benefit to those affected by the condition.</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therapeutic indication which means that the EU regulatory authorities cannot accept another MAA, or grant an MA, or accept an application to extend a MA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orphan designation, for example, if the product is sufficiently profitable not to justify maintenance of market exclusivity, or where the prevalence of the condition has increased above the threshold. Additionally,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9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EU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6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Failure by us or by any of our third-party partners, including suppliers, manufacturers and distributors to comply with EU and EU member state laws that apply to the conduct of clinical trials, manufacturing approval, MA of medicinal products and marketing of such products, both before and after grant of the MA, manufacturing of medicinal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marketing authorization, total or partial suspension of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4" w:lineRule="exact"/>
        <w:rPr>
          <w:sz w:val="20"/>
          <w:szCs w:val="20"/>
          <w:color w:val="auto"/>
        </w:rPr>
      </w:pPr>
    </w:p>
    <w:p>
      <w:pPr>
        <w:ind w:right="2040"/>
        <w:spacing w:after="0" w:line="342" w:lineRule="auto"/>
        <w:rPr>
          <w:sz w:val="20"/>
          <w:szCs w:val="20"/>
          <w:color w:val="auto"/>
        </w:rPr>
      </w:pPr>
      <w:r>
        <w:rPr>
          <w:rFonts w:ascii="Times New Roman" w:cs="Times New Roman" w:eastAsia="Times New Roman" w:hAnsi="Times New Roman"/>
          <w:sz w:val="18"/>
          <w:szCs w:val="18"/>
          <w:color w:val="auto"/>
        </w:rPr>
        <w:t xml:space="preserve">distribution, manufacturing or clinical trials, operating restrictions, injunctions, suspension of licenses, fines and criminal penalties. </w:t>
      </w:r>
      <w:r>
        <w:rPr>
          <w:rFonts w:ascii="Times New Roman" w:cs="Times New Roman" w:eastAsia="Times New Roman" w:hAnsi="Times New Roman"/>
          <w:sz w:val="18"/>
          <w:szCs w:val="18"/>
          <w:i w:val="1"/>
          <w:iCs w:val="1"/>
          <w:color w:val="auto"/>
        </w:rPr>
        <w:t>Brexit and the Regulatory Framework in the United Kingdom</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However, new legislation such as the EU CTR is not applicable in Great Britain (“GB”).</w:t>
      </w:r>
    </w:p>
    <w:p>
      <w:pPr>
        <w:spacing w:after="0" w:line="6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has been the UK’s standalone medicines and medical devices regulator. As a result of the Northern Ireland protocol, different rules will apply in Northern Ireland than in England, Wales, and Scotland, together, GB; broadly, Northern Ireland will continue to follow the EU regulatory regime, but its national competent authority will remain the MHRA.</w:t>
      </w:r>
    </w:p>
    <w:p>
      <w:pPr>
        <w:spacing w:after="0" w:line="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is being closely watched and will determine whether the UK chooses to align with the CTR or diverge from it to maintain regulatory flexibility.</w:t>
      </w:r>
    </w:p>
    <w:p>
      <w:pPr>
        <w:spacing w:after="0" w:line="6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has opted out. In order to use the centralized procedure to obtain a MA that will be valid throughout the EEA, companies must be established in the EEA. Therefore since Brexit, without first establishing an EEA entity, companies established in the UK can no longer use the EU centralized procedure and instead an EEA entity must hold any centralized MAs .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decentralized or mutual recognition procedures which enable MAs approved in EU member states (or Iceland, Liechtenstein, Norway) to be granted in GB.</w:t>
      </w:r>
    </w:p>
    <w:p>
      <w:pPr>
        <w:spacing w:after="0" w:line="7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of market exclusivity will be set from the date of first approval of the product in GB.</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and physician payment and drug pricing transparency laws. Similar laws exist in foreign jurisdictions.</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person or entity does not need to have actual knowledge of the statute or specific intent to violate it in order to have committed a violation.</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federal false claims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Moreover, a claim including items or services resulting from a violation of the U.S. federal Anti-Kickback Statue constitutes a false or fraudulent claim for the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5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addition, there has been a recent trend of increased federal and state regulation of payments made to physicians and certain other healthcare providers. The Physician Payments Sunshine Act imposes, among other things, annual reporting requirements for covered manufacturers for certain payments and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and additional penalties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Violations of any such laws or any other governmental regulations that apply may result in significant criminal, civil and administrative penalties, including damages, fines, the possibility of exclusion from federal healthcare programs (including Medicare and Medicaid), disgorgement and corporate integrity agreements, which impose, among other things, rigorous operational and monitoring requirements on companies to resolve allegations of non-compliance with these laws.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 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8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6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In the EU, governments influence the price of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or collectively,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w:t>
      </w:r>
    </w:p>
    <w:p>
      <w:pPr>
        <w:spacing w:after="0" w:line="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Additionally, on August 2, 2011, the Budget Control Act of 2011 created measures for spending reductions was enacted, which, among other things, included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eliminates the statutory Medicaid drug rebate cap, currently set at 100% of a drug’s average manufacturer price, beginning January 1, 2024.</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any of which could limit the amounts that federal and state governments will pay for healthcare products and services, which could result in reduced demand for our products, once approved, or additional price increases. In particular, we anticipate that Medicare Part B will play an important role in the reimbursement of ensifentrine. Changes in how products are reimbursed through Medicare Part B may affect the overall coverage for ensifentrine, if approved. Any reduction in reimbursement from Medicare or other government-funded programs may result in a similar reduction in payments from private payors.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 Laws</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General Data Protection Regulation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GDPR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certain other countries that impose similar obligations.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Foreign Corrupt Practices Act</w:t>
      </w:r>
    </w:p>
    <w:p>
      <w:pPr>
        <w:spacing w:after="0" w:line="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2022, we had 35 full-time and 1 part time employees. None of our employees is party to a collective bargaining agreement or represented by a trade union or labor union. We consider our relationship with our employees to be good.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make available our public filings, including annual reports on Form 10-K, quarterly reports on Form 10-Q, current reports on Form 8-K, and any amendments to those reports, with the SEC free of charge through our website at www.veronapharma.com in the “Investors” section as soon as reasonably practicable after we electronically file such material with, or furnish such material to, the SEC. The information contained in, or accessible through, our website does not constitute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Investing in our ADSs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never generated any product revenue.</w:t>
      </w:r>
    </w:p>
    <w:p>
      <w:pPr>
        <w:spacing w:after="0" w:line="8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and have incurred significant operating losses since our inception. We had net losses of $68.7 million and $55.6 million for the years ended December 31, 2022 and 2021, respectively. As of December 31, 2022, we had an accumulated deficit of $333.1 million. Our losses have resulted principally from expenses incurred in research and development of ensifentrine, our only product candidate, and from general and administrative costs that we have incurred while building our business infrastructure. We expect to continue to incur significant operating losses for the foreseeable future as we expand our research and development efforts, advance our clinical development of ensifentrine, and seek to obtain regulatory approval for and commercialize ensifentrine. We anticipate that our expenses will increase substantially as we:</w:t>
      </w:r>
    </w:p>
    <w:p>
      <w:pPr>
        <w:spacing w:after="0" w:line="65"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ensifentrine for the treatment of cystic fibrosis (“CF”), asthma or other indications;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other future clinical trials of ensifentrine in other formulations, including in combination with other active ingredients, for the treatment of COPD or other indications;</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pharmacology studies with any formulation;</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or in-license additional respiratory product candidates;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to support ensifentrine and potentially other future product candidates;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manufacturing processes and produce clinical and commercial supplies of the ensifentrine active pharmaceutical ingredient and formulated drug products derived from it;</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of ensifentrine;</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commercial infrastructure to support the potential commercialization of ensifentrine, including sales, marketing, operations, reimbursement and distribution infrastructure and scale-up manufacturing capabilities to commercialize ensifentrine, if approved;</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our in-licensed technologies and products;</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w:t>
      </w:r>
    </w:p>
    <w:p>
      <w:pPr>
        <w:spacing w:after="0" w:line="7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in the United States, the United Kingdom (“UK”) and possibly elsewhere.</w:t>
      </w:r>
    </w:p>
    <w:p>
      <w:pPr>
        <w:spacing w:after="0" w:line="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the research and development and pre-clinical studies and clinical trials of ensifentrine. We are continuing development of ensifentrine, and we have not completed development of any product candidate or any drugs.</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discovering and developing additional product candidates, obtaining regulatory approval for ensifentrine and any future product candidates that successfully complete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establishing manufacturing, commercial and marketing capabilities and ultimately distributing and selling any products for which we may obtain regulatory approval. We are only in the preliminary stages of many of these activities. We may never succeed in these activities and, even if we do, we may never generate revenue that is significant enough to achieve profitability.</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to complete development and commercialization of any future product candidates, or development and commercialization of other formulations or target indications of ensifentrine, if approved. If we are unable to raise capital when needed, we could be forced to delay, reduce or eliminate our product development programs or commercialization efforts.</w:t>
      </w:r>
    </w:p>
    <w:p>
      <w:pPr>
        <w:spacing w:after="0" w:line="7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and planned activities, particularly as we conduct clinical trials of ensifentrine, and develop ensifentrine in other formulations or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States and maintaining a listing on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8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we obtain regulatory approval for ensifentrine for the treatment of COPD in the US, we estimate that our existing cash resources, expected cash receipts from the UK tax credit program and funding expected to become available under the $150.0 million debt facility will enable the Company to fund planned operating expenses and capital expenditure requirements through at least the end of 2025 including the commercial launch of ensifentrine. Future advances under the Oxford Term Loan are contingent upon achievement of certain clinical and regulatory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95" w:lineRule="exact"/>
        <w:rPr>
          <w:sz w:val="20"/>
          <w:szCs w:val="20"/>
          <w:color w:val="auto"/>
        </w:rPr>
      </w:pPr>
    </w:p>
    <w:p>
      <w:pPr>
        <w:ind w:left="320" w:hanging="315"/>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progress and results of our ongoing Phase 3 clinical trials for the maintenance treatment of COPD;</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the regulatory submission and review of ensifentrine, including any post-marketing studies that could be required by regulatory authorities, if regulatory approval is received;</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other studies required to support the commercial positioning of ensifentrine for the treatment of COPD, if regulatory approval is received;</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for the treatment of CF, asthma or other indications, or for other formulations of ensifentrine including fixed-dose combination products;</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if approved, commercial supplies of the ensifentrine active ingredient and derived formulated drug products;</w:t>
      </w:r>
    </w:p>
    <w:p>
      <w:pPr>
        <w:spacing w:after="0" w:line="81" w:lineRule="exact"/>
        <w:rPr>
          <w:rFonts w:ascii="Times New Roman" w:cs="Times New Roman" w:eastAsia="Times New Roman" w:hAnsi="Times New Roman"/>
          <w:sz w:val="18"/>
          <w:szCs w:val="18"/>
          <w:color w:val="auto"/>
        </w:rPr>
      </w:pPr>
    </w:p>
    <w:p>
      <w:pPr>
        <w:jc w:val="both"/>
        <w:ind w:left="320" w:hanging="315"/>
        <w:spacing w:after="0"/>
        <w:tabs>
          <w:tab w:leader="none" w:pos="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indications and of the development of DPI and pMDI formulations of ensifentrine, or fixed-dose combination formulations of ensifentrine for the maintenance treatment of COPD and potentially asthma and other respiratory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4"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costs, timing and outcome of potential future commercialization activities, including manufacturing, marketing, sales and distribution, for ensifentrine;</w:t>
      </w:r>
    </w:p>
    <w:p>
      <w:pPr>
        <w:spacing w:after="0" w:line="117" w:lineRule="exact"/>
        <w:rPr>
          <w:rFonts w:ascii="Times New Roman" w:cs="Times New Roman" w:eastAsia="Times New Roman" w:hAnsi="Times New Roman"/>
          <w:sz w:val="16"/>
          <w:szCs w:val="16"/>
          <w:color w:val="auto"/>
        </w:rPr>
      </w:pPr>
    </w:p>
    <w:p>
      <w:pPr>
        <w:ind w:left="320" w:hanging="315"/>
        <w:spacing w:after="0" w:line="238" w:lineRule="auto"/>
        <w:tabs>
          <w:tab w:leader="none" w:pos="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ensifentrine;</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ensifentrine;</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5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We depend solely on the success of ensifentrine, our only product candidate under development. We cannot give any assurance that ensifentrine will receive regulatory approval for any indication, which is necessary before it can be commercialized. If we, and any collaborators with whom we have entered or may enter into agreements for the development and commercialization of ensifentrine, are unable to commercialize ensifentrine, or experience significant delays in doing so, our ability to generate revenue and our financial condition will be adversely affected.</w:t>
      </w:r>
    </w:p>
    <w:p>
      <w:pPr>
        <w:spacing w:after="0" w:line="6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which we do not expect will occur for at least the next few years, if ever, will depend heavily on the successful development and eventual commercialization of ensifentrine, if approved, which may never occur. Ensifentrine will require regulatory approval,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European Commission or comparable foreign regulatory authorities, and we may never receive such regulatory approval for ensifentrine or any future product candidate. We have not submitted an NDA to the FDA, a marketing authorization application (“MAA”) to the EMA or comparable applications to other regulatory authorities. The success of ensifentrine will depend on many factors, including the following:</w:t>
      </w:r>
    </w:p>
    <w:p>
      <w:pPr>
        <w:spacing w:after="0" w:line="77" w:lineRule="exact"/>
        <w:rPr>
          <w:sz w:val="20"/>
          <w:szCs w:val="20"/>
          <w:color w:val="auto"/>
        </w:rPr>
      </w:pPr>
    </w:p>
    <w:p>
      <w:pPr>
        <w:ind w:left="320" w:hanging="315"/>
        <w:spacing w:after="0" w:line="25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ensifentrine is safe and effective as a treatment for our targeted indications to the satisfaction of the applicable regulatory authorities;</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additional pre-clinical or clinical trials, which would increase our costs and prolong our development;</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of ensifentrine may not meet the level of statistical or clinical significance required by the applicable regulatory authorities for marketing approval;</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disagree with the number, design, size, conduct or implementation of our clinical trials;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(“CROs”) that we retain to conduct clinical trials may take actions outside of our control that materially adversely impact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4" w:lineRule="exact"/>
        <w:rPr>
          <w:sz w:val="20"/>
          <w:szCs w:val="20"/>
          <w:color w:val="auto"/>
        </w:rPr>
      </w:pPr>
    </w:p>
    <w:p>
      <w:pPr>
        <w:ind w:left="320" w:hanging="315"/>
        <w:spacing w:after="0" w:line="252"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 non-clinical safety profile that is acceptable to the applicable regulatory authorities;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operational or clinical issues may prevent completion or interpretation of clinical study results;</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manufacturing issues, product performance issues or stability issues may delay or otherwise adversely affect the progress of our clinical development program;</w:t>
      </w:r>
    </w:p>
    <w:p>
      <w:pPr>
        <w:spacing w:after="0" w:line="75" w:lineRule="exact"/>
        <w:rPr>
          <w:rFonts w:ascii="Times New Roman" w:cs="Times New Roman" w:eastAsia="Times New Roman" w:hAnsi="Times New Roman"/>
          <w:sz w:val="18"/>
          <w:szCs w:val="18"/>
          <w:color w:val="auto"/>
        </w:rPr>
      </w:pPr>
    </w:p>
    <w:p>
      <w:pPr>
        <w:jc w:val="both"/>
        <w:ind w:left="320" w:hanging="315"/>
        <w:spacing w:after="0" w:line="235"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FDA or other regulatory authorities determine that inspections of the manufacturing facilities or clinical sites for our product candidates are required in connection with a marketing application, and such regulatory authorities are unable to conduct such inspections, whether due to geopolitical conflict, such as the ongoing Russia-Ukraine conflict, or travel restrictions, such as those imposed during the COVID-19 pandemic;</w:t>
      </w:r>
    </w:p>
    <w:p>
      <w:pPr>
        <w:spacing w:after="0" w:line="7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applicable regulatory authorities may not accept data generated at our clinical trial sites due to GCP compliance issues, misconduct, or other reasons;</w:t>
      </w:r>
    </w:p>
    <w:p>
      <w:pPr>
        <w:spacing w:after="0" w:line="117" w:lineRule="exact"/>
        <w:rPr>
          <w:rFonts w:ascii="Times New Roman" w:cs="Times New Roman" w:eastAsia="Times New Roman" w:hAnsi="Times New Roman"/>
          <w:sz w:val="16"/>
          <w:szCs w:val="16"/>
          <w:color w:val="auto"/>
        </w:rPr>
      </w:pPr>
    </w:p>
    <w:p>
      <w:pPr>
        <w:jc w:val="both"/>
        <w:ind w:left="320" w:hanging="315"/>
        <w:spacing w:after="0" w:line="235"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development of a risk evaluation and mitigation strategy, or REMS, or similar risk management measures as a condition of approval;</w:t>
      </w:r>
    </w:p>
    <w:p>
      <w:pPr>
        <w:spacing w:after="0" w:line="7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identify deficiencies in the manufacturing processes or facilities of our third-party manufacturers;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change their approval policies or adopt new regulations;</w:t>
      </w:r>
    </w:p>
    <w:p>
      <w:pPr>
        <w:spacing w:after="0" w:line="8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license ensifentrine to others, the efforts of those parties in completing clinical trials of, receiving regulatory approval for, and commercializing ensifentrine;</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clinical trials, we may discover factors that limit the commercial viability of ensifentrine or make the commercialization of ensifentrine unfeasible;</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75" w:lineRule="exact"/>
        <w:rPr>
          <w:rFonts w:ascii="Times New Roman" w:cs="Times New Roman" w:eastAsia="Times New Roman" w:hAnsi="Times New Roman"/>
          <w:sz w:val="18"/>
          <w:szCs w:val="18"/>
          <w:color w:val="auto"/>
        </w:rPr>
      </w:pPr>
    </w:p>
    <w:p>
      <w:pPr>
        <w:ind w:left="320" w:hanging="315"/>
        <w:spacing w:after="0" w:line="314" w:lineRule="auto"/>
        <w:tabs>
          <w:tab w:leader="none" w:pos="31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 unfavorable outcome in any of these factors could result in our experiencing significant delays or an inability to successfully commercialize ensifentrine.</w:t>
      </w:r>
    </w:p>
    <w:p>
      <w:pPr>
        <w:spacing w:after="0" w:line="11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plan to seek regulatory approval to commercialize ensifentrine in the United States, and potentially in the European Union (“EU”) and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and may continue to adversely impact our business, including our plans to commercialize ensifentrine in the United States, if approved, and plans for the development and commercialization of ensifentrine in other countries.</w:t>
      </w:r>
    </w:p>
    <w:p>
      <w:pPr>
        <w:spacing w:after="0" w:line="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COVID-19 pandemic continues to rapidly evolve, including in countries where we have operations, have conducted our ENHANCE clinical trial program and are planning to develop and commercialize ensifentrine, if approved. For example, the COVID-19 pandemic continues to impact Greater China where we have granted a license to a third party for the development and commercialization of products containing ensifentrine. The pandemic and government measures taken in response have had and continue to have a significant impact, both direct and indirect, on businesses and commerce, as worker shortages continue to occur; supply chains continue to be disrupted; and demand for and costs of certain goods and services, such as medical services and supplies, has spiked. If the COVID-19 pandemic continues for a significant length of time, or if new government measures are introduced, we may experience additional disruptions that could severely impact our business, including in particular the approval of and commercialization of ensifentrine. The extent to which the pandemic impacts our business will depend on future developments, which are highly uncertain and cannot be predicted with confidence.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investors to evaluate the success of our business to date and to assess our future viability.</w:t>
      </w:r>
    </w:p>
    <w:p>
      <w:pPr>
        <w:spacing w:after="0" w:line="8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for ensifentrine, and we have two registrational Phase 3 clinical trials nearing completion. We have not yet successfully obtained regulatory approvals, manufactured a commercial-scale product or arranged for a third party to do so on our behalf or conducted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and our existing and any future indebtedness could adversely affect our ability to operate our business, and our existing and any future indebtedness could adversely affect our ability to operate our business, and our existing and any future indebtedness could adversely affect our ability to operate our business.</w:t>
      </w:r>
    </w:p>
    <w:p>
      <w:pPr>
        <w:spacing w:after="0" w:line="6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October 2022, we and Verona Pharma, Inc. (“Verona U.S.”) entered into a loan and security agreement (the “Loan Agreement”), with Oxford Finance Luxembourg S.À R.L. (“Oxford”), pursuant to which a term loan facility in an aggregate amount of up to $150.0 million (the “Term Loan”) is available to us in five tranches. We received the first tranche of $10.0 million (the “Term A Loan”) at closing. Each advance under the Term Loan accrues interest at a floating per annum rate equal to (a) the greater of (i) the 1-Month CME Term SOFR reference rate on the last business day of the month that immediately precedes the month in which the interest will accrue and (ii) 2.38%, plus (b) 5.50% (the “Basic Rate”); provided, however, that in no event shall the Basic Rate (x) for the Term A Loan be less than 7.88% and (y) for each other advance be less than the Basic Rate on the business day immediately prior to the funding date of such advance.</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outstanding indebtedness, including any additional indebtedness beyond our borrowings from Oxford, combined with our other financial obligations and contractual commitments could have significant adverse consequences, including:</w:t>
      </w:r>
    </w:p>
    <w:p>
      <w:pPr>
        <w:spacing w:after="0" w:line="51" w:lineRule="exact"/>
        <w:rPr>
          <w:sz w:val="20"/>
          <w:szCs w:val="20"/>
          <w:color w:val="auto"/>
        </w:rPr>
      </w:pPr>
    </w:p>
    <w:p>
      <w:pPr>
        <w:ind w:firstLine="5"/>
        <w:spacing w:after="0" w:line="252" w:lineRule="auto"/>
        <w:tabs>
          <w:tab w:leader="none" w:pos="6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64"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8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94"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94"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7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Loan Agreement or any other debt instruments. Failure to make payments or comply with other covenants under the Loan Agreement or such other debt instruments could result in an event of default and acceleration of amounts due. For example, the affirmative covenants under our Loan Agreement include, among others, covenants requiring us (and us to cause our subsidiaries) to maintain our legal existence and governmental approvals, deliver certain financial reports and notifications, maintain proper books of record and account, timely file and pay tax returns, and maintain inventory and insurance coverage. Under the Loan Agreement, the occurrence of a material adverse change in our business, operations, or condition is an event of default. If an event of default occurs and Oxford accelerates the amounts due, we may not be able to make accelerated payments and Oxford could seek to enforce security interests in the collateral securing such indebtedness, which could potentially require us to renegotiate our agreement on terms less favorable to us or to immediately cease operations. Further, if we are liquidated, the lenders’ right to repayment would be senior to the rights of holders of our American Depositary Shares (“ADS”) or of our shareholders to receive any proceeds from the liquidation. Any declaration by Oxford of an event of default could significantly harm our business and prospects and could cause the price of our ADSs to decline. In addition, the covenants under the Loan Agreement, the pledge of our assets as collateral and the negative pledge with respect to our intellectual property could limit our ability to obtain additional debt financing. If we raise any additional debt financing, the terms of such additional debt could further restrict our operating and financial flexibility.</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6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or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a company based in the United Kingdom and listed on Nasdaq, our business is subject to risks associated with conducting business internationally. Many of our suppliers and collaborative and clinical trial relationships are located outside the United Kingdom and the United States. Accordingly, our future results could be harmed by a variety of factors, including:</w:t>
      </w:r>
    </w:p>
    <w:p>
      <w:pPr>
        <w:spacing w:after="0" w:line="62" w:lineRule="exact"/>
        <w:rPr>
          <w:sz w:val="20"/>
          <w:szCs w:val="20"/>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euro and currency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34" w:lineRule="exact"/>
        <w:rPr>
          <w:sz w:val="20"/>
          <w:szCs w:val="20"/>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8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 between Russia and Ukraine, or natural disasters including earthquakes, typhoons, floods and fires, or public health emergencies, such as the COVID-19 pandemic.</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Although we are based in the United Kingdom, our financial statements are denominated in U.S dollars and many of our business activities are carried out with partners outside the U.S. and United Kingdom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only product candidate, ensifentrine, is in clinical development. Clinical drug development is a lengthy and expensive process with uncertain timelines and uncertain outcomes. If clinical trials of ensifentrine are prolonged or delayed, or if ensifentrine in later stage clinical trials fails to show the safety and efficacy required by regulatory authorities, we or our collaborators may be unable to obtain required regulatory approvals and be unable to commercialize ensifentrine on a timely basis, or at all.</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62" w:lineRule="exact"/>
        <w:rPr>
          <w:sz w:val="20"/>
          <w:szCs w:val="20"/>
          <w:color w:val="auto"/>
        </w:rPr>
      </w:pPr>
    </w:p>
    <w:p>
      <w:pPr>
        <w:ind w:left="320" w:hanging="315"/>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or other in vivo or in vitro data to support the initiation or continuation of clinical trials;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agreement on clinical trial design or implementation, including dose and frequency of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34"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 to commence a trial;</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a CRO to meet their contracted obligations regarding subject enrollment, data collection, data monitoring, laboratory sample management, programming and analysis or other activities;</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or ethics committee approval or positive opinion at each site;</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suitable patients to participate in a trial;</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 or committing gross misconduct or fraud;</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to the addition of new clinical trial sites;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 maintain double blinding of ensifentrine;</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technical issues during manufacture of ensifentrine and the corresponding drug products;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drug product performance and/or stability;</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discoveries that may reduce the commercial viability of ensifentrine;</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sufficient quantities of ensifentrine for use in clinical trials;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ensifentrine falling below acceptable standards for either safety or efficacy;</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actions claiming infringement by ensifentrine in clinical trials and obtaining injunctions interfering with our progress;</w:t>
      </w:r>
    </w:p>
    <w:p>
      <w:pPr>
        <w:spacing w:after="0" w:line="8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 between Russia and Ukraine, or natural disasters including earthquakes, typhoons, floods and fires;</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imposed by the United States or other governments impacting our ability to transfer money to certain countries, such as Russia, to pay clinical trials sites in those countries;</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7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trials;</w:t>
      </w:r>
    </w:p>
    <w:p>
      <w:pPr>
        <w:spacing w:after="0" w:line="8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to meet their contractual obligations to us in a timely manner, or at all; and</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certain countries in identifying the sub-populations that we are trying to evaluate in a particular trial, which may delay enrollment.</w:t>
      </w:r>
    </w:p>
    <w:p>
      <w:pPr>
        <w:spacing w:after="0" w:line="8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6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we experience delays in the completion of any clinical trial of ensifentrine or any clinical trial of ensifentrine is terminated, the commercial prospects of ensifentrine may be harmed, and our ability to generate product revenues from ensifentrine, if any, will be delayed. Moreover, any delays in completing our clinical trials will increase our costs, slow down the development and approval process of ensifentrine and jeopardize our ability to commence product sales and generate revenue, if any. Significant clinical trial delays could also allow our competitors to bring products to market before we do or shorten any periods during which we have the exclusive right to commercialize ensifentrine and could impair our ability to commercialize ensifentrine. In addition, many of the factors that cause, or lead to, a delay in the commencement or completion of clinical trials may also ultimately lead to the denial of regulatory approval of ensifentrine.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ensifentrine produced under current good manufacturing practice, or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26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existing EU legislation (as implemented into UK law, through secondary legislation).</w:t>
      </w:r>
    </w:p>
    <w:p>
      <w:pPr>
        <w:spacing w:after="0" w:line="5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(EU) CTR or diverge from it to maintain regulatory flexibility. Under the terms of the Protocol on Ireland/Northern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provisions of the (EU) CTR which relate to the manufacture and import of investigational medicinal products and auxiliary medicinal products apply in Northern Ireland. A decision by the UK Government not to closely align its regulations with the new approach that has been adopted in the EU may have an effect on the cost of conducting clinical trials in the UK as opposed to other countries.</w:t>
      </w:r>
    </w:p>
    <w:p>
      <w:pPr>
        <w:spacing w:after="0" w:line="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Undesirable side effects that may be caused by ensifentrine could cause us or regulatory authorities to interrupt, delay or halt clinical trials and could result in a more restrictive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20 Phase 1, 2 and nearly completed two Phase 3 clinical trials of ensifentrine. In these trials, some patients have experienced mild to moderate adverse reactions, including headache, cough, worsening of COPD, nasopharyngitis and hypertension.</w:t>
      </w:r>
    </w:p>
    <w:p>
      <w:pPr>
        <w:spacing w:after="0" w:line="6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76"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 and require us to take ensifentrine off the market;</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authorities may require the addition of labeling statements, specific warnings, a contraindication or field alerts to physicians and pharmacies;</w:t>
      </w:r>
    </w:p>
    <w:p>
      <w:pPr>
        <w:spacing w:after="0" w:line="104" w:lineRule="exact"/>
        <w:rPr>
          <w:rFonts w:ascii="Times New Roman" w:cs="Times New Roman" w:eastAsia="Times New Roman" w:hAnsi="Times New Roman"/>
          <w:sz w:val="16"/>
          <w:szCs w:val="16"/>
          <w:color w:val="auto"/>
        </w:rPr>
      </w:pPr>
    </w:p>
    <w:p>
      <w:pPr>
        <w:ind w:left="320" w:hanging="315"/>
        <w:spacing w:after="0" w:line="252"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ensifentrine is administered, conduct additional clinical trials or change the labeling of ensifentrine;</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ensifentrine;</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ensifentrine may decrease significantly;</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ensifentrine for multiple indications, including asthma, CF or other respiratory diseases.</w:t>
      </w:r>
    </w:p>
    <w:p>
      <w:pPr>
        <w:spacing w:after="0" w:line="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Part of our strategy is to continue to develop ensifentrine in indications other than COPD, such as CF and asthma and other formulations including fixed-dose combinations, MDI and DPI. Although our research and development efforts to date have suggested that ensifentrine has the potential to treat CF and asthma, we may not be able to develop ensifentrine in these indications or any other disease, or development may not be successful.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or formulations, we will face difficulty in obtaining product revenues in future periods, which could significantly harm our financial position.</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7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Successful and timely completion of clinical trials for ensifentrine will require that we enroll a sufficient number of patient candidates. Trials may be subject to delays as a result of patient enrollment taking longer than anticipated or patient withdrawal and other external factors including COVID-19.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ensifentrine in the clinic or at the commercial stage, and our product liability insurance may not cover all damages from such claims.</w:t>
      </w:r>
    </w:p>
    <w:p>
      <w:pPr>
        <w:spacing w:after="0" w:line="4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65" w:lineRule="exact"/>
        <w:rPr>
          <w:sz w:val="20"/>
          <w:szCs w:val="20"/>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ensifentrine;</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related litigation;</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 product recalls or withdrawals, or labeling, marketing or promotional restrictions;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promote ensifentrine.</w:t>
      </w:r>
    </w:p>
    <w:p>
      <w:pPr>
        <w:spacing w:after="0" w:line="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maintain product liability insurance for ensifentrine, it is possible that our liabilities could exceed our insurance coverage. We intend to expand our insurance coverage to include the sale of commercial products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FDA and other regulatory authorities. The FDA or foreign regulatory agencies may also require us to conduct additional preclinical studies or clinical trials for ensifentrine either prior to or post-approval, or it may object to elements of our clinical development program.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Ensifentrine could fail to receive regulatory approval for many reasons, including the following:</w:t>
      </w:r>
    </w:p>
    <w:p>
      <w:pPr>
        <w:spacing w:after="0" w:line="82" w:lineRule="exact"/>
        <w:rPr>
          <w:sz w:val="20"/>
          <w:szCs w:val="20"/>
          <w:color w:val="auto"/>
        </w:rPr>
      </w:pPr>
    </w:p>
    <w:p>
      <w:pPr>
        <w:ind w:left="320" w:hanging="315"/>
        <w:spacing w:after="0" w:line="252"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ensifentrine’s benefits outweigh its safety risks;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pre-clinical studies or clinical trials or may find the data to be unacceptable;</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that the dose or doses evaluated in Phase 3 clinical trials or the way in which double blinding was effected to be unacceptable;</w:t>
      </w:r>
    </w:p>
    <w:p>
      <w:pPr>
        <w:spacing w:after="0" w:line="64" w:lineRule="exact"/>
        <w:rPr>
          <w:rFonts w:ascii="Times New Roman" w:cs="Times New Roman" w:eastAsia="Times New Roman" w:hAnsi="Times New Roman"/>
          <w:sz w:val="18"/>
          <w:szCs w:val="18"/>
          <w:color w:val="auto"/>
        </w:rPr>
      </w:pPr>
    </w:p>
    <w:p>
      <w:pPr>
        <w:ind w:left="320" w:hanging="315"/>
        <w:spacing w:after="0" w:line="297" w:lineRule="auto"/>
        <w:tabs>
          <w:tab w:leader="none" w:pos="31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data collected from clinical trials of ensifentrine may, for various reasons, be insufficient to support the submission or approval of an NDA in the United States, a marketing authorization application (“MAA”) in the EU, or other comparable submission to obtain regulatory approval in other countries;</w:t>
      </w:r>
    </w:p>
    <w:p>
      <w:pPr>
        <w:spacing w:after="0" w:line="30" w:lineRule="exact"/>
        <w:rPr>
          <w:rFonts w:ascii="Times New Roman" w:cs="Times New Roman" w:eastAsia="Times New Roman" w:hAnsi="Times New Roman"/>
          <w:sz w:val="16"/>
          <w:szCs w:val="16"/>
          <w:color w:val="auto"/>
        </w:rPr>
      </w:pPr>
    </w:p>
    <w:p>
      <w:pPr>
        <w:ind w:left="320" w:hanging="315"/>
        <w:spacing w:after="0" w:line="252"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7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 and</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FDA, the EMA or comparable foreign regulatory authorities may disagree with our proposed product specifications and performance characteristics.</w:t>
      </w:r>
    </w:p>
    <w:p>
      <w:pPr>
        <w:spacing w:after="0" w:line="1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ensifentrine. Even if we believe the data collected from clinical trials of ensifentrine are promising, such data may not be sufficient to support approval by the FDA, the European Commission or any other regulatory authority.</w:t>
      </w:r>
    </w:p>
    <w:p>
      <w:pPr>
        <w:spacing w:after="0" w:line="5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revising the duration of regulatory exclusivity, eligibility for expedited pathways, etc.) is currently expected during the first quarter of 2023. The proposed revisions, once they are agreed and adopted by the European Parliament and European Council (not expected before the end of 2024 or early 2025) may have a significant impact on the biopharmaceutical industry in the long term.</w:t>
      </w:r>
    </w:p>
    <w:p>
      <w:pPr>
        <w:spacing w:after="0" w:line="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cleared or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and similar foreign requirements for the manufacture of ensifentrine and GCP requirements for any clinical trials that we conduct post-approval, all of which may result in significant expense and limit our ability to commercialize ensifentrine. In addition, any approval we may obtain for ensifentrine may contain significant limitations related to use restrictions for specified age groups, warnings, precautions or contraindications, and may include burdensome post-approval study or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and our contract manufacturers will also be subject to periodic inspection by the FDA and other regulatory authorities to monitor compliance with these requirements and the terms of any product approval we may obtain.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75" w:lineRule="exact"/>
        <w:rPr>
          <w:sz w:val="20"/>
          <w:szCs w:val="20"/>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ensifentrine and generate revenue and could require us to expend significant time and resources in response and could generate negative publicity.</w:t>
      </w:r>
    </w:p>
    <w:p>
      <w:pPr>
        <w:spacing w:after="0" w:line="5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foreign regulatory agencies actively enforce the laws and regulations prohibiting the promotion of off-label uses.</w:t>
      </w:r>
    </w:p>
    <w:p>
      <w:pPr>
        <w:spacing w:after="0" w:line="8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If ensifentrine is approved for any indication and we are found to have improperly promoted off-label uses for ensifentrine,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ensifentrine, if approved, we could become subject to significant liability, which would materially adversely affect our business and financial condition.</w:t>
      </w:r>
    </w:p>
    <w:p>
      <w:pPr>
        <w:spacing w:after="0" w:line="68"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6"/>
          <w:szCs w:val="16"/>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and the EU,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ensifentrine and may affect the prices we may set.</w:t>
      </w:r>
    </w:p>
    <w:p>
      <w:pPr>
        <w:spacing w:after="0" w:line="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75" w:lineRule="exact"/>
        <w:rPr>
          <w:sz w:val="20"/>
          <w:szCs w:val="20"/>
          <w:color w:val="auto"/>
        </w:rPr>
      </w:pPr>
    </w:p>
    <w:p>
      <w:pPr>
        <w:ind w:left="320" w:hanging="315"/>
        <w:spacing w:after="0" w:line="252"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51" w:lineRule="exact"/>
        <w:rPr>
          <w:rFonts w:ascii="Times New Roman" w:cs="Times New Roman" w:eastAsia="Times New Roman" w:hAnsi="Times New Roman"/>
          <w:sz w:val="18"/>
          <w:szCs w:val="18"/>
          <w:color w:val="auto"/>
        </w:rPr>
      </w:pPr>
    </w:p>
    <w:p>
      <w:pPr>
        <w:jc w:val="both"/>
        <w:ind w:left="320" w:hanging="315"/>
        <w:spacing w:after="0"/>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6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6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6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currently set at 100% of a drug’s average manufacturer price, beginning January 1, 2024. These laws and any laws enacted in the future may result in additional reductions in Medicare and other health care funding, which could have a material adverse effect on our customers and accordingly, our financial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For that and other reasons, it is currently unclear how the IRA will be effectuated. 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7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6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w:t>
      </w:r>
    </w:p>
    <w:p>
      <w:pPr>
        <w:spacing w:after="0" w:line="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w:t>
      </w:r>
    </w:p>
    <w:p>
      <w:pPr>
        <w:spacing w:after="0" w:line="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This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 able to maintain regulatory compliance, ensifentrine may lose any regulatory approval that may have been obtained and we may not achieve or sustain profitability.</w:t>
      </w:r>
    </w:p>
    <w:p>
      <w:pPr>
        <w:spacing w:after="0" w:line="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6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48" w:lineRule="exact"/>
        <w:rPr>
          <w:sz w:val="20"/>
          <w:szCs w:val="20"/>
          <w:color w:val="auto"/>
        </w:rPr>
      </w:pPr>
    </w:p>
    <w:p>
      <w:pPr>
        <w:jc w:val="both"/>
        <w:ind w:left="320" w:hanging="315"/>
        <w:spacing w:after="0" w:line="229"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320" w:hanging="315"/>
        <w:spacing w:after="0" w:line="229"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75" w:lineRule="exact"/>
        <w:rPr>
          <w:rFonts w:ascii="Times New Roman" w:cs="Times New Roman" w:eastAsia="Times New Roman" w:hAnsi="Times New Roman"/>
          <w:sz w:val="18"/>
          <w:szCs w:val="18"/>
          <w:color w:val="auto"/>
        </w:rPr>
      </w:pPr>
    </w:p>
    <w:p>
      <w:pPr>
        <w:jc w:val="both"/>
        <w:ind w:left="320" w:hanging="315"/>
        <w:spacing w:after="0" w:line="229"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94" w:lineRule="exact"/>
        <w:rPr>
          <w:rFonts w:ascii="Times New Roman" w:cs="Times New Roman" w:eastAsia="Times New Roman" w:hAnsi="Times New Roman"/>
          <w:sz w:val="18"/>
          <w:szCs w:val="18"/>
          <w:color w:val="auto"/>
        </w:rPr>
      </w:pPr>
    </w:p>
    <w:p>
      <w:pPr>
        <w:jc w:val="both"/>
        <w:ind w:left="320" w:hanging="315"/>
        <w:spacing w:after="0" w:line="229"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75" w:lineRule="exact"/>
        <w:rPr>
          <w:rFonts w:ascii="Times New Roman" w:cs="Times New Roman" w:eastAsia="Times New Roman" w:hAnsi="Times New Roman"/>
          <w:sz w:val="18"/>
          <w:szCs w:val="18"/>
          <w:color w:val="auto"/>
        </w:rPr>
      </w:pPr>
    </w:p>
    <w:p>
      <w:pPr>
        <w:jc w:val="both"/>
        <w:ind w:left="320" w:hanging="315"/>
        <w:spacing w:after="0" w:line="261" w:lineRule="auto"/>
        <w:tabs>
          <w:tab w:leader="none" w:pos="31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59" w:lineRule="exact"/>
        <w:rPr>
          <w:rFonts w:ascii="Times New Roman" w:cs="Times New Roman" w:eastAsia="Times New Roman" w:hAnsi="Times New Roman"/>
          <w:sz w:val="16"/>
          <w:szCs w:val="16"/>
          <w:color w:val="auto"/>
        </w:rPr>
      </w:pPr>
    </w:p>
    <w:p>
      <w:pPr>
        <w:ind w:left="320" w:hanging="315"/>
        <w:spacing w:after="0" w:line="238" w:lineRule="auto"/>
        <w:tabs>
          <w:tab w:leader="none" w:pos="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 interactions between pharmaceutical companies and health care professionals and health care organizations, are also governed by strict laws, regulations, industry self-regulation codes of conduct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4" w:lineRule="exact"/>
        <w:rPr>
          <w:sz w:val="20"/>
          <w:szCs w:val="20"/>
          <w:color w:val="auto"/>
        </w:rPr>
      </w:pPr>
    </w:p>
    <w:p>
      <w:pPr>
        <w:jc w:val="both"/>
        <w:ind w:left="320"/>
        <w:spacing w:after="0" w:line="229" w:lineRule="auto"/>
        <w:rPr>
          <w:sz w:val="20"/>
          <w:szCs w:val="20"/>
          <w:color w:val="auto"/>
        </w:rPr>
      </w:pPr>
      <w:r>
        <w:rPr>
          <w:rFonts w:ascii="Times New Roman" w:cs="Times New Roman" w:eastAsia="Times New Roman" w:hAnsi="Times New Roman"/>
          <w:sz w:val="18"/>
          <w:szCs w:val="18"/>
          <w:color w:val="auto"/>
        </w:rPr>
        <w:t>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(“CCPA”), which went into effect on January 1, 2020. The CCPA, among other things, creates data privacy obligations for covered companies and provides privacy rights to California consumers, including rights to access and delete their information, to opt out of certain information sharing, and receive detailed information about how their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3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information is used. The CCPA also creates a private right of action with statutory damages for certain data breaches, thereby potentially increasing risks associated with a data breach. Although the law includes limited exceptions for health-related information, it may regulate or impact our processing of personal information depending on the context.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will likely result in increased privacy and information security enforcement. Additional compliance investment and potential business process changes may be required. Similar laws have passed in Virginia, Connecticut, Utah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6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We are also subject to diverse laws and regulations relating to data privacy and security in the EU and the EEA, including the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The law is also developing rapidly and in July 2020, the Court of Justice of the EU limited how organizations could lawfully transfer personal data from the EEA to the U.S. by invalidating the Privacy Shield for purposes of international transfers and imposing further restrictions on the used of standard contractual clauses.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subset to the CJEU decision of July 2020 have taken a restrictive approach to international data transfers.</w:t>
      </w:r>
    </w:p>
    <w:p>
      <w:pPr>
        <w:spacing w:after="0" w:line="6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Relatedly, since the beginning of 2021,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w:t>
      </w:r>
    </w:p>
    <w:p>
      <w:pPr>
        <w:spacing w:after="0" w:line="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increased costs in order to execute upon our sustainability goals and measure achievement of those goals, which could have an adverse impact on our business and financial condition.</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6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6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 In particular, we engaged a number of clinical trial sites in Russia in connection with our Phase 3 ENHANCE clinical program and, with the ongoing conflict between Russia and Ukraine, and resulting sanctions imposed by the United States and other governments, there is an increased risk that our ability to pay clinical sites or conduct clinical trials in Russia, may be impacted.</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6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Given the number of products already on the market to treat COPD, asthma and CF, we expect to face intense competition if ensifentrine is approved for these indications. Companies including Boehringer Ingelheim, GlaxoSmithKline, AstraZeneca, Novartis, Vertex, Viatris, Theravance, Gilead, Genentech and Sunovion currently have treatments on the market for COPD, CF and asthma, and we anticipate that new companies will enter these markets in the future. If we successfully develop and commercialize ensifentrine,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34" w:lineRule="exact"/>
        <w:rPr>
          <w:sz w:val="20"/>
          <w:szCs w:val="20"/>
          <w:color w:val="auto"/>
        </w:rPr>
      </w:pPr>
    </w:p>
    <w:p>
      <w:pPr>
        <w:ind w:left="320" w:hanging="315"/>
        <w:spacing w:after="0" w:line="314" w:lineRule="auto"/>
        <w:tabs>
          <w:tab w:leader="none" w:pos="315"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4" w:lineRule="exact"/>
        <w:rPr>
          <w:rFonts w:ascii="Times New Roman" w:cs="Times New Roman" w:eastAsia="Times New Roman" w:hAnsi="Times New Roman"/>
          <w:sz w:val="16"/>
          <w:szCs w:val="16"/>
          <w:color w:val="auto"/>
        </w:rPr>
      </w:pPr>
    </w:p>
    <w:p>
      <w:pPr>
        <w:ind w:left="320" w:hanging="315"/>
        <w:spacing w:after="0" w:line="252" w:lineRule="auto"/>
        <w:tabs>
          <w:tab w:leader="none" w:pos="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products that are safer, more effective, less expensive, more convenient or easier to administer, or have fewer or less severe side effects;</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regulatory approval;</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 covering our products and technologies;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and marketing; or</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8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orphan drug designation from the FDA or similar foreign authorities for ensifentrine for the treatment of CF, and even if we do obtain such designations, we may be unable to obtain or maintain the benefits associated with orphan drug designation, including the potential for orphan drug exclusivity.</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orphan designation may be granted by the European Commission after receiving the opinion of the EMA’s Committee for Orphan Medicinal Products to promote the development of products (1) that are intended for the diagnosis, prevention or treatment that is life-threatening or chronically debilitating, and (2) either (a) such condition affects no more than five in 10,000 persons in the EU when the application is made, or (b) the product, without the benefits derived from orphan status, would be unlikely to generate sufficient returns in the EU to justify the necessary investment, and (3) there exists no satisfactory method of diagnosis, prevention or treatment of such condition authorized for marketing in the EU, or, if such a method exists, the medicine must be of significant benefit to those affected by the condition.</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the United States, orphan drug designation entitles a party to financial incentives such as opportunities for grant funding toward clinical trial costs, tax credits for qualified clinical testing and application 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Upon grant of a marketing authorization, orphan medicinal products are entitled to ten years of market exclusivity for the approved therapeutic indication, during which time no similar medicinal product for the same indication may be placed on the market. However, during such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is unable to supply sufficient quantities of product. The European exclusivity period may be reduced to six years if, at the end of the fifth year, it is established that the product no longer meets the orphan designation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including where it is shown that the product is sufficiently profitable not to justify maintenance of market exclusivity, or when the prevalence of the condition has increased above the orphan designation threshold.</w:t>
      </w:r>
    </w:p>
    <w:p>
      <w:pPr>
        <w:spacing w:after="0" w:line="5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We may seek orphan drug designation from the FDA and the European Commission (and comparable authorities) for ensifentrine for the treatment of CF. Even if we are able to obtain orphan designation for ensifentrine in the United States and/or the EU (and/or other foreign jurisdictions), we may not be the first to obtain marketing approval for any particular orphan indication due to the uncertainties associated with developing pharmaceutical products, which could prevent us from marketing ensifentrine if another company is able to obtain orphan drug exclusivity before we do. In addition, exclusive marketing rights in the United States and/or the EU may be unavailable if we seek approval for an indication broader than the orphan-designated indication or may be lost if the FDA and/or foreign regulatory authorities later determine that the request for designation was materially defective or if we are unable to assure sufficient quantities of the product to meet the needs of patients with the rare disease or condition following approval. Further, even if we obtain orphan drug exclusivity for ensifentrine, that exclusivity may not effectively protect ensifentrine from competition because different drugs with different active moieties can be approved for the same condition.</w:t>
      </w:r>
    </w:p>
    <w:p>
      <w:pPr>
        <w:spacing w:after="0" w:line="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the FDA or foreign regulatory authorities can subsequently approve products with the same active moiety for the same condition if the FDA or foreign regulatory authorities conclude that the later drug is clinically superior on the basis of greater safety, greater effectiveness, or a major contribution to patient care. Orphan drug designation neither shortens the development time or regulatory review time of a drug nor gives the drug any advantage in the regulatory review or approval process. In addition, while we intend to seek orphan drug designation for ensifentrine for the treatment of CF, we may never receive such designation.</w:t>
      </w:r>
    </w:p>
    <w:p>
      <w:pPr>
        <w:spacing w:after="0" w:line="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6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4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and costly. No uniform policy for coverage and reimbursement for products exists among third-party payors in the United States. Therefore,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believe that Medicare Part B will play an important role in the reimbursement of ensifentrine. Changes within how products are reimbursed through Medicare Part B could occur and those changes may affect the overall coverage of ensifentrine in the future.</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even if a pharmaceutical product obtains a marketing authorization in the EU, there can be no assurance that reimbursement for such product will be secured on a timely basis or at all.</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Ensifentrine may not gain market acceptance, in which case our ability to generate product revenues will be compromised.</w:t>
      </w:r>
    </w:p>
    <w:p>
      <w:pPr>
        <w:spacing w:after="0" w:line="8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Even if the FDA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76" w:lineRule="exact"/>
        <w:rPr>
          <w:sz w:val="20"/>
          <w:szCs w:val="20"/>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ensifentrine is approved;</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frequency, and ease of administration;</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effectiveness;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 support;</w:t>
      </w:r>
    </w:p>
    <w:p>
      <w:pPr>
        <w:spacing w:after="0" w:line="8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coverage, reimbursement and adequate payment from health maintenance organizations and other insurers, both public and private; and</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limited commercial capabilities and infrastructure, including sales, marketing, operations, distribution, and reimbursement infrastructure. If we are unable to develop commercial capabilities and infrastructure, including sales, marketing, operations, distribution and reimbursement capabilities on our own or through collaborations, we may not be successful in commercializing ensifentrine.</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have limited sales, marketing, or operations, distribution or reimbursement capabilities and infrastructure and we have not previously marketed, sold or distributed pharmaceutical products. The establishment of commercial capabilities and infrastructure, including sales, marketing, operations, distribution, and reimbursement with technical expertise and supporting distribution capabilities to commercialize ensifentrine, is expensive and time consuming. Some or all of these costs may be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would adversely impact the commercialization of ensifentrine.</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7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6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w:t>
      </w:r>
    </w:p>
    <w:p>
      <w:pPr>
        <w:spacing w:after="0" w:line="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new strategic relationships for ensifentrine, our business, research and development and commercialization prospects could be adversely affected.</w:t>
      </w:r>
    </w:p>
    <w:p>
      <w:pPr>
        <w:spacing w:after="0" w:line="6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 ensifentrine. For example, we may seek a collaborator for development of our DPI or pMDI formulation of ensifentrine for the maintenance treatment of COPD and potentially asthma and other respiratory diseases.</w:t>
      </w:r>
    </w:p>
    <w:p>
      <w:pPr>
        <w:spacing w:after="0" w:line="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76" w:lineRule="exact"/>
        <w:rPr>
          <w:sz w:val="20"/>
          <w:szCs w:val="20"/>
          <w:color w:val="auto"/>
        </w:rPr>
      </w:pPr>
    </w:p>
    <w:p>
      <w:pPr>
        <w:ind w:left="320" w:hanging="315"/>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the collaborator devotes to the development of ensifentrine;</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experience financial difficulties;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distribution and intellectual property rights;</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move forward with a competing product developed either independently or in collaboration with third parties, including our competitors;</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and/or efficacy data from a collaborator’s clinical development activities may conflict with our data and could potentially impact our global clinical development activities;</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unlawfully use or disclose confidential information and materials in breach of confidentiality obligations to us;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our willingness to complete our obligations under any arrangement;</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collaborator could fail to adequately perform our obligations under the agreement and/or the agreement could fall into dispute;</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patents covering ensifentrine, or relating to the terms of our collaborations, which could be expensive, time consuming and unsuccessful; or</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limited personnel with experience in manufacturing, and we do not own facilities for manufacturing ensifentrine and its derived formulated products. Instead, we rely on and expect to continue to rely on third-party contract manufacturing organizations (“CMOs”), for the supply of cGMP- or 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6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 Additionally, CMOs are experiencing labor constraints which could impact their ability to manufacture and deliver ensifentrine.</w:t>
      </w:r>
    </w:p>
    <w:p>
      <w:pPr>
        <w:spacing w:after="0" w:line="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Information Technology</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pMDI, and the methods for treating patients with respiratory diseases using ensifentrine alone or in combination with other available products,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4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pacing w:after="0" w:line="25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4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7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7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ensifentrine may be subject to claims of infringement of the intellectual property rights of third parties.</w:t>
      </w:r>
    </w:p>
    <w:p>
      <w:pPr>
        <w:spacing w:after="0" w:line="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3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9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with third parties, we could lose license rights that are important to our business.</w:t>
      </w:r>
    </w:p>
    <w:p>
      <w:pPr>
        <w:spacing w:after="0" w:line="6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payment, royalty, insurance and other obligations on us. Any uncured, material breach under these license agreements could result in our loss of rights to practice the patent rights and other intellectual property licensed to us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the necessary rights to ensifentrine or obtaining other intellectual property rights important to our business through acquisitions and in-licenses.</w:t>
      </w:r>
    </w:p>
    <w:p>
      <w:pPr>
        <w:spacing w:after="0" w:line="4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6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7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We have registered trademarks in some territories and made applications to register the trademarks in other territories for potential trade names for our business and proposed drug products.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ensifentrine expired in 2020, and our other issued patents will expire in 2031 to 2041, subject to any patent extensions that may be available for such patents. If patents are issued on our pending patent applications, the resulting patents are projected to expire on dates ranging from 2031 to 2036. Various extensions may be available, but the life of a patent, and the protection it affords, is limited. Even if patents covering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4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7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precluded from effectively protecting, the intellectual property rights important for our business in such jurisdictions, the value of these rights may be diminished and we may face additional competition from others in those jurisdictions.</w:t>
      </w:r>
    </w:p>
    <w:p>
      <w:pPr>
        <w:spacing w:after="0" w:line="5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5" w:lineRule="exact"/>
        <w:rPr>
          <w:sz w:val="20"/>
          <w:szCs w:val="20"/>
          <w:color w:val="auto"/>
        </w:rPr>
      </w:pPr>
    </w:p>
    <w:p>
      <w:pPr>
        <w:ind w:left="320" w:hanging="315"/>
        <w:spacing w:after="0" w:line="252"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 candidates but that are not covered by the claims of the patents that we own or have exclusively licensed;</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impair our ability to develop or commercialize our product candidates.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collaborators might not have been the first to file patent applications covering certain of our inventions.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 candidates or technologies could use the intellectual property of others without obtaining a proper license.</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that are patentable.</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ensifentrine or any future product candidates.</w:t>
      </w:r>
    </w:p>
    <w:p>
      <w:pPr>
        <w:spacing w:after="0" w:line="6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5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protect other proprietary information.</w:t>
      </w:r>
    </w:p>
    <w:p>
      <w:pPr>
        <w:spacing w:after="0" w:line="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those of our manufacturers, suppliers and other third parties that we use to conduct our pre-clinical and clinical trials or otherwise collaborate with, may fail or suffer security breaches, which could distract our operations and cause delays in our research and development work, and may adversely affect our business, operations and financial performance.</w:t>
      </w:r>
    </w:p>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In the ordinary course of our business, we and our manufacturers, suppliers and third parties that we use to conduct our pre-clinical and clinical trials or otherwise collaborate with, collect and store sensitive data, including intellectual property, clinical trial data, proprietary business information and personally identifiable information of our clinical trial subjects and employees, in our and third-party data centers and on our and third-party networks. The secure processing, maintenance and transmission of this information is critical to our operations. Our information technology and other internal infrastructure systems, including corporate firewalls, servers, leased lines and connection to the Internet, and that of our manufacturers, suppliers and other third parties that we use to conduct our pre-clinical and clinical trials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 Further, our information technology systems and those of our third-party service providers, strategic partners and other contractors or consultants are vulnerable to damage, attack or interruption from computer viruses, malware (e.g ransomware),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and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8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significant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which could adversely affect our reputation and delay clinical development of our product candidates. Any losses, costs or liabilities may not be covered by, or may exceed the coverage limits of, any or all applicable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our ability to retain our key personnel and recruit additional qualified personnel.</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Claire Poll, our chief medical officer, Kathleen Rickard, our senior vice president, chemistry manufacturing and controls, Peter Spargo, our senior vice president, regulatory affairs, Caroline Diaz, our senior vice president of commercial, Christopher Martin, and our senior vice president, R&amp;D, Tara Rheault. The loss of key managers and senior scientists could delay our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2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expect to experience significant growth in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Certain of our shareholders, members of our board of directors, and senior management own a majority of our ordinary shares (including ordinary shares represented by ADSs) and as a result, are be able to exercise significant control over us.</w:t>
      </w:r>
    </w:p>
    <w:p>
      <w:pPr>
        <w:spacing w:after="0" w:line="4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As of December 31, 2022, our senior management, board of directors and greater than 5% shareholders and their respective affiliates, in the aggregate, owned approximately 32% of our outstanding voting ordinary shares (including ordinary shares represented by ADSs) assuming no exercise of outstanding options. 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ordinary shares at or above the price at which they were purchased. Investors seeking cash dividends should not purchase our ADSs or ordinary shares.</w:t>
      </w:r>
    </w:p>
    <w:p>
      <w:pPr>
        <w:spacing w:after="0" w:line="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Holders of our ADSs are not be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4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8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6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3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Management will be required to assess the effectiveness of our internal controls annually. However, for as long as we are a non-accelerated filer,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have inadvertently violated Section 13(k) of the Exchange Act (implementing Section 402 of the Sarbanes-Oxley Act of 2002) and may be subject to sanctions as a result.</w:t>
      </w:r>
    </w:p>
    <w:p>
      <w:pPr>
        <w:spacing w:after="0" w:line="4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Section 13(k) of the Exchange Act provides that it is unlawful for a company, such as ours, that has a class of securities registered under Section 12 of the Exchange Act to, directly or indirectly, including through any subsidiary, extend or maintain credit in the form of a personal loan to or for any director or executive officer of the company. In August 2018, a receivable arose with respect to taxes due upon the vesting of restricted share units held by one of our directors and two of our executive officers, which may have violated Section 13(k) of the Exchange Act. The receivable was repaid, with interest, in March 2019, as soon as management became aware of the possible violation. Issuers that are found to have violated Section 13(k) of the Exchange Act may be subject to civil sanctions, including injunctive remedies and monetary penalties, as well as criminal sanctions. The imposition of any of such sanctions on us could have a material adverse effect on our business, financial position, results of operations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 For example, beginning in 2022, the Tax Cuts and Jobs Act of 2017 eliminates the option to deduct research and development expenditures and requires taxpayers to amortize them over five years pursuant to Section 174 of the U.S. Internal Revenue Code of 1986, as amended, or the Code, or 15 years for expenditures attributable to research and development conducted outside the United States. If the requirement is not modified or deferred, it may materially reduce our cash flows.</w:t>
      </w:r>
    </w:p>
    <w:p>
      <w:pPr>
        <w:spacing w:after="0" w:line="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carry out research and development activities including, but not limited to, developing ensifentrine for various indications and delivery methods, and as a result we benefit in the U.K. from the HM Revenue and Customs, or HMRC, small and medium sized enterprises research and development relief, or SME R&amp;D Relief, which provides relief against U.K. Corporation Tax.</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Broadly, SME R&amp;D Relief comprises two elements, (a) allowing qualifying SMEs to deduct a total of 230% expected to reduce to 186% for expenditure incurred on or after April 1, 2023 of their qualifying expenditure from their yearly profit for U.K. Corporation Tax purposes (the deduction is given by allowing an additional 130% deduction (expected to reduce to 86% for expenditure incurred after April 1, 2023) plus the usual 100%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or the SME R&amp;D Additional Deduction and, (b) where there are not sufficient profits for U.K. Corporation Tax purposes to fully utilize the SME R&amp;D Additional Deduction, the excess (“surrenderable losses”) can be carried forward to offset against future taxable profits, or a tax credit currently equal to 14.5% (expected to reduce to 10% from April 1, 2023) of such surrenderable loss can be claimed in cash, or the SME R&amp;D Tax Credit.</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financial statements for the year ended December 31, 2021, we recorded an SME R&amp;D Tax Credit of $15.6 million which was subsequently received in cash in the year ended December 31, 2022. For the year ended December 31, 2022, we recorded an SME R&amp;D Tax Credit of $9.6 million, which we expect to receive in the year ending December 31, 2023.</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Changes to the UK’s SME R&amp;D Relief regime may adversely affect our financial condition. In particular, HM Treasury and HMRC launched a consultation in January 2023 entitled “R&amp;D Tax Reliefs Review, Consultation on a single scheme” which seeks views on the possible merger of the SME R&amp;D Relief scheme and the “RDEC” scheme applicable to “large” companies, the outcome of which is currently uncertain. If it is decided to merge the schemes, any new regime is expected to apply with effect from April 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classified as a passive foreign investment company, it would result in adverse U.S. federal income tax consequences to U.S. holders.</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A non-U.S. company will be considered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assets and income of such corporation. If we are classified as a PFIC for any taxable year during which a U.S. Holder holds our ordinary shares or ADSs,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A “U.S. Holder” is a holder who, for U.S. federal income tax purposes, is a beneficial owner of our ordinary shares or ADSs who is a citizen or individual resident of the United States, a corporation, or other entity taxable as a corporation, created or organized in or under the laws of the United States,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Code), or (ii) has a valid election in effect to be treated as a United States person. No assurances regarding our PFIC status can be provided for the current taxable year or any future taxable years.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in the future and our corporate structure. The composition of our income and assets is also affected by the spending of the cash we raise in any offering. Each U.S. Holder should consult its own tax advisors with respect to the potential adverse U.S. tax consequences to it if we are or were to become a PFIC.</w:t>
      </w:r>
    </w:p>
    <w:p>
      <w:pPr>
        <w:spacing w:after="0" w:line="200" w:lineRule="exact"/>
        <w:rPr>
          <w:sz w:val="20"/>
          <w:szCs w:val="20"/>
          <w:color w:val="auto"/>
        </w:rPr>
      </w:pPr>
    </w:p>
    <w:p>
      <w:pPr>
        <w:spacing w:after="0" w:line="2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Based on the current and expected composition of our income and assets and the value of our assets, we believe that we were not a PFIC for U.S. federal income tax purposes for our taxable year ended December 31, 2022. However, no assurances regarding our PFIC status can be provided for any past taxable years, the taxable year ending December 31, 2022, or any future taxable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of our ordinary shares or ADSs, such holder may be subject to adverse U.S. federal income tax consequences.</w:t>
      </w:r>
    </w:p>
    <w:p>
      <w:pPr>
        <w:spacing w:after="0" w:line="4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a U.S. Holder (as defined above) is treated as owning, directly, indirectly or constructively, at least 10% of the value or voting power of our ordinary shares or ADSs, such U.S. Holder may be treated as a “United States shareholder” with respect to each “controlled foreign corporation” or “CFC” in our group, if any. Because our group includes one or more U.S. subsidiaries, certain of our non-U.S. subsidiaries could be treated as CFCs, regardless of whether we are treated as a CFC. A United States shareholder of a controlled foreign corporation may be required to annually report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we or any of our non-U.S. subsidiaries are treated as a CFC or whether such investor is treated as a United States shareholder with respect to any of such CFCs. Further, we cannot provide any assurances that we will furnish to any United States shareholder information that may be necessary to comply with the reporting and tax paying obligations described in this risk factor. U.S. 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may be volatile and may fluctuate due to factors beyond our control.</w:t>
      </w:r>
    </w:p>
    <w:p>
      <w:pPr>
        <w:spacing w:after="0" w:line="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64" w:lineRule="exact"/>
        <w:rPr>
          <w:sz w:val="20"/>
          <w:szCs w:val="20"/>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clinical trials of ensifentrine;</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competitors’ businesses;</w:t>
      </w:r>
    </w:p>
    <w:p>
      <w:pPr>
        <w:spacing w:after="0" w:line="94"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5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ensifentrine;</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commentators;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industry or in the economy as a whole;</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our senior management or board members, and significant holders of our ADSs; or</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sales, or the possibility of future sales, of a substantial number of our ADSs or ordinary shares could adversely affect the price of our ADSs.</w:t>
      </w:r>
    </w:p>
    <w:p>
      <w:pPr>
        <w:spacing w:after="0" w:line="9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Future sales of a substantial number of our ADSs or ordinary shares, or the perception that such sales will occur, could cause a decline in the market price of our ADSs.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Unstable market and economic conditions may have serous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United Kingdom or the United States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trading market for our ADSs and ordinary shares depends in part on the research and reports that securities or industry analysts or commentators publish about us or our business.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200" w:lineRule="exact"/>
        <w:rPr>
          <w:sz w:val="20"/>
          <w:szCs w:val="20"/>
          <w:color w:val="auto"/>
        </w:rPr>
      </w:pP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in the United States, and our senior management are required to devote substantial time to new compliance initiatives and corporate governance practices.</w:t>
      </w:r>
    </w:p>
    <w:p>
      <w:pPr>
        <w:spacing w:after="0" w:line="7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As a U.S. public company,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senior management on our internal control over financial reporting. However, while we remain a non-accelerated filer, we will not be required to include an attestation report on internal control over financial reporting issued by our independent registered public accounting firm. To prepare for eventual compliance with Section 404, once we are no longer a non-accelerated filer,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30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corporate headquarters is in leased office space at 3 More London Riverside, London, U.K. The leases on the offices expire in the first quarter of 2024. We also have office space at 8045 Arco Corporate Drive, Suite 130, Raleigh, North Carolina 27617, USA, which expires in the second quarter of 2024, and 33 Park of Commerce, Suite 300, Savanna, Georgia, 31405, which expires in the forth quarter of 2025. We believe that these facilities are adequate to meet our current and near term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subject to any material legal proceedings.</w:t>
      </w:r>
    </w:p>
    <w:p>
      <w:pPr>
        <w:spacing w:after="0" w:line="17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0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Holders</w:t>
      </w:r>
    </w:p>
    <w:p>
      <w:pPr>
        <w:spacing w:after="0" w:line="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Prior to October 30, 2020, our ordinary shares were traded on the AIM Market of the London Stock Exchange under the symbol “VRP”. We canceled the admission of the ordinary shares to trading on AIM on October 30, 2020 and our ordinary shares are now not publicly traded. Our American Depositary Shares (“ADSs”) have been publicly traded on the Nasdaq Global Market under the symbol “VRNA” since April 27, 2017.</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ADS represents eight ordinary shares of Verona Pharma plc.</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February 13, 2023, 99.9% of our voting ordinary shares are held in ADS form, between 7,869 registered holders. The 0.1% balance of our ordinary voting shares are held as unlisted voting ordinary shares. We also have 48,088,896 unlisted non-voting ordinary shares.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18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on Form 10-K, particularly in Part I, Item 1A. “Risk Factors” and the section entitled “Cautionary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first-in-class, inhaled, selective, small molecule and dual inhibitor of the enzymes phosphodiesterase 3 and 4 (“PDE3” and “PDE4”), combining bronchodilator and non-steroidal anti-inflammatory activities in one compound.</w:t>
      </w:r>
    </w:p>
    <w:p>
      <w:pPr>
        <w:spacing w:after="0" w:line="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During 2022, we reported positive top-line results from both of our Phase 3 ENHANCE (“Ensifentrine as a Novel inHAled Nebulized COPD thErapy”) trials evaluating nebulized ensifentrine for the maintenance treatment of chronic obstructive pulmonary disease (“COPD”). Ensifentrine met the primary endpoint in both the ENHANCE-1 and ENHANCE-2 trials demonstrating statistically significant and clinically meaningful improvements in measures of lung function. In addition, ensifentrine substantially reduced the rate and risk of COPD exacerbations in ENHANCE-1 and ENHANCE-2. Ensifentrine was well tolerated in both trials.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Based on the results from our ENHANCE program, we believe ensifentrine, if approved, has the potential to change the treatment paradigm for COPD, if approved. The totality of data from clinical trials, in particular top-line results from the ENHANCE program, support our belief. We plan to submit a New Drug Application (“NDA”) to the U.S. Food and Drug Administration (“FDA”) in the second quarter of 2023 for inhaled ensifentrine for the maintenance treatment of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88" w:name="page89"/>
    <w:bookmarkEnd w:id="88"/>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Phase 2 clinical trials, ensifentrine has demonstrated positive results in patients with COPD, asthma and cystic fibrosis (“CF”). Two additional formulations of ensifentrine have been evaluated in Phase 2 studies for the treatment of COPD: dry powder inhaler (“DPI”) and pressurized metered-dose inhaler (“pMDI”). Ensifentrine has shown positive Phase 2 data in COPD trials when delivered by each of these formulations.</w:t>
      </w:r>
    </w:p>
    <w:p>
      <w:pPr>
        <w:spacing w:after="0" w:line="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If approved, we intend to commercialize ensifentrine for the maintenance treatment of COPD in the United States (“US”). Although we believe ensifentrine will not be regulated as a drug device combination, patients use a readily available standard jet nebulizer to take ensifentrine. Outside the US, we intend to license ensifentrine to companies with expertise and experience in developing and commercializing products in those regions. To that end, we have entered a strategic collaboration with Nuance Pharma Limited (“Nuance Pharma”), a Shanghai-based specialty pharmaceutical company, to develop and commercialize ensifentrine in Greater China.</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incurred recurring losses and negative cash flows from operations since inception, and have an accumulated deficit of $333.1 million as of December 31, 2022. We expect to incur additional losses and negative cash flows from operations until our product candidates potentially gain regulatory approval and reach commercial profitability, if at all.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significant expenses in connection with our ongoing activities, as we:</w:t>
      </w:r>
    </w:p>
    <w:p>
      <w:pPr>
        <w:spacing w:after="0" w:line="95" w:lineRule="exact"/>
        <w:rPr>
          <w:sz w:val="20"/>
          <w:szCs w:val="20"/>
          <w:color w:val="auto"/>
        </w:rPr>
      </w:pPr>
    </w:p>
    <w:p>
      <w:pPr>
        <w:ind w:left="320" w:hanging="315"/>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commercial infrastructure and prepare for potential commercial launch;</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the clinical development of ensifentrine for the treatment of COPD or other indications;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ensifentrine and engage in other Chemistry, Manufacturing and Controls activities; and</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2022, expected cash receipts from the UK tax credit program and funding expected to become available under the $150.0 million debt financing facility secured in October 2022, will enable us to fund our planned operating expenses and capital expenditure requirements through at least the end of 2025 including the planned commercial launch of ensifentrine in the US, if approved. The advances under the $150.0 million debt financing facility are contingent upon the achievement of certain clinical and regulatory milestones and other specified conditions. See “Indebtedness”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“Licensed Products”) developed using Ligand Patents, Ligand know-how and the physical stock of certain compounds.</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contingent liability comprises a milestone payment on obtaining the first approval of any regulatory authority for the commercialization of a Licensed Product, low single digit royalties based on the future sales performance of all Licensed Products and a portion equal to a mid-twenty percent of any consideration received from any sub-licensees for the Ligand Patents and for Ligand know-how.</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time of the acquisition the contingent liability was not recognized as part of the acquisition accounting as it was immaterial. We will therefore record as a research and development expense the milestone payment or royalties when they are probable.</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March 2022 we entered into an Amendment Agreement (the “Amendment”) with Ligand whereby the Ligand Agreement was amended to clarify certain ambiguous terms in the Ligand Agreement. Pursuant to the Amendment:</w:t>
      </w:r>
    </w:p>
    <w:p>
      <w:pPr>
        <w:spacing w:after="0" w:line="75" w:lineRule="exact"/>
        <w:rPr>
          <w:sz w:val="20"/>
          <w:szCs w:val="20"/>
          <w:color w:val="auto"/>
        </w:rPr>
      </w:pPr>
    </w:p>
    <w:p>
      <w:pPr>
        <w:jc w:val="both"/>
        <w:ind w:firstLine="5"/>
        <w:spacing w:after="0" w:line="233" w:lineRule="auto"/>
        <w:tabs>
          <w:tab w:leader="none" w:pos="2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34" w:lineRule="exact"/>
        <w:rPr>
          <w:sz w:val="20"/>
          <w:szCs w:val="20"/>
          <w:color w:val="auto"/>
        </w:rPr>
      </w:pPr>
    </w:p>
    <w:p>
      <w:pPr>
        <w:ind w:left="240" w:hanging="235"/>
        <w:spacing w:after="0"/>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94" w:lineRule="exact"/>
        <w:rPr>
          <w:rFonts w:ascii="Times New Roman" w:cs="Times New Roman" w:eastAsia="Times New Roman" w:hAnsi="Times New Roman"/>
          <w:sz w:val="18"/>
          <w:szCs w:val="18"/>
          <w:color w:val="auto"/>
        </w:rPr>
      </w:pPr>
    </w:p>
    <w:p>
      <w:pPr>
        <w:ind w:firstLine="5"/>
        <w:spacing w:after="0" w:line="238" w:lineRule="auto"/>
        <w:tabs>
          <w:tab w:leader="none" w:pos="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75" w:lineRule="exact"/>
        <w:rPr>
          <w:rFonts w:ascii="Times New Roman" w:cs="Times New Roman" w:eastAsia="Times New Roman" w:hAnsi="Times New Roman"/>
          <w:sz w:val="18"/>
          <w:szCs w:val="18"/>
          <w:color w:val="auto"/>
        </w:rPr>
      </w:pPr>
    </w:p>
    <w:p>
      <w:pPr>
        <w:ind w:left="240" w:hanging="235"/>
        <w:spacing w:after="0"/>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our discretion, by issuing to Ligand shares in the Company of equivalent value; and</w:t>
      </w:r>
    </w:p>
    <w:p>
      <w:pPr>
        <w:spacing w:after="0" w:line="94" w:lineRule="exact"/>
        <w:rPr>
          <w:rFonts w:ascii="Times New Roman" w:cs="Times New Roman" w:eastAsia="Times New Roman" w:hAnsi="Times New Roman"/>
          <w:sz w:val="18"/>
          <w:szCs w:val="18"/>
          <w:color w:val="auto"/>
        </w:rPr>
      </w:pPr>
    </w:p>
    <w:p>
      <w:pPr>
        <w:ind w:firstLine="5"/>
        <w:spacing w:after="0" w:line="238" w:lineRule="auto"/>
        <w:tabs>
          <w:tab w:leader="none" w:pos="2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2022 we paid the $2.0 million to Ligand and accounted for the $2.0 million payment at execution as selling, general and administrative expense in the consolidated statements of operations as the payment is related to a contract modification.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entered into a collaboration and license agreement (the “Nuance Agreement”) with Nuance Pharma effective June 9, 2021 (the “Effective Date”) under which we granted Nuance Pharma the exclusive rights to develop and commercialize ensifentrine in Greater China (China, Taiwan, Hong Kong and Macau). In return, we received an 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As of December 31, 2022, the $25.0 million cash payment and $15.0 million equity interest had been received and the holding in Nuance Biotech was recorded as Equity interest on the Consolidated Balance Sheet, included elsewhere in this Annual Report on Form 10-K. The Equity interest is recorded at cost as the Company has elected to use the measurement alternative for equity investments without readily determinable fair values. The Company will evaluate this investment for indicators of impairment quarterly. The Company did not identify events or changes in circumstances that may have a significant effect on the fair value of the investment during the year ended December 31, 2022.</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Nuance Pharma will be responsible for all costs related to clinical development and commercialization of ensifentrine in Greater China. In August 2022, Nuance Pharma, received clearance from China’s Center for Drug Evaluation to begin Phase 1 and Phase 3 studies with ensifentrine for COPD in mainland China.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6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reviewed the buy-back option and determined that because it is conditional on a third party we do not have the practical ability to exercise it and, accordingly, the contract is accounted for under ASC 606.</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transaction price at the Effective Date of the Nuance Agreement was $40.0 million consisting of the $25.0 million upfront cash payment and $15.0 million equity interest. Developmental and regulatory milestones,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manufacture and supply of ensifentrine drug product, were not included in the transaction price as we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 We have determined that the manufacturing and supply was not at a discount.</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determined that the license and the know how shared with Nuance Pharma constitutes functional intellectual property and that revenue relating to this should be recognized at a point in time. Consequently, we have determined that we fulfilled our obligations to Nuance Pharma when we delivered the know how that will allow Nuance Pharma to file an investigational new drug application in Greater China. We delivered this know how in the year ended December 31, 2021, and, as such, recorded the $40.0 million as revenue in the year then ended.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the Effective Date, $4.0 million of costs of obtaining the contract were recorded as a contract asset. In the year ended December 31, 2021, the entire cost was recognized as Selling, General and Administrative expense in the Consolidated Statement of Operations, in line with recognition of the revenue relating to the contract.</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April 13, 2022, we entered into an Agreement for the Manufacture and Supply of ensifentrine (“Nuance Supply Agreement”) with Nuance Pharma. We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We have determined we are acting as principal in relation to the manufacture and supply under the Agreement. In its capacity as principal, the Company will recognize the associated revenue on a gross basis. As of December 31, 2022, we have recognized $0.5 million in relation to the clinical supply of ensifentrine to Nuance Pharma.</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additional information regarding the Nuance Agreement, see Note 8 to our consolidated financial statements and related notes included elsewhere in this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July 29, 2016, as part of a private placement we issued warrants to investors. The warrant holders could subscribe for an ordinary share at a per share exercise price of £1.7238. They could also opt for a cashless exercise of their warrants whereby they could choose to exchange the warrants held for a reduced number of warrants exercisable at nil consideration.</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after a transaction, should the warrants have been exercisable for unlisted securities, the warrant holders were able to demand a cash payment instead of the delivery of the underlying securities. Accordingly, they were accounted for as a liability under ASC 480 “Distinguishing Liabilities from Equity” and recorded at fair value using the Black-Scholes valuation methodology, on recognition and at each reporting date. The warrants expired May 2,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November 2020, we and Verona Pharma Inc. entered into a term loan facility of up to $30.0 million with Silicon Valley Bank (the “Term Loan”). On October 14, 2022, we and Verona Pharma, Inc. entered into a term loan (the “Oxford Term Loan”) of up to $150.0 million with Oxford Finance Luxembourg which replaced the Company’s existing Term Loan. See “Indebtedness”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of America ("U.S. GAAP"). The preparation of these financial statements requires us to make estimates, judgments and assumptions that affect the reported amounts of assets and liabilities, disclosure of contingent liabilities as of the dates of the balance sheets and the reported amounts of expenses during the reporting periods. In accordance with U.S. GAAP, we evaluate our estimates and judgments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3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included elsewhere in this Annual Report, we believe that the following accounting policy is most critical to the judgments and estimates used in the preparation of our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Research and development (“R&amp;D”) costs are charged to the consolidated statements of operations and comprehensive loss, as incurred. We are required to estimate our expenses resulting from our obligation under contracts with vendors and consultants and clinical site agreements in connection with our R&amp;D efforts. The financial terms of these contracts are subject to negotiations which vary contract to contract and may result in payment flows that do not match the periods over which materials or services are provided under such contracts. Our objective is to reflect the appropriate clinical trial expenses in our financial statements by matching those expenses with the period in which services and efforts are expended. We account for these expenses according to the progress of the trials and other development activities measured by patient progression and the timing of various aspects of the trial. We also determine prepaid and accrual estimates through discussions with applicable personnel and outside service providers as to the progress of clinical trials, or other services completed. During the course of a clinical trial, we may adjust our rate of clinical trial expense recognition if actual results differ from its estimates. We make estimates of its prepaid and accrued expenses as of each balance sheet date in our financial statements based on facts and circumstances known at that time.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for any particular period. Our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82" w:lineRule="exact"/>
        <w:rPr>
          <w:sz w:val="20"/>
          <w:szCs w:val="20"/>
          <w:color w:val="auto"/>
        </w:rPr>
      </w:pPr>
    </w:p>
    <w:p>
      <w:pPr>
        <w:ind w:left="320" w:hanging="315"/>
        <w:spacing w:after="0" w:line="252" w:lineRule="auto"/>
        <w:tabs>
          <w:tab w:leader="none" w:pos="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to potentially commercialize any products for which we may obtain regulatory approval;</w:t>
      </w:r>
    </w:p>
    <w:p>
      <w:pPr>
        <w:spacing w:after="0" w:line="6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our DPI and pMDI formulations of ensifentrine and research and develop other formulations of ensifentrine;</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further clinical trials for ensifentrine for the treatment of acute COPD, cystic fibrosis (“CF”) or any other indication;</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progress pre-clinical studies relating to other potential indications of ensifentrine;</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8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94"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4" w:lineRule="exact"/>
        <w:rPr>
          <w:rFonts w:ascii="Times New Roman" w:cs="Times New Roman" w:eastAsia="Times New Roman" w:hAnsi="Times New Roman"/>
          <w:sz w:val="18"/>
          <w:szCs w:val="18"/>
          <w:color w:val="auto"/>
        </w:rPr>
      </w:pPr>
    </w:p>
    <w:p>
      <w:pPr>
        <w:ind w:left="320" w:hanging="315"/>
        <w:spacing w:after="0" w:line="238" w:lineRule="auto"/>
        <w:tabs>
          <w:tab w:leader="none" w:pos="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spacing w:after="0" w:line="75" w:lineRule="exact"/>
        <w:rPr>
          <w:rFonts w:ascii="Times New Roman" w:cs="Times New Roman" w:eastAsia="Times New Roman" w:hAnsi="Times New Roman"/>
          <w:sz w:val="18"/>
          <w:szCs w:val="18"/>
          <w:color w:val="auto"/>
        </w:rPr>
      </w:pPr>
    </w:p>
    <w:p>
      <w:pPr>
        <w:ind w:left="320" w:hanging="315"/>
        <w:spacing w:after="0" w:line="252" w:lineRule="auto"/>
        <w:tabs>
          <w:tab w:leader="none" w:pos="3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date, we have not generated revenue from the sale of any products. All revenue to date has been derived from the receipt of up-front proceeds and supply of ensifentrine under the Nuance Agreement.</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the future, we anticipate generating revenue from a combination of sales of our products, if approved, whether through our own or a third-party sales force, and license fees, milestone payments and royalties in connection with strategic collaborations regarding ensifentrine or other potential products. We expect that any revenue we generate will fluctuate from quarter to quarter. If we or our strategic partners fail to complete the development of ensifentrine in a timely manner or obtain regulatory approval for them, or if we fail to develop our own sales force or find one or more strategic partners for the commercialization of approved products, our ability to generate future revenue, and our financial condition and results of operations would be materially adversely affected.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 party costs for our research and development activities for ensifentrine. Personnel related costs include a share 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the Phase 3 ENHANCE program is nearing completion, we expect our research and development costs to decrease over the next several quarters until we add new compounds or develop ensifentrine further in other delivery methods or indications. Due to the nature of research and development, the expected costs are inherently uncertain and may vary significantly from our current expectations.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costs consist of salary and personnel related costs, including share based expense, expenses relating to operating as a public company, including professional fees, insurance, and commercial related costs, as well as other operating expenses.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commercial costs to increase as we continue to develop our commercial operations, prepare for a potential launch, and, in the event of successful regulatory approval, incur sales force, marketing and other launch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related costs. As we develop our knowledge of the market and refine our commercialization plans, expected costs may vary significantly from our current expectations.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income/(expense) are driven by interest income and expense, foreign exchange movements on cash and cash equivalents and taxes receivable, the U.K.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tax credits and other non-operating income and loss items.</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participate in the U.K. Small and Medium Enterprises R&amp;D tax relief program. The tax credits are calculated as a percentage of qualifying research and development expenditure and are payable in cash by the U.K. government to us. Credits recorded in the 2022 financial year are expected to be received in the 2023 financial year.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Kingdom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2022 and 2021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years ended December 31, 2022 and 2021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0"/>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8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w:t>
            </w: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(39,888)</w:t>
            </w:r>
          </w:p>
        </w:tc>
        <w:tc>
          <w:tcPr>
            <w:tcW w:w="0" w:type="dxa"/>
            <w:vAlign w:val="bottom"/>
          </w:tcPr>
          <w:p>
            <w:pPr>
              <w:spacing w:after="0"/>
              <w:rPr>
                <w:sz w:val="1"/>
                <w:szCs w:val="1"/>
                <w:color w:val="auto"/>
              </w:rPr>
            </w:pPr>
          </w:p>
        </w:tc>
      </w:tr>
      <w:tr>
        <w:trPr>
          <w:trHeight w:val="203"/>
        </w:trPr>
        <w:tc>
          <w:tcPr>
            <w:tcW w:w="6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(37,451)</w:t>
            </w: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80"/>
              <w:spacing w:after="0" w:line="207"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1"/>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Revenue was $0.5 million for the year ended December 31, 2022 compared to $40.0 million for the year ended December 31, 2021 a decrease of $39.5 million. The decrease is due to different revenue streams in each year with 2022 revenue related to sales of clinical supply materials to Nuance Pharma and 2021 revenue related to upfront consideration received under the Nuance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of $0.3 million for the year ended December 31, 2022 related to the manufacture of the clinical supply materials sold to Nuance Pharma.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Research and development costs were $49.3 million for the year ended December 31, 2022, compared to $79.4 million for the year ended December 31, 2021, a decrease of $30.1 million. This decrease was primarily due to a reduction in clinical trial and other development costs of $27.9 million as we were nearing completion of the ENHANCE studies at the end of 2022 and a $4.2 million decrease in share-based compensation charges.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costs were $26.6 million for the year ended December 31, 2022 compared to $33.9 million for the year ended December 31, 2021, a decrease of $7.3 million. This decrease was driven primarily by a $7.1 million decrease in share-based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w:t>
      </w:r>
    </w:p>
    <w:p>
      <w:pPr>
        <w:spacing w:after="0" w:line="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R&amp;D tax credit for the year ended December 31, 2022 was $9.6 million compared to a credit of $15.6 million for the year ended December 31, 2021, a decrease of $6.0 million. This decrease is attributable to our lower qualifying expenditure on research and development in 2022 compared to 2021.</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foreign exchange loss of $3.8 million in 2022 and gain of $0.2 million in 2021 relate to the foreign exchange movements on the cash held in pound sterling and our research and development tax credit, which is a receivable in pound sterling. In 2022, the pound sterling weakened against the U.S. dollar causing the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and 2021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0"/>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8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146,935</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Operating activities used $59.9 million of cash during the year ended December 31, 2022, primarily for clinical development costs related to the ENHANCE program, employee related expenses and a decrease in payables and accruals. Operating cash flows also included office operational expenses, recruiting and legal fees.</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Operating activities used $33.3 million of cash during the year ended December 31, 2021, primarily for clinical development costs related to the ENHANCE program, employee related expenses, $4.0 million commission paid to a financial advisor partially offset by the receipt of a $25.0 million net upfront payment related to our Nuance Agreement and an increase in payables and accruals. Operating cash flows also included office operational expenses, recruiting and legal fees.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For the year ended December 31, 2022, financing activities provided $140.8 million of net cash, related to $140.2 million net from a public offering, $3.9 million net from a new debt agreement with Oxford finance and termination of the SVB loan, $1.4 million of proceeds from share options offset by $4.7 million payments of withholding taxes from share-based awards.</w:t>
      </w:r>
    </w:p>
    <w:p>
      <w:pPr>
        <w:spacing w:after="0" w:line="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the year ended December 31, 2021, financing activities used $6.1 million of net cash, related to $6.8 million payments of withholding taxes from share-based awards offset by $0.7 million of proceeds from the ATM sales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To date, we have financed our operations primarily through the issuances of our equity securities, including warrants, from borrowings under the term loan facilities and from upfront payments received under the Nuance Agreement. See “Significant Agreements” and “Indebtedness” for additional information.</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incurred recurring losses since inception, including net losses of $68.7 million, and $55.6 million for the years ended December 31, 2022, and 2021, respectively. In addition, as of December 31, 2022, we had an accumulated deficit of $333.1 million. We expect to continue to generate operating losses for the foreseeable future.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2022 follow-on equity offering</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2022, we completed an upsized public offering of 14,260,000 ADSs, each representing eight of our ordinary shares, nominal value £0.05 per share, at a price to the public of $10.50 per ADS, which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exercise in full by the underwriters of their option to purchase an additional 1,860,000 ADSs. The aggregate net proceeds from the offering were $140.2 million after deducting underwriting discounts and offering expenses.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March 2021, 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 We provided Jefferies with customary indemnification rights, and Jefferies is entitled to a commission at a fixed commission rate of 3.0% of the gross proceeds.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During the year ended December 31, 2021, we sold 873,104 ordinary shares (equivalent to 109,138 ADSs) under the ATM Program, at an average price of approximately $0.86 per share (equivalent to $6.91 per ADS), raising aggregate net proceeds of $0.7 million after deducting issuance costs. As of December 31, 2021, $99.2 million of ordinary shares, in the form of ADSs, remained available for sale under the ATM Program.</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During the year ended December 31, 2022, we sold 80,696 ordinary shares (equivalent to 10,087 ADSs) under the ATM Program, at an average price of approximately $0.86 per share (equivalent to $6.86 per ADS), raising aggregate net proceeds of $0.1 million after deducting issuance costs. As of December 31, 2022, $99.2 million of ordinary shares, in the form of ADSs, remained available for sale under the ATM Program.</w:t>
      </w:r>
    </w:p>
    <w:p>
      <w:pPr>
        <w:spacing w:after="0" w:line="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Additionally, between January 1, 2023 and March 3, 2023, the Company sold 20,321,384 ordinary shares (equivalent to 2,540,173 ADSs) under the ATM Program, at an average price of approximately $2.88 per share (equivalent to $23.08 per ADS), raising aggregate net proceeds of $56.9 million after deducting issuance costs. As of March 3, 2023, there remained $40.6 million of ordinary shares, in the form of ADSs, available for sale under the ATM Program.</w:t>
      </w:r>
    </w:p>
    <w:p>
      <w:pPr>
        <w:spacing w:after="0" w:line="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no ongoing material financing commitments, such as lines of credit or guarantees, that are expected to affect our liquidity over the next five years, other than leases and the Oxford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8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November, 2020, we and Verona Pharma, Inc. (“Verona U.S.”, and together with us, the “Borrowers”) entered into the Term Loan facility of up to $30.0 million, consisting of term loan advances in an aggregate amount of $5.0 million funded at closing, a term loan advance available subject to certain terms and conditions in an aggregate amount of $10.0 million (the “Term B Loan”) and a term loan advance available subject to certain terms and conditions in an aggregate amount of $15.0 million (the “Term C Loan”), with Silicon Valley Bank (“SVB”), the proceeds of which will be used for general corporate and working capital purposes.</w:t>
      </w:r>
    </w:p>
    <w:p>
      <w:pPr>
        <w:spacing w:after="0" w:line="18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On October 14, 2022 (the “Effective Date”), we and Verona Pharma, Inc. (“Verona U.S.” and together with us, the “Borrowers”) entered into the Debt Facility with Oxford Finance Luxembourg S.À R.L. (“Oxford”) for an aggregate amount of up to $150.0 million (the “Oxford Term Loan”). The Oxford Term Loan provides for an initial term loan advance in an aggregate amount of $10.0 million to be funded on the Effective Date (the “Oxford Term A Loan”), and up to four additional term loan advances in an aggregate amount of $140.0 million, which are available as described below and subject to terms of the loan and security agreement (“Loan Agreement”). The proceeds from the Oxford Term Loan will be used for general corporate and working capital purposes, and a portion of the proceeds of the Oxford Term A Loan has been used to repay in full the existing outstanding indebtedness owed to SVB as discussed in Note 7 – Term Loan. The Oxford Term Loan has a maturity date of October 1, 2027.</w:t>
      </w:r>
    </w:p>
    <w:p>
      <w:pPr>
        <w:spacing w:after="0" w:line="16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four additional term loan advances under the Oxford Term Loan consists of a $10.0 million term loan advance (the “Oxford Term B Loan”) which is available at the option of Company from the Effective Date up to and including March 31, 2023; a $20.0 million term loan advance (the “Oxford Term C Loan”) available during the period commencing on the later of January 1, 2024 and the date on which we receive positive ENHANCE-1 data in the Phase 3 clinical trial for ensifentrine sufficient to support the submission of a New Drug Application (“NDA”) with the United States Food and Drug Administration (the “FDA”) for ensifentrine through and including March 29, 2024; a $60.0 million term loan advance (the “Oxford Term D Loan”) available during the period commencing on the later of October 1, 2024 and the date on which we receive final approval from the FDA for our NDA for ensifentrine up to and including December 31, 2024; and a $50.0 million term loan advance (the “Oxford Term E Loan”) available during the interest-only period at our request and at Oxford’s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3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Each advance under the Oxford Term Loan accrues interest at a floating per annum rate equal to (a) the greater of (i) the 1-Month CME Term SOFR reference rate on the last business day of the month that immediately precedes the month in which the interest will accrue and (ii) 2.38%, plus (b) 5.50% (the “Basic Rate”). In no event shall the Basic Rate (x) for the Term A Loan be less than 7.88% and (y) for each other term loan be less than the Basic Rate on the business day immediately prior to the funding date of such term loan. The Basic Rate for the Term A Loan for the period from the Effective Date through and including October 31, 2022 shall be 8.54205% and the Basic Rate for each Term Loan shall not increase by more than 2.00% above the applicable Basic Rate as of the funding date of each such term loan. The Oxford Term Loan provides for interest-only payments on a monthly basis until the payment date immediately preceding December 1, 2025, if the Term D Loan is not made, and December 1, 2026, if the Term D Loan is made. Thereafter, amortization payments will be payable monthly in equal installments of principal plus accrued interest.</w:t>
      </w:r>
    </w:p>
    <w:p>
      <w:pPr>
        <w:spacing w:after="0" w:line="6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Upon repayment, whether at maturity, upon acceleration or by prepayment or otherwise, we shall make a final payment to the lenders in an amount ranging from 1.30% to 3.00% of the aggregate principal balance, depending on the advances received under the Oxford Term Loan. We may prepay the Oxford Term Loan in full, or in part, in accordance with the terms of the Loan Agreement, which is subject to a prepayment fee of up to 2.00%, depending on the timing of the prepayment.</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Oxford Term Loan is secured by a lien on substantially all our assets, other than intellectual property, but including any rights to payments and proceeds from the sale, licensing or disposition of intellectual property. We have also granted Oxford a negative pledge with respect to our intellectual property. The Loan Agreement contains customary covenants and representations, including but not limited to financial reporting obligations and limitations on dividends, dispositions, indebtedness, collateral, investments, distributions, transfers, mergers or acquisitions, taxes, corporate changes, deposit accounts, transactions with affiliates and subsidiaries. The Loan Agreement also contains other customary provisions, such as expense reimbursement, non-disclosure obligations as well as indemnification rights for the benefit of Oxford.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2022, together with, expected cash receipts from U.K. tax credits and additional funding expected to become available under the Oxford Term Loan, will enable us to fund our planned operating expenses and capital expenditure requirements through at least the end of 2025, including the planned commercial launch of nebulized ensifentrine for COPD maintenance treatment in the U.S. Future advances under the Oxford Term Loan are contingent upon achievement of certain clinical and regulatory milestones and other specified conditions.</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may require additional capital to commercialize ensifentrine, to continue the clinical development of our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for ensifentrine or any future product candidates will depend on many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34" w:lineRule="exact"/>
        <w:rPr>
          <w:sz w:val="20"/>
          <w:szCs w:val="20"/>
          <w:color w:val="auto"/>
        </w:rPr>
      </w:pPr>
    </w:p>
    <w:p>
      <w:pPr>
        <w:ind w:firstLine="5"/>
        <w:spacing w:after="0" w:line="252" w:lineRule="auto"/>
        <w:tabs>
          <w:tab w:leader="none" w:pos="6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5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94" w:lineRule="exact"/>
        <w:rPr>
          <w:rFonts w:ascii="Times New Roman" w:cs="Times New Roman" w:eastAsia="Times New Roman" w:hAnsi="Times New Roman"/>
          <w:sz w:val="18"/>
          <w:szCs w:val="18"/>
          <w:color w:val="auto"/>
        </w:rPr>
      </w:pPr>
    </w:p>
    <w:p>
      <w:pPr>
        <w:ind w:firstLine="5"/>
        <w:spacing w:after="0" w:line="252" w:lineRule="auto"/>
        <w:tabs>
          <w:tab w:leader="none" w:pos="6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ensifentrine or any future product candidates;</w:t>
      </w:r>
    </w:p>
    <w:p>
      <w:pPr>
        <w:spacing w:after="0" w:line="5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or infringements raised by third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w:t>
      </w:r>
    </w:p>
    <w:p>
      <w:pPr>
        <w:spacing w:after="0" w:line="74" w:lineRule="exact"/>
        <w:rPr>
          <w:rFonts w:ascii="Times New Roman" w:cs="Times New Roman" w:eastAsia="Times New Roman" w:hAnsi="Times New Roman"/>
          <w:sz w:val="18"/>
          <w:szCs w:val="18"/>
          <w:color w:val="auto"/>
        </w:rPr>
      </w:pPr>
    </w:p>
    <w:p>
      <w:pPr>
        <w:ind w:firstLine="5"/>
        <w:spacing w:after="0" w:line="238" w:lineRule="auto"/>
        <w:tabs>
          <w:tab w:leader="none" w:pos="6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75"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94" w:lineRule="exact"/>
        <w:rPr>
          <w:rFonts w:ascii="Times New Roman" w:cs="Times New Roman" w:eastAsia="Times New Roman" w:hAnsi="Times New Roman"/>
          <w:sz w:val="18"/>
          <w:szCs w:val="18"/>
          <w:color w:val="auto"/>
        </w:rPr>
      </w:pPr>
    </w:p>
    <w:p>
      <w:pPr>
        <w:ind w:firstLine="5"/>
        <w:spacing w:after="0" w:line="238" w:lineRule="auto"/>
        <w:tabs>
          <w:tab w:leader="none" w:pos="6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75" w:lineRule="exact"/>
        <w:rPr>
          <w:rFonts w:ascii="Times New Roman" w:cs="Times New Roman" w:eastAsia="Times New Roman" w:hAnsi="Times New Roman"/>
          <w:sz w:val="18"/>
          <w:szCs w:val="18"/>
          <w:color w:val="auto"/>
        </w:rPr>
      </w:pPr>
    </w:p>
    <w:p>
      <w:pPr>
        <w:ind w:firstLine="5"/>
        <w:spacing w:after="0" w:line="252" w:lineRule="auto"/>
        <w:tabs>
          <w:tab w:leader="none" w:pos="6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we may derive either directly or in the form of royalty payments from future sales of ensifentrine or any future product candidates, if approved.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commercial revenue, if any, will be derived from sales of products that we do not expect to be commercially available for several years, if ever.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may need to obtain substantial additional funds to achieve our business objectives.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 discussion of pending and recently adopted accounting pronouncements, see Note 2 to our consolidated financial statements included elsewhere in this Annual Report on Form 10-K</w:t>
      </w:r>
    </w:p>
    <w:p>
      <w:pPr>
        <w:spacing w:after="0" w:line="1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otherwise required under this Item 7A.</w:t>
      </w:r>
    </w:p>
    <w:p>
      <w:pPr>
        <w:spacing w:after="0" w:line="15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required by this Item is set forth in the consolidated financial statements and notes as referenced in Item 15 of Part IV of this Annual Report.</w:t>
      </w: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2022, our disclosure controls and procedures were effective at the reasonable assurance level.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under the Exchange Act.</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2022, our internal control over financial reporting was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because we are a non-accelerated filer.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under the Exchange Act) that occurred during the fourth quarter of fiscal year ended December 31, 2022, that has materially affected, or is reasonably likely to materially affect, our internal control over financial reporting.</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1"/>
          <w:szCs w:val="21"/>
          <w:b w:val="1"/>
          <w:bCs w:val="1"/>
          <w:color w:val="auto"/>
        </w:rPr>
        <w:t>PART III</w:t>
      </w:r>
    </w:p>
    <w:p>
      <w:pPr>
        <w:spacing w:after="0" w:line="20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www.veronapharma.com in the “Investors”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w:t>
      </w:r>
    </w:p>
    <w:p>
      <w:pPr>
        <w:spacing w:after="0" w:line="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for the 2023 Annual General Meeting of Stockholders and is incorporated herein by reference to such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2023 Annual General Meeting of Shareholders and is incorporated herein by reference to such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2023 Annual General Meeting of Shareholders and is incorporated herein by reference to such proxy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2023 Annual General Meeting of Shareholders and is incorporated herein by reference to such proxy statement.</w:t>
      </w:r>
    </w:p>
    <w:p>
      <w:pPr>
        <w:spacing w:after="0" w:line="16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2023 Annual General Meeting of Shareholders and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101" w:name="page102"/>
    <w:bookmarkEnd w:id="101"/>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w:t>
      </w:r>
      <w:r>
        <w:rPr>
          <w:rFonts w:ascii="Times New Roman" w:cs="Times New Roman" w:eastAsia="Times New Roman" w:hAnsi="Times New Roman"/>
          <w:sz w:val="18"/>
          <w:szCs w:val="18"/>
          <w:color w:val="auto"/>
        </w:rPr>
        <w: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(a)(1)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and the Report of Independent Registered Accounting Firm are filed as part of this Annual Report: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 w:type="dxa"/>
            <w:vAlign w:val="bottom"/>
            <w:shd w:val="clear" w:color="auto" w:fill="CCEEFF"/>
          </w:tcPr>
          <w:p>
            <w:pPr>
              <w:spacing w:after="0"/>
              <w:rPr>
                <w:sz w:val="24"/>
                <w:szCs w:val="24"/>
                <w:color w:val="auto"/>
              </w:rPr>
            </w:pPr>
          </w:p>
        </w:tc>
        <w:tc>
          <w:tcPr>
            <w:tcW w:w="9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876)</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5"/>
              </w:rPr>
              <w:t>F-2</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0000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116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CCEEFF"/>
            </w:tcBorders>
            <w:shd w:val="clear" w:color="auto" w:fill="CCEEFF"/>
          </w:tcPr>
          <w:p>
            <w:pPr>
              <w:spacing w:after="0"/>
              <w:rPr>
                <w:sz w:val="10"/>
                <w:szCs w:val="10"/>
                <w:color w:val="auto"/>
              </w:rPr>
            </w:pPr>
          </w:p>
        </w:tc>
      </w:tr>
      <w:tr>
        <w:trPr>
          <w:trHeight w:val="289"/>
        </w:trPr>
        <w:tc>
          <w:tcPr>
            <w:tcW w:w="2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5"/>
              </w:rPr>
              <w:t>F-4</w:t>
            </w:r>
          </w:p>
        </w:tc>
      </w:tr>
      <w:tr>
        <w:trPr>
          <w:trHeight w:val="124"/>
        </w:trPr>
        <w:tc>
          <w:tcPr>
            <w:tcW w:w="20" w:type="dxa"/>
            <w:vAlign w:val="bottom"/>
          </w:tcPr>
          <w:p>
            <w:pPr>
              <w:spacing w:after="0"/>
              <w:rPr>
                <w:sz w:val="10"/>
                <w:szCs w:val="10"/>
                <w:color w:val="auto"/>
              </w:rPr>
            </w:pPr>
          </w:p>
        </w:tc>
        <w:tc>
          <w:tcPr>
            <w:tcW w:w="306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89"/>
        </w:trPr>
        <w:tc>
          <w:tcPr>
            <w:tcW w:w="20" w:type="dxa"/>
            <w:vAlign w:val="bottom"/>
            <w:shd w:val="clear" w:color="auto" w:fill="CCEEFF"/>
          </w:tcPr>
          <w:p>
            <w:pPr>
              <w:spacing w:after="0"/>
              <w:rPr>
                <w:sz w:val="24"/>
                <w:szCs w:val="24"/>
                <w:color w:val="auto"/>
              </w:rPr>
            </w:pPr>
          </w:p>
        </w:tc>
        <w:tc>
          <w:tcPr>
            <w:tcW w:w="9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2022 and 2021</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5"/>
              </w:rPr>
              <w:t>F-5</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0000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1160" w:type="dxa"/>
            <w:vAlign w:val="bottom"/>
            <w:tcBorders>
              <w:top w:val="single" w:sz="8" w:color="0000FF"/>
            </w:tcBorders>
            <w:shd w:val="clear" w:color="auto" w:fill="CCEEFF"/>
          </w:tcPr>
          <w:p>
            <w:pPr>
              <w:spacing w:after="0"/>
              <w:rPr>
                <w:sz w:val="10"/>
                <w:szCs w:val="10"/>
                <w:color w:val="auto"/>
              </w:rPr>
            </w:pPr>
          </w:p>
        </w:tc>
        <w:tc>
          <w:tcPr>
            <w:tcW w:w="1480" w:type="dxa"/>
            <w:vAlign w:val="bottom"/>
            <w:tcBorders>
              <w:top w:val="single" w:sz="8" w:color="0000FF"/>
            </w:tcBorders>
            <w:shd w:val="clear" w:color="auto" w:fill="CCEEFF"/>
          </w:tcPr>
          <w:p>
            <w:pPr>
              <w:spacing w:after="0"/>
              <w:rPr>
                <w:sz w:val="10"/>
                <w:szCs w:val="10"/>
                <w:color w:val="auto"/>
              </w:rPr>
            </w:pPr>
          </w:p>
        </w:tc>
        <w:tc>
          <w:tcPr>
            <w:tcW w:w="28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CCEEFF"/>
            </w:tcBorders>
            <w:shd w:val="clear" w:color="auto" w:fill="CCEEFF"/>
          </w:tcPr>
          <w:p>
            <w:pPr>
              <w:spacing w:after="0"/>
              <w:rPr>
                <w:sz w:val="10"/>
                <w:szCs w:val="10"/>
                <w:color w:val="auto"/>
              </w:rPr>
            </w:pPr>
          </w:p>
        </w:tc>
      </w:tr>
      <w:tr>
        <w:trPr>
          <w:trHeight w:val="289"/>
        </w:trPr>
        <w:tc>
          <w:tcPr>
            <w:tcW w:w="2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2022 and 2021</w:t>
            </w: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5"/>
              </w:rPr>
              <w:t>F-6</w:t>
            </w:r>
          </w:p>
        </w:tc>
      </w:tr>
      <w:tr>
        <w:trPr>
          <w:trHeight w:val="124"/>
        </w:trPr>
        <w:tc>
          <w:tcPr>
            <w:tcW w:w="20" w:type="dxa"/>
            <w:vAlign w:val="bottom"/>
          </w:tcPr>
          <w:p>
            <w:pPr>
              <w:spacing w:after="0"/>
              <w:rPr>
                <w:sz w:val="10"/>
                <w:szCs w:val="10"/>
                <w:color w:val="auto"/>
              </w:rPr>
            </w:pPr>
          </w:p>
        </w:tc>
        <w:tc>
          <w:tcPr>
            <w:tcW w:w="306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89"/>
        </w:trPr>
        <w:tc>
          <w:tcPr>
            <w:tcW w:w="20" w:type="dxa"/>
            <w:vAlign w:val="bottom"/>
            <w:shd w:val="clear" w:color="auto" w:fill="CCEEFF"/>
          </w:tcPr>
          <w:p>
            <w:pPr>
              <w:spacing w:after="0"/>
              <w:rPr>
                <w:sz w:val="24"/>
                <w:szCs w:val="24"/>
                <w:color w:val="auto"/>
              </w:rPr>
            </w:pPr>
          </w:p>
        </w:tc>
        <w:tc>
          <w:tcPr>
            <w:tcW w:w="9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2021</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5"/>
              </w:rPr>
              <w:t>F-7</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0000FF"/>
            </w:tcBorders>
            <w:shd w:val="clear" w:color="auto" w:fill="CCEEFF"/>
          </w:tcPr>
          <w:p>
            <w:pPr>
              <w:spacing w:after="0"/>
              <w:rPr>
                <w:sz w:val="10"/>
                <w:szCs w:val="10"/>
                <w:color w:val="auto"/>
              </w:rPr>
            </w:pPr>
          </w:p>
        </w:tc>
        <w:tc>
          <w:tcPr>
            <w:tcW w:w="600" w:type="dxa"/>
            <w:vAlign w:val="bottom"/>
            <w:tcBorders>
              <w:top w:val="single" w:sz="8" w:color="0000FF"/>
            </w:tcBorders>
            <w:shd w:val="clear" w:color="auto" w:fill="CCEEFF"/>
          </w:tcPr>
          <w:p>
            <w:pPr>
              <w:spacing w:after="0"/>
              <w:rPr>
                <w:sz w:val="10"/>
                <w:szCs w:val="10"/>
                <w:color w:val="auto"/>
              </w:rPr>
            </w:pPr>
          </w:p>
        </w:tc>
        <w:tc>
          <w:tcPr>
            <w:tcW w:w="1160" w:type="dxa"/>
            <w:vAlign w:val="bottom"/>
            <w:tcBorders>
              <w:top w:val="single" w:sz="8" w:color="0000FF"/>
            </w:tcBorders>
            <w:shd w:val="clear" w:color="auto" w:fill="CCEEFF"/>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CCEEFF"/>
            </w:tcBorders>
            <w:shd w:val="clear" w:color="auto" w:fill="CCEEFF"/>
          </w:tcPr>
          <w:p>
            <w:pPr>
              <w:spacing w:after="0"/>
              <w:rPr>
                <w:sz w:val="10"/>
                <w:szCs w:val="10"/>
                <w:color w:val="auto"/>
              </w:rPr>
            </w:pPr>
          </w:p>
        </w:tc>
      </w:tr>
      <w:tr>
        <w:trPr>
          <w:trHeight w:val="289"/>
        </w:trPr>
        <w:tc>
          <w:tcPr>
            <w:tcW w:w="2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(a)(2) Financial Statement Schedules.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w:t>
      </w:r>
    </w:p>
    <w:p>
      <w:pPr>
        <w:sectPr>
          <w:pgSz w:w="11900" w:h="16949" w:orient="portrait"/>
          <w:cols w:equalWidth="0" w:num="1">
            <w:col w:w="11240"/>
          </w:cols>
          <w:pgMar w:left="320" w:top="1382" w:right="339" w:bottom="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or the notes thereto.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(a)(3) Exhibits.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ind w:left="20"/>
        <w:spacing w:after="0"/>
        <w:tabs>
          <w:tab w:leader="none" w:pos="110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Exhibit Description</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43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6"/>
              </w:rPr>
            </w:pPr>
            <w:hyperlink r:id="rId123">
              <w:r>
                <w:rPr>
                  <w:rFonts w:ascii="Times New Roman" w:cs="Times New Roman" w:eastAsia="Times New Roman" w:hAnsi="Times New Roman"/>
                  <w:sz w:val="18"/>
                  <w:szCs w:val="18"/>
                  <w:color w:val="0000FF"/>
                  <w:w w:val="96"/>
                </w:rPr>
                <w:t>Articles of Association, as amended and as currently in effect</w:t>
              </w:r>
            </w:hyperlink>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1360" w:type="dxa"/>
            <w:vAlign w:val="bottom"/>
            <w:gridSpan w:val="3"/>
            <w:vMerge w:val="restart"/>
          </w:tcPr>
          <w:p>
            <w:pPr>
              <w:spacing w:after="0"/>
              <w:rPr>
                <w:rFonts w:ascii="Times New Roman" w:cs="Times New Roman" w:eastAsia="Times New Roman" w:hAnsi="Times New Roman"/>
                <w:sz w:val="18"/>
                <w:szCs w:val="18"/>
                <w:color w:val="0000FF"/>
                <w:w w:val="95"/>
              </w:rPr>
            </w:pPr>
            <w:hyperlink r:id="rId124">
              <w:r>
                <w:rPr>
                  <w:rFonts w:ascii="Times New Roman" w:cs="Times New Roman" w:eastAsia="Times New Roman" w:hAnsi="Times New Roman"/>
                  <w:sz w:val="18"/>
                  <w:szCs w:val="18"/>
                  <w:color w:val="0000FF"/>
                  <w:w w:val="95"/>
                </w:rPr>
                <w:t>Deposit Agreement</w:t>
              </w:r>
            </w:hyperlink>
          </w:p>
        </w:tc>
        <w:tc>
          <w:tcPr>
            <w:tcW w:w="3080" w:type="dxa"/>
            <w:vAlign w:val="bottom"/>
            <w:gridSpan w:val="1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tcBorders>
              <w:bottom w:val="single" w:sz="8" w:color="0000FF"/>
            </w:tcBorders>
            <w:gridSpan w:val="3"/>
            <w:vMerge w:val="continue"/>
          </w:tcPr>
          <w:p>
            <w:pPr>
              <w:spacing w:after="0"/>
              <w:rPr>
                <w:sz w:val="24"/>
                <w:szCs w:val="24"/>
                <w:color w:val="auto"/>
              </w:rPr>
            </w:pPr>
          </w:p>
        </w:tc>
        <w:tc>
          <w:tcPr>
            <w:tcW w:w="308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w w:val="96"/>
              </w:rPr>
            </w:pPr>
            <w:hyperlink r:id="rId124">
              <w:r>
                <w:rPr>
                  <w:rFonts w:ascii="Times New Roman" w:cs="Times New Roman" w:eastAsia="Times New Roman" w:hAnsi="Times New Roman"/>
                  <w:sz w:val="18"/>
                  <w:szCs w:val="18"/>
                  <w:color w:val="0000FF"/>
                  <w:w w:val="96"/>
                </w:rPr>
                <w:t>Form of American Depositary Receipt (included in Exhibit 4.1)</w:t>
              </w:r>
            </w:hyperlink>
          </w:p>
        </w:tc>
        <w:tc>
          <w:tcPr>
            <w:tcW w:w="0" w:type="dxa"/>
            <w:vAlign w:val="bottom"/>
          </w:tcPr>
          <w:p>
            <w:pPr>
              <w:spacing w:after="0"/>
              <w:rPr>
                <w:sz w:val="1"/>
                <w:szCs w:val="1"/>
                <w:color w:val="auto"/>
              </w:rPr>
            </w:pPr>
          </w:p>
        </w:tc>
      </w:tr>
      <w:tr>
        <w:trPr>
          <w:trHeight w:val="29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4440" w:type="dxa"/>
            <w:vAlign w:val="bottom"/>
            <w:tcBorders>
              <w:bottom w:val="single" w:sz="8" w:color="0000FF"/>
            </w:tcBorders>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Warrant issued to each of the investors named in</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tcBorders>
              <w:top w:val="single" w:sz="8" w:color="0000FF"/>
              <w:bottom w:val="single" w:sz="8" w:color="0000FF"/>
            </w:tcBorders>
            <w:gridSpan w:val="2"/>
          </w:tcPr>
          <w:p>
            <w:pPr>
              <w:spacing w:after="0" w:line="151"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Schedule A thereto</w:t>
              </w:r>
            </w:hyperlink>
          </w:p>
        </w:tc>
        <w:tc>
          <w:tcPr>
            <w:tcW w:w="26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Warrant Instrument issued to NPlus1 Singer LLP</w:t>
              </w:r>
            </w:hyperlink>
          </w:p>
        </w:tc>
        <w:tc>
          <w:tcPr>
            <w:tcW w:w="0" w:type="dxa"/>
            <w:vAlign w:val="bottom"/>
          </w:tcPr>
          <w:p>
            <w:pPr>
              <w:spacing w:after="0"/>
              <w:rPr>
                <w:sz w:val="1"/>
                <w:szCs w:val="1"/>
                <w:color w:val="auto"/>
              </w:rPr>
            </w:pPr>
          </w:p>
        </w:tc>
      </w:tr>
      <w:tr>
        <w:trPr>
          <w:trHeight w:val="289"/>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4.4</w:t>
            </w: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1740" w:type="dxa"/>
            <w:vAlign w:val="bottom"/>
            <w:tcBorders>
              <w:top w:val="single" w:sz="8" w:color="0000FF"/>
            </w:tcBorders>
            <w:gridSpan w:val="5"/>
            <w:vMerge w:val="restart"/>
          </w:tcPr>
          <w:p>
            <w:pPr>
              <w:spacing w:after="0"/>
              <w:rPr>
                <w:rFonts w:ascii="Times New Roman" w:cs="Times New Roman" w:eastAsia="Times New Roman" w:hAnsi="Times New Roman"/>
                <w:sz w:val="18"/>
                <w:szCs w:val="18"/>
                <w:color w:val="0000FF"/>
                <w:w w:val="96"/>
              </w:rPr>
            </w:pPr>
            <w:hyperlink r:id="rId127">
              <w:r>
                <w:rPr>
                  <w:rFonts w:ascii="Times New Roman" w:cs="Times New Roman" w:eastAsia="Times New Roman" w:hAnsi="Times New Roman"/>
                  <w:sz w:val="18"/>
                  <w:szCs w:val="18"/>
                  <w:color w:val="0000FF"/>
                  <w:w w:val="96"/>
                </w:rPr>
                <w:t>Description of Securities</w:t>
              </w:r>
            </w:hyperlink>
          </w:p>
        </w:tc>
        <w:tc>
          <w:tcPr>
            <w:tcW w:w="1680" w:type="dxa"/>
            <w:vAlign w:val="bottom"/>
            <w:tcBorders>
              <w:top w:val="single" w:sz="8" w:color="0000FF"/>
            </w:tcBorders>
            <w:vMerge w:val="restart"/>
          </w:tcPr>
          <w:p>
            <w:pPr>
              <w:spacing w:after="0"/>
              <w:rPr>
                <w:sz w:val="10"/>
                <w:szCs w:val="10"/>
                <w:color w:val="auto"/>
              </w:rPr>
            </w:pPr>
          </w:p>
        </w:tc>
        <w:tc>
          <w:tcPr>
            <w:tcW w:w="1020" w:type="dxa"/>
            <w:vAlign w:val="bottom"/>
            <w:gridSpan w:val="1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9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tcBorders>
              <w:bottom w:val="single" w:sz="8" w:color="0000FF"/>
            </w:tcBorders>
            <w:gridSpan w:val="5"/>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020" w:type="dxa"/>
            <w:vAlign w:val="bottom"/>
            <w:gridSpan w:val="1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Registration Rights Agreement, dated July 29, 2016, by and</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w:t>
            </w:r>
          </w:p>
        </w:tc>
        <w:tc>
          <w:tcPr>
            <w:tcW w:w="418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among Verona Pharma plc and the investors set forth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Registration Rights Agreement, dated July 16, 2020, by and</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4180" w:type="dxa"/>
            <w:vAlign w:val="bottom"/>
            <w:tcBorders>
              <w:top w:val="single" w:sz="8" w:color="0000FF"/>
              <w:bottom w:val="single" w:sz="8" w:color="0000FF"/>
            </w:tcBorders>
            <w:gridSpan w:val="12"/>
          </w:tcPr>
          <w:p>
            <w:pPr>
              <w:spacing w:after="0" w:line="151"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among Verona Pharma plc and the investors set forth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Intellectual Property Assignment and Licence Agreement</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10"/>
          </w:tcPr>
          <w:p>
            <w:pPr>
              <w:spacing w:after="0" w:line="151"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between Vernalis Development Limited and Rhinopharma</w:t>
              </w:r>
            </w:hyperlink>
          </w:p>
        </w:tc>
        <w:tc>
          <w:tcPr>
            <w:tcW w:w="2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00" w:type="dxa"/>
            <w:vAlign w:val="bottom"/>
          </w:tcPr>
          <w:p>
            <w:pPr>
              <w:spacing w:after="0"/>
              <w:rPr>
                <w:sz w:val="14"/>
                <w:szCs w:val="14"/>
                <w:color w:val="auto"/>
              </w:rPr>
            </w:pPr>
          </w:p>
        </w:tc>
        <w:tc>
          <w:tcPr>
            <w:tcW w:w="4440" w:type="dxa"/>
            <w:vAlign w:val="bottom"/>
            <w:gridSpan w:val="18"/>
          </w:tcPr>
          <w:p>
            <w:pPr>
              <w:spacing w:after="0" w:line="163"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Limited, as predecessor to Verona Pharma plc, dated February</w:t>
              </w:r>
            </w:hyperlink>
          </w:p>
        </w:tc>
        <w:tc>
          <w:tcPr>
            <w:tcW w:w="0" w:type="dxa"/>
            <w:vAlign w:val="bottom"/>
          </w:tcPr>
          <w:p>
            <w:pPr>
              <w:spacing w:after="0"/>
              <w:rPr>
                <w:sz w:val="1"/>
                <w:szCs w:val="1"/>
                <w:color w:val="auto"/>
              </w:rPr>
            </w:pPr>
          </w:p>
        </w:tc>
      </w:tr>
      <w:tr>
        <w:trPr>
          <w:trHeight w:val="15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10.3.1†</w:t>
            </w:r>
          </w:p>
        </w:tc>
        <w:tc>
          <w:tcPr>
            <w:tcW w:w="520" w:type="dxa"/>
            <w:vAlign w:val="bottom"/>
            <w:tcBorders>
              <w:top w:val="single" w:sz="8" w:color="0000FF"/>
              <w:bottom w:val="single" w:sz="8" w:color="0000FF"/>
            </w:tcBorders>
          </w:tcPr>
          <w:p>
            <w:pPr>
              <w:spacing w:after="0" w:line="151"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7, 2005</w:t>
              </w:r>
            </w:hyperlink>
          </w:p>
        </w:tc>
        <w:tc>
          <w:tcPr>
            <w:tcW w:w="8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Agreement by and between Verona Pharma plc</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10.3.2</w:t>
            </w:r>
          </w:p>
        </w:tc>
        <w:tc>
          <w:tcPr>
            <w:tcW w:w="4200" w:type="dxa"/>
            <w:vAlign w:val="bottom"/>
            <w:tcBorders>
              <w:top w:val="single" w:sz="8" w:color="0000FF"/>
              <w:bottom w:val="single" w:sz="8" w:color="0000FF"/>
            </w:tcBorders>
            <w:gridSpan w:val="13"/>
          </w:tcPr>
          <w:p>
            <w:pPr>
              <w:spacing w:after="0" w:line="151"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and Ligand UK Development Limited dated March 23, 2022</w:t>
              </w:r>
            </w:hyperlink>
          </w:p>
        </w:tc>
        <w:tc>
          <w:tcPr>
            <w:tcW w:w="40" w:type="dxa"/>
            <w:vAlign w:val="bottom"/>
            <w:tcBorders>
              <w:bottom w:val="single" w:sz="8" w:color="0000FF"/>
            </w:tcBorders>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00" w:type="dxa"/>
            <w:vAlign w:val="bottom"/>
            <w:vMerge w:val="continue"/>
          </w:tcPr>
          <w:p>
            <w:pPr>
              <w:spacing w:after="0"/>
              <w:rPr>
                <w:sz w:val="11"/>
                <w:szCs w:val="11"/>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Renewal Agreement to Lease by and between the Verona</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1"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Pharma plc and Regus Management (UK) Limited dated</w:t>
              </w:r>
            </w:hyperlink>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10.4.3</w:t>
            </w:r>
          </w:p>
        </w:tc>
        <w:tc>
          <w:tcPr>
            <w:tcW w:w="1580" w:type="dxa"/>
            <w:vAlign w:val="bottom"/>
            <w:tcBorders>
              <w:top w:val="single" w:sz="8" w:color="0000FF"/>
              <w:bottom w:val="single" w:sz="8" w:color="0000FF"/>
            </w:tcBorders>
            <w:gridSpan w:val="4"/>
          </w:tcPr>
          <w:p>
            <w:pPr>
              <w:spacing w:after="0" w:line="164" w:lineRule="exact"/>
              <w:rPr>
                <w:rFonts w:ascii="Times New Roman" w:cs="Times New Roman" w:eastAsia="Times New Roman" w:hAnsi="Times New Roman"/>
                <w:sz w:val="18"/>
                <w:szCs w:val="18"/>
                <w:color w:val="0000FF"/>
                <w:w w:val="95"/>
              </w:rPr>
            </w:pPr>
            <w:hyperlink r:id="rId132">
              <w:r>
                <w:rPr>
                  <w:rFonts w:ascii="Times New Roman" w:cs="Times New Roman" w:eastAsia="Times New Roman" w:hAnsi="Times New Roman"/>
                  <w:sz w:val="18"/>
                  <w:szCs w:val="18"/>
                  <w:color w:val="0000FF"/>
                  <w:w w:val="95"/>
                </w:rPr>
                <w:t>September 16, 2017#1</w:t>
              </w:r>
            </w:hyperlink>
          </w:p>
        </w:tc>
        <w:tc>
          <w:tcPr>
            <w:tcW w:w="2380" w:type="dxa"/>
            <w:vAlign w:val="bottom"/>
            <w:tcBorders>
              <w:top w:val="single" w:sz="8" w:color="0000FF"/>
            </w:tcBorders>
            <w:gridSpan w:val="3"/>
          </w:tcPr>
          <w:p>
            <w:pPr>
              <w:spacing w:after="0"/>
              <w:rPr>
                <w:sz w:val="14"/>
                <w:szCs w:val="14"/>
                <w:color w:val="auto"/>
              </w:rPr>
            </w:pPr>
          </w:p>
        </w:tc>
        <w:tc>
          <w:tcPr>
            <w:tcW w:w="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Renewal Agreement to Lease by and between the Verona</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1"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Pharma plc and Regus Management (UK) Limited dated</w:t>
              </w:r>
            </w:hyperlink>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10.4.4</w:t>
            </w:r>
          </w:p>
        </w:tc>
        <w:tc>
          <w:tcPr>
            <w:tcW w:w="1580" w:type="dxa"/>
            <w:vAlign w:val="bottom"/>
            <w:tcBorders>
              <w:top w:val="single" w:sz="8" w:color="0000FF"/>
              <w:bottom w:val="single" w:sz="8" w:color="0000FF"/>
            </w:tcBorders>
            <w:gridSpan w:val="4"/>
          </w:tcPr>
          <w:p>
            <w:pPr>
              <w:spacing w:after="0" w:line="164" w:lineRule="exact"/>
              <w:rPr>
                <w:rFonts w:ascii="Times New Roman" w:cs="Times New Roman" w:eastAsia="Times New Roman" w:hAnsi="Times New Roman"/>
                <w:sz w:val="18"/>
                <w:szCs w:val="18"/>
                <w:color w:val="0000FF"/>
                <w:w w:val="95"/>
              </w:rPr>
            </w:pPr>
            <w:hyperlink r:id="rId133">
              <w:r>
                <w:rPr>
                  <w:rFonts w:ascii="Times New Roman" w:cs="Times New Roman" w:eastAsia="Times New Roman" w:hAnsi="Times New Roman"/>
                  <w:sz w:val="18"/>
                  <w:szCs w:val="18"/>
                  <w:color w:val="0000FF"/>
                  <w:w w:val="95"/>
                </w:rPr>
                <w:t>September 16, 2017#2</w:t>
              </w:r>
            </w:hyperlink>
          </w:p>
        </w:tc>
        <w:tc>
          <w:tcPr>
            <w:tcW w:w="2380" w:type="dxa"/>
            <w:vAlign w:val="bottom"/>
            <w:tcBorders>
              <w:top w:val="single" w:sz="8" w:color="0000FF"/>
            </w:tcBorders>
            <w:gridSpan w:val="3"/>
          </w:tcPr>
          <w:p>
            <w:pPr>
              <w:spacing w:after="0"/>
              <w:rPr>
                <w:sz w:val="14"/>
                <w:szCs w:val="14"/>
                <w:color w:val="auto"/>
              </w:rPr>
            </w:pPr>
          </w:p>
        </w:tc>
        <w:tc>
          <w:tcPr>
            <w:tcW w:w="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4440" w:type="dxa"/>
            <w:vAlign w:val="bottom"/>
            <w:gridSpan w:val="18"/>
            <w:vMerge w:val="restart"/>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Renewal Agreement to Lease by and between the Verona</w:t>
              </w:r>
            </w:hyperlink>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4440" w:type="dxa"/>
            <w:vAlign w:val="bottom"/>
            <w:gridSpan w:val="1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00" w:type="dxa"/>
            <w:vAlign w:val="bottom"/>
          </w:tcPr>
          <w:p>
            <w:pPr>
              <w:spacing w:after="0"/>
              <w:rPr>
                <w:sz w:val="13"/>
                <w:szCs w:val="13"/>
                <w:color w:val="auto"/>
              </w:rPr>
            </w:pPr>
          </w:p>
        </w:tc>
        <w:tc>
          <w:tcPr>
            <w:tcW w:w="4000" w:type="dxa"/>
            <w:vAlign w:val="bottom"/>
            <w:tcBorders>
              <w:top w:val="single" w:sz="8" w:color="0000FF"/>
            </w:tcBorders>
            <w:gridSpan w:val="8"/>
          </w:tcPr>
          <w:p>
            <w:pPr>
              <w:spacing w:after="0" w:line="151"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Pharma plc and Regus Management (UK) Limited dated</w:t>
              </w:r>
            </w:hyperlink>
          </w:p>
        </w:tc>
        <w:tc>
          <w:tcPr>
            <w:tcW w:w="44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10.4.5</w:t>
            </w:r>
          </w:p>
        </w:tc>
        <w:tc>
          <w:tcPr>
            <w:tcW w:w="3960" w:type="dxa"/>
            <w:vAlign w:val="bottom"/>
            <w:tcBorders>
              <w:top w:val="single" w:sz="8" w:color="0000FF"/>
            </w:tcBorders>
            <w:gridSpan w:val="7"/>
          </w:tcPr>
          <w:p>
            <w:pPr>
              <w:spacing w:after="0" w:line="164"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September 16, 2017#3</w:t>
              </w:r>
            </w:hyperlink>
          </w:p>
        </w:tc>
        <w:tc>
          <w:tcPr>
            <w:tcW w:w="4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100" w:type="dxa"/>
            <w:vAlign w:val="bottom"/>
            <w:vMerge w:val="continue"/>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3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Incorporated by Reference to Filings Indicated</w:t>
            </w:r>
          </w:p>
        </w:tc>
        <w:tc>
          <w:tcPr>
            <w:tcW w:w="720" w:type="dxa"/>
            <w:vAlign w:val="bottom"/>
            <w:tcBorders>
              <w:bottom w:val="single" w:sz="8" w:color="auto"/>
            </w:tcBorders>
          </w:tcPr>
          <w:p>
            <w:pPr>
              <w:spacing w:after="0"/>
              <w:rPr>
                <w:sz w:val="19"/>
                <w:szCs w:val="19"/>
                <w:color w:val="auto"/>
              </w:rPr>
            </w:pPr>
          </w:p>
        </w:tc>
      </w:tr>
      <w:tr>
        <w:trPr>
          <w:trHeight w:val="400"/>
        </w:trPr>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w:t>
            </w:r>
          </w:p>
        </w:tc>
      </w:tr>
      <w:tr>
        <w:trPr>
          <w:trHeight w:val="179"/>
        </w:trPr>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w w:val="94"/>
              </w:rPr>
              <w:t>Furnished</w:t>
            </w:r>
          </w:p>
        </w:tc>
      </w:tr>
      <w:tr>
        <w:trPr>
          <w:trHeight w:val="22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Form</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 No.</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Exhibit No.</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Filing date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r>
      <w:tr>
        <w:trPr>
          <w:trHeight w:val="433"/>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12/30/2020</w:t>
            </w:r>
          </w:p>
        </w:tc>
        <w:tc>
          <w:tcPr>
            <w:tcW w:w="720" w:type="dxa"/>
            <w:vAlign w:val="bottom"/>
          </w:tcPr>
          <w:p>
            <w:pPr>
              <w:spacing w:after="0"/>
              <w:rPr>
                <w:sz w:val="24"/>
                <w:szCs w:val="24"/>
                <w:color w:val="auto"/>
              </w:rPr>
            </w:pPr>
          </w:p>
        </w:tc>
      </w:tr>
      <w:tr>
        <w:trPr>
          <w:trHeight w:val="433"/>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2/27/2018</w:t>
            </w:r>
          </w:p>
        </w:tc>
        <w:tc>
          <w:tcPr>
            <w:tcW w:w="720" w:type="dxa"/>
            <w:vAlign w:val="bottom"/>
          </w:tcPr>
          <w:p>
            <w:pPr>
              <w:spacing w:after="0"/>
              <w:rPr>
                <w:sz w:val="24"/>
                <w:szCs w:val="24"/>
                <w:color w:val="auto"/>
              </w:rPr>
            </w:pPr>
          </w:p>
        </w:tc>
      </w:tr>
      <w:tr>
        <w:trPr>
          <w:trHeight w:val="433"/>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2/27/2018</w:t>
            </w:r>
          </w:p>
        </w:tc>
        <w:tc>
          <w:tcPr>
            <w:tcW w:w="720" w:type="dxa"/>
            <w:vAlign w:val="bottom"/>
          </w:tcPr>
          <w:p>
            <w:pPr>
              <w:spacing w:after="0"/>
              <w:rPr>
                <w:sz w:val="24"/>
                <w:szCs w:val="24"/>
                <w:color w:val="auto"/>
              </w:rPr>
            </w:pPr>
          </w:p>
        </w:tc>
      </w:tr>
      <w:tr>
        <w:trPr>
          <w:trHeight w:val="617"/>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333-217124</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4/3/2017</w:t>
            </w:r>
          </w:p>
        </w:tc>
        <w:tc>
          <w:tcPr>
            <w:tcW w:w="720" w:type="dxa"/>
            <w:vAlign w:val="bottom"/>
          </w:tcPr>
          <w:p>
            <w:pPr>
              <w:spacing w:after="0"/>
              <w:rPr>
                <w:sz w:val="24"/>
                <w:szCs w:val="24"/>
                <w:color w:val="auto"/>
              </w:rPr>
            </w:pPr>
          </w:p>
        </w:tc>
      </w:tr>
      <w:tr>
        <w:trPr>
          <w:trHeight w:val="433"/>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333-217124</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4/3/2017</w:t>
            </w:r>
          </w:p>
        </w:tc>
        <w:tc>
          <w:tcPr>
            <w:tcW w:w="720" w:type="dxa"/>
            <w:vAlign w:val="bottom"/>
          </w:tcPr>
          <w:p>
            <w:pPr>
              <w:spacing w:after="0"/>
              <w:rPr>
                <w:sz w:val="24"/>
                <w:szCs w:val="24"/>
                <w:color w:val="auto"/>
              </w:rPr>
            </w:pPr>
          </w:p>
        </w:tc>
      </w:tr>
      <w:tr>
        <w:trPr>
          <w:trHeight w:val="433"/>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2/25/2021</w:t>
            </w:r>
          </w:p>
        </w:tc>
        <w:tc>
          <w:tcPr>
            <w:tcW w:w="7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r>
      <w:tr>
        <w:trPr>
          <w:trHeight w:val="617"/>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333-217124</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4/3/2017</w:t>
            </w:r>
          </w:p>
        </w:tc>
        <w:tc>
          <w:tcPr>
            <w:tcW w:w="720" w:type="dxa"/>
            <w:vAlign w:val="bottom"/>
          </w:tcPr>
          <w:p>
            <w:pPr>
              <w:spacing w:after="0"/>
              <w:rPr>
                <w:sz w:val="24"/>
                <w:szCs w:val="24"/>
                <w:color w:val="auto"/>
              </w:rPr>
            </w:pPr>
          </w:p>
        </w:tc>
      </w:tr>
      <w:tr>
        <w:trPr>
          <w:trHeight w:val="617"/>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7/22/2020</w:t>
            </w:r>
          </w:p>
        </w:tc>
        <w:tc>
          <w:tcPr>
            <w:tcW w:w="720" w:type="dxa"/>
            <w:vAlign w:val="bottom"/>
          </w:tcPr>
          <w:p>
            <w:pPr>
              <w:spacing w:after="0"/>
              <w:rPr>
                <w:sz w:val="24"/>
                <w:szCs w:val="24"/>
                <w:color w:val="auto"/>
              </w:rPr>
            </w:pPr>
          </w:p>
        </w:tc>
      </w:tr>
      <w:tr>
        <w:trPr>
          <w:trHeight w:val="95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333-217124</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4/3/2017</w:t>
            </w:r>
          </w:p>
        </w:tc>
        <w:tc>
          <w:tcPr>
            <w:tcW w:w="720" w:type="dxa"/>
            <w:vAlign w:val="bottom"/>
          </w:tcPr>
          <w:p>
            <w:pPr>
              <w:spacing w:after="0"/>
              <w:rPr>
                <w:sz w:val="24"/>
                <w:szCs w:val="24"/>
                <w:color w:val="auto"/>
              </w:rPr>
            </w:pPr>
          </w:p>
        </w:tc>
      </w:tr>
      <w:tr>
        <w:trPr>
          <w:trHeight w:val="617"/>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3/30/2022</w:t>
            </w:r>
          </w:p>
        </w:tc>
        <w:tc>
          <w:tcPr>
            <w:tcW w:w="720" w:type="dxa"/>
            <w:vAlign w:val="bottom"/>
          </w:tcPr>
          <w:p>
            <w:pPr>
              <w:spacing w:after="0"/>
              <w:rPr>
                <w:sz w:val="24"/>
                <w:szCs w:val="24"/>
                <w:color w:val="auto"/>
              </w:rPr>
            </w:pPr>
          </w:p>
        </w:tc>
      </w:tr>
      <w:tr>
        <w:trPr>
          <w:trHeight w:val="78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4.3.3</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2/27/2020</w:t>
            </w:r>
          </w:p>
        </w:tc>
        <w:tc>
          <w:tcPr>
            <w:tcW w:w="720" w:type="dxa"/>
            <w:vAlign w:val="bottom"/>
          </w:tcPr>
          <w:p>
            <w:pPr>
              <w:spacing w:after="0"/>
              <w:rPr>
                <w:sz w:val="24"/>
                <w:szCs w:val="24"/>
                <w:color w:val="auto"/>
              </w:rPr>
            </w:pPr>
          </w:p>
        </w:tc>
      </w:tr>
      <w:tr>
        <w:trPr>
          <w:trHeight w:val="78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4.3.4</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2/27/2020</w:t>
            </w:r>
          </w:p>
        </w:tc>
        <w:tc>
          <w:tcPr>
            <w:tcW w:w="720" w:type="dxa"/>
            <w:vAlign w:val="bottom"/>
          </w:tcPr>
          <w:p>
            <w:pPr>
              <w:spacing w:after="0"/>
              <w:rPr>
                <w:sz w:val="24"/>
                <w:szCs w:val="24"/>
                <w:color w:val="auto"/>
              </w:rPr>
            </w:pPr>
          </w:p>
        </w:tc>
      </w:tr>
      <w:tr>
        <w:trPr>
          <w:trHeight w:val="78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001-38067</w:t>
            </w: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4.3.5</w:t>
            </w:r>
          </w:p>
        </w:tc>
        <w:tc>
          <w:tcPr>
            <w:tcW w:w="14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2/27/2020</w:t>
            </w:r>
          </w:p>
        </w:tc>
        <w:tc>
          <w:tcPr>
            <w:tcW w:w="720" w:type="dxa"/>
            <w:vAlign w:val="bottom"/>
          </w:tcPr>
          <w:p>
            <w:pPr>
              <w:spacing w:after="0"/>
              <w:rPr>
                <w:sz w:val="24"/>
                <w:szCs w:val="24"/>
                <w:color w:val="auto"/>
              </w:rPr>
            </w:pPr>
          </w:p>
        </w:tc>
      </w:tr>
    </w:tbl>
    <w:p>
      <w:pPr>
        <w:spacing w:after="0" w:line="84" w:lineRule="exact"/>
        <w:rPr>
          <w:sz w:val="20"/>
          <w:szCs w:val="20"/>
          <w:color w:val="auto"/>
        </w:rPr>
      </w:pPr>
    </w:p>
    <w:p>
      <w:pPr>
        <w:sectPr>
          <w:pgSz w:w="11900" w:h="16949" w:orient="portrait"/>
          <w:cols w:equalWidth="0" w:num="2">
            <w:col w:w="5560" w:space="540"/>
            <w:col w:w="5140"/>
          </w:cols>
          <w:pgMar w:left="320" w:top="1382" w:right="339" w:bottom="0" w:gutter="0" w:footer="0" w:header="0"/>
          <w:type w:val="continuous"/>
        </w:sectPr>
      </w:pPr>
    </w:p>
    <w:p>
      <w:pPr>
        <w:ind w:left="1120"/>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Renewal Agreement to Lease by and between the Verona</w:t>
        </w:r>
      </w:hyperlink>
    </w:p>
    <w:p>
      <w:pPr>
        <w:ind w:left="1120"/>
        <w:spacing w:after="0"/>
        <w:rPr>
          <w:rFonts w:ascii="Times New Roman" w:cs="Times New Roman" w:eastAsia="Times New Roman" w:hAnsi="Times New Roman"/>
          <w:sz w:val="16"/>
          <w:szCs w:val="16"/>
          <w:u w:val="single" w:color="auto"/>
          <w:color w:val="0000FF"/>
        </w:rPr>
      </w:pPr>
      <w:hyperlink r:id="rId135">
        <w:r>
          <w:rPr>
            <w:rFonts w:ascii="Times New Roman" w:cs="Times New Roman" w:eastAsia="Times New Roman" w:hAnsi="Times New Roman"/>
            <w:sz w:val="16"/>
            <w:szCs w:val="16"/>
            <w:u w:val="single" w:color="auto"/>
            <w:color w:val="0000FF"/>
          </w:rPr>
          <w:t>Pharma Inc. and Regus Management Group LLC dated July 16,</w:t>
        </w:r>
      </w:hyperlink>
    </w:p>
    <w:p>
      <w:pPr>
        <w:sectPr>
          <w:pgSz w:w="11900" w:h="16949" w:orient="portrait"/>
          <w:cols w:equalWidth="0" w:num="1">
            <w:col w:w="11240"/>
          </w:cols>
          <w:pgMar w:left="320" w:top="1382" w:right="339" w:bottom="0" w:gutter="0" w:footer="0" w:header="0"/>
          <w:type w:val="continuous"/>
        </w:sectPr>
      </w:pPr>
    </w:p>
    <w:p>
      <w:pPr>
        <w:ind w:left="1120"/>
        <w:spacing w:after="0"/>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2019</w:t>
        </w:r>
      </w:hyperlink>
    </w:p>
    <w:p>
      <w:pPr>
        <w:sectPr>
          <w:pgSz w:w="11900" w:h="16949" w:orient="portrait"/>
          <w:cols w:equalWidth="0" w:num="1">
            <w:col w:w="11240"/>
          </w:cols>
          <w:pgMar w:left="320" w:top="1382" w:right="339" w:bottom="0" w:gutter="0" w:footer="0" w:header="0"/>
          <w:type w:val="continuous"/>
        </w:sectPr>
      </w:pPr>
    </w:p>
    <w:bookmarkStart w:id="102" w:name="page103"/>
    <w:bookmarkEnd w:id="10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10.4.6</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10.4.7</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10.11#</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420"/>
        <w:spacing w:after="0" w:line="244" w:lineRule="auto"/>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Renewal Agreement to Lease by and between the Verona</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Pharma Plc. and Regus Management (UK) Limited dated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-391795</wp:posOffset>
            </wp:positionV>
            <wp:extent cx="2222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222250"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November 9, 2021</w:t>
        </w:r>
      </w:hyperlink>
    </w:p>
    <w:p>
      <w:pPr>
        <w:spacing w:after="0" w:line="206" w:lineRule="exact"/>
        <w:rPr>
          <w:sz w:val="20"/>
          <w:szCs w:val="20"/>
          <w:color w:val="auto"/>
        </w:rPr>
      </w:pPr>
    </w:p>
    <w:p>
      <w:pPr>
        <w:ind w:right="420"/>
        <w:spacing w:after="0" w:line="244" w:lineRule="auto"/>
        <w:rPr>
          <w:rFonts w:ascii="Times New Roman" w:cs="Times New Roman" w:eastAsia="Times New Roman" w:hAnsi="Times New Roman"/>
          <w:sz w:val="16"/>
          <w:szCs w:val="16"/>
          <w:u w:val="single" w:color="auto"/>
          <w:color w:val="0000FF"/>
        </w:rPr>
      </w:pPr>
      <w:hyperlink r:id="rId138">
        <w:r>
          <w:rPr>
            <w:rFonts w:ascii="Times New Roman" w:cs="Times New Roman" w:eastAsia="Times New Roman" w:hAnsi="Times New Roman"/>
            <w:sz w:val="16"/>
            <w:szCs w:val="16"/>
            <w:u w:val="single" w:color="auto"/>
            <w:color w:val="0000FF"/>
          </w:rPr>
          <w:t>Renewal Agreement to Lease by and between the Verona</w:t>
        </w:r>
      </w:hyperlink>
      <w:r>
        <w:rPr>
          <w:rFonts w:ascii="Times New Roman" w:cs="Times New Roman" w:eastAsia="Times New Roman" w:hAnsi="Times New Roman"/>
          <w:sz w:val="16"/>
          <w:szCs w:val="16"/>
          <w:u w:val="single" w:color="auto"/>
          <w:color w:val="0000FF"/>
        </w:rPr>
        <w:t xml:space="preserve"> </w:t>
      </w:r>
      <w:hyperlink r:id="rId138">
        <w:r>
          <w:rPr>
            <w:rFonts w:ascii="Times New Roman" w:cs="Times New Roman" w:eastAsia="Times New Roman" w:hAnsi="Times New Roman"/>
            <w:sz w:val="16"/>
            <w:szCs w:val="16"/>
            <w:u w:val="single" w:color="auto"/>
            <w:color w:val="0000FF"/>
          </w:rPr>
          <w:t>Pharma Plc. and Regus Management (UK) Limited dated</w:t>
        </w:r>
      </w:hyperlink>
    </w:p>
    <w:p>
      <w:pPr>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December 7, 2021</w:t>
        </w:r>
      </w:hyperlink>
    </w:p>
    <w:p>
      <w:pPr>
        <w:spacing w:after="0" w:line="1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Agreement to Lease by and between the Verona Pharma Inc.</w:t>
        </w:r>
      </w:hyperlink>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and Brier Creek Office #4, LLC dated March 6, 2020</w:t>
        </w:r>
      </w:hyperlink>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EMI Option Scheme</w:t>
        </w:r>
      </w:hyperlink>
    </w:p>
    <w:p>
      <w:pPr>
        <w:spacing w:after="0" w:line="22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Unapproved Share Option Scheme, as amended</w:t>
        </w:r>
      </w:hyperlink>
    </w:p>
    <w:p>
      <w:pPr>
        <w:spacing w:after="0" w:line="226" w:lineRule="exact"/>
        <w:rPr>
          <w:sz w:val="20"/>
          <w:szCs w:val="20"/>
          <w:color w:val="auto"/>
        </w:rPr>
      </w:pPr>
    </w:p>
    <w:p>
      <w:pPr>
        <w:ind w:right="280"/>
        <w:spacing w:after="0" w:line="231"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2017 Incentive Award Plan and forms of award agreements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thereunder</w:t>
        </w:r>
      </w:hyperlink>
    </w:p>
    <w:p>
      <w:pPr>
        <w:spacing w:after="0" w:line="219" w:lineRule="exact"/>
        <w:rPr>
          <w:sz w:val="20"/>
          <w:szCs w:val="20"/>
          <w:color w:val="auto"/>
        </w:rPr>
      </w:pPr>
    </w:p>
    <w:p>
      <w:pPr>
        <w:ind w:right="320"/>
        <w:spacing w:after="0" w:line="279" w:lineRule="auto"/>
        <w:rPr>
          <w:rFonts w:ascii="Times New Roman" w:cs="Times New Roman" w:eastAsia="Times New Roman" w:hAnsi="Times New Roman"/>
          <w:sz w:val="16"/>
          <w:szCs w:val="16"/>
          <w:u w:val="single" w:color="auto"/>
          <w:color w:val="0000FF"/>
        </w:rPr>
      </w:pPr>
      <w:hyperlink r:id="rId143">
        <w:r>
          <w:rPr>
            <w:rFonts w:ascii="Times New Roman" w:cs="Times New Roman" w:eastAsia="Times New Roman" w:hAnsi="Times New Roman"/>
            <w:sz w:val="16"/>
            <w:szCs w:val="16"/>
            <w:u w:val="single" w:color="auto"/>
            <w:color w:val="0000FF"/>
          </w:rPr>
          <w:t>Employment Agreement, dated January 28, 2020, between</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Verona Pharma Inc. and David Zaccardelli, Pharm. D.</w:t>
        </w:r>
      </w:hyperlink>
    </w:p>
    <w:p>
      <w:pPr>
        <w:spacing w:after="0" w:line="189" w:lineRule="exact"/>
        <w:rPr>
          <w:sz w:val="20"/>
          <w:szCs w:val="20"/>
          <w:color w:val="auto"/>
        </w:rPr>
      </w:pPr>
    </w:p>
    <w:p>
      <w:pPr>
        <w:ind w:right="140"/>
        <w:spacing w:after="0" w:line="231"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Employment Agreement, dated December 21, 2019, between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Verona Pharma plc and Kathleen Rickard</w:t>
        </w:r>
      </w:hyperlink>
    </w:p>
    <w:p>
      <w:pPr>
        <w:spacing w:after="0" w:line="219" w:lineRule="exact"/>
        <w:rPr>
          <w:sz w:val="20"/>
          <w:szCs w:val="20"/>
          <w:color w:val="auto"/>
        </w:rPr>
      </w:pPr>
    </w:p>
    <w:p>
      <w:pPr>
        <w:ind w:right="380"/>
        <w:spacing w:after="0" w:line="231"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Employment Agreement, dated October 1, 2016, between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Verona Pharma plc and Claire Poll</w:t>
        </w:r>
      </w:hyperlink>
    </w:p>
    <w:p>
      <w:pPr>
        <w:spacing w:after="0" w:line="219" w:lineRule="exact"/>
        <w:rPr>
          <w:sz w:val="20"/>
          <w:szCs w:val="20"/>
          <w:color w:val="auto"/>
        </w:rPr>
      </w:pPr>
    </w:p>
    <w:p>
      <w:pPr>
        <w:ind w:right="320"/>
        <w:spacing w:after="0" w:line="231"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Employment Agreement, dated February 1, 2020, between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Verona Pharma Inc. and Mark Hahn</w:t>
        </w:r>
      </w:hyperlink>
    </w:p>
    <w:p>
      <w:pPr>
        <w:spacing w:after="0" w:line="21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Indemnification Agreement for board members</w:t>
        </w:r>
      </w:hyperlink>
    </w:p>
    <w:p>
      <w:pPr>
        <w:spacing w:after="0" w:line="22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Form of Indemnification Agreement for executive officers</w:t>
        </w:r>
      </w:hyperlink>
    </w:p>
    <w:p>
      <w:pPr>
        <w:spacing w:after="0" w:line="22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Employee Change in Control Severance Benefit Plan</w:t>
        </w:r>
      </w:hyperlink>
    </w:p>
    <w:p>
      <w:pPr>
        <w:spacing w:after="0" w:line="226" w:lineRule="exact"/>
        <w:rPr>
          <w:sz w:val="20"/>
          <w:szCs w:val="20"/>
          <w:color w:val="auto"/>
        </w:rPr>
      </w:pPr>
    </w:p>
    <w:p>
      <w:pPr>
        <w:ind w:right="40"/>
        <w:spacing w:after="0" w:line="244" w:lineRule="auto"/>
        <w:rPr>
          <w:rFonts w:ascii="Times New Roman" w:cs="Times New Roman" w:eastAsia="Times New Roman" w:hAnsi="Times New Roman"/>
          <w:sz w:val="16"/>
          <w:szCs w:val="16"/>
          <w:u w:val="single" w:color="auto"/>
          <w:color w:val="0000FF"/>
        </w:rPr>
      </w:pPr>
      <w:hyperlink r:id="rId150">
        <w:r>
          <w:rPr>
            <w:rFonts w:ascii="Times New Roman" w:cs="Times New Roman" w:eastAsia="Times New Roman" w:hAnsi="Times New Roman"/>
            <w:sz w:val="16"/>
            <w:szCs w:val="16"/>
            <w:u w:val="single" w:color="auto"/>
            <w:color w:val="0000FF"/>
          </w:rPr>
          <w:t>Relationship Agreement relating to Verona Pharma plc, dated</w:t>
        </w:r>
      </w:hyperlink>
      <w:r>
        <w:rPr>
          <w:rFonts w:ascii="Times New Roman" w:cs="Times New Roman" w:eastAsia="Times New Roman" w:hAnsi="Times New Roman"/>
          <w:sz w:val="16"/>
          <w:szCs w:val="16"/>
          <w:u w:val="single" w:color="auto"/>
          <w:color w:val="0000FF"/>
        </w:rPr>
        <w:t xml:space="preserve"> </w:t>
      </w:r>
      <w:hyperlink r:id="rId150">
        <w:r>
          <w:rPr>
            <w:rFonts w:ascii="Times New Roman" w:cs="Times New Roman" w:eastAsia="Times New Roman" w:hAnsi="Times New Roman"/>
            <w:sz w:val="16"/>
            <w:szCs w:val="16"/>
            <w:u w:val="single" w:color="auto"/>
            <w:color w:val="0000FF"/>
          </w:rPr>
          <w:t>July 29, 2016, by and among the Verona Pharma plc, OrbiMed</w:t>
        </w:r>
      </w:hyperlink>
    </w:p>
    <w:p>
      <w:pPr>
        <w:jc w:val="center"/>
        <w:ind w:right="120"/>
        <w:spacing w:after="0"/>
        <w:rPr>
          <w:rFonts w:ascii="Times New Roman" w:cs="Times New Roman" w:eastAsia="Times New Roman" w:hAnsi="Times New Roman"/>
          <w:sz w:val="16"/>
          <w:szCs w:val="16"/>
          <w:u w:val="single" w:color="auto"/>
          <w:color w:val="0000FF"/>
        </w:rPr>
      </w:pPr>
      <w:hyperlink r:id="rId150">
        <w:r>
          <w:rPr>
            <w:rFonts w:ascii="Times New Roman" w:cs="Times New Roman" w:eastAsia="Times New Roman" w:hAnsi="Times New Roman"/>
            <w:sz w:val="16"/>
            <w:szCs w:val="16"/>
            <w:u w:val="single" w:color="auto"/>
            <w:color w:val="0000FF"/>
          </w:rPr>
          <w:t>Private Investments VI, LP and NPlus1 Singer Advisory LLP</w:t>
        </w:r>
      </w:hyperlink>
    </w:p>
    <w:p>
      <w:pPr>
        <w:spacing w:after="0" w:line="229" w:lineRule="exact"/>
        <w:rPr>
          <w:sz w:val="20"/>
          <w:szCs w:val="20"/>
          <w:color w:val="auto"/>
        </w:rPr>
      </w:pPr>
    </w:p>
    <w:p>
      <w:pPr>
        <w:ind w:right="120"/>
        <w:spacing w:after="0" w:line="217"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Relationship Agreement relating to Verona Pharma plc, dated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July 29, 2016, by and among the Verona Pharma plc,</w:t>
        </w:r>
      </w:hyperlink>
    </w:p>
    <w:p>
      <w:pPr>
        <w:ind w:right="160"/>
        <w:spacing w:after="0" w:line="219"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Abingworth Bioventures VI LP and NPlus1 Singer Advisory</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LLP</w:t>
        </w:r>
      </w:hyperlink>
    </w:p>
    <w:p>
      <w:pPr>
        <w:spacing w:after="0" w:line="206" w:lineRule="exact"/>
        <w:rPr>
          <w:sz w:val="20"/>
          <w:szCs w:val="20"/>
          <w:color w:val="auto"/>
        </w:rPr>
      </w:pPr>
    </w:p>
    <w:p>
      <w:pPr>
        <w:ind w:right="120"/>
        <w:spacing w:after="0" w:line="244" w:lineRule="auto"/>
        <w:rPr>
          <w:rFonts w:ascii="Times New Roman" w:cs="Times New Roman" w:eastAsia="Times New Roman" w:hAnsi="Times New Roman"/>
          <w:sz w:val="16"/>
          <w:szCs w:val="16"/>
          <w:u w:val="single" w:color="auto"/>
          <w:color w:val="0000FF"/>
        </w:rPr>
      </w:pPr>
      <w:hyperlink r:id="rId152">
        <w:r>
          <w:rPr>
            <w:rFonts w:ascii="Times New Roman" w:cs="Times New Roman" w:eastAsia="Times New Roman" w:hAnsi="Times New Roman"/>
            <w:sz w:val="16"/>
            <w:szCs w:val="16"/>
            <w:u w:val="single" w:color="auto"/>
            <w:color w:val="0000FF"/>
          </w:rPr>
          <w:t>Relationship Agreement relating to Verona Pharma plc, dated</w:t>
        </w:r>
      </w:hyperlink>
      <w:r>
        <w:rPr>
          <w:rFonts w:ascii="Times New Roman" w:cs="Times New Roman" w:eastAsia="Times New Roman" w:hAnsi="Times New Roman"/>
          <w:sz w:val="16"/>
          <w:szCs w:val="16"/>
          <w:u w:val="single" w:color="auto"/>
          <w:color w:val="0000FF"/>
        </w:rPr>
        <w:t xml:space="preserve"> </w:t>
      </w:r>
      <w:hyperlink r:id="rId152">
        <w:r>
          <w:rPr>
            <w:rFonts w:ascii="Times New Roman" w:cs="Times New Roman" w:eastAsia="Times New Roman" w:hAnsi="Times New Roman"/>
            <w:sz w:val="16"/>
            <w:szCs w:val="16"/>
            <w:u w:val="single" w:color="auto"/>
            <w:color w:val="0000FF"/>
          </w:rPr>
          <w:t>July 29, 2016, by and among the Verona Pharma plc, Vivo</w:t>
        </w:r>
      </w:hyperlink>
    </w:p>
    <w:p>
      <w:pPr>
        <w:ind w:right="60"/>
        <w:spacing w:after="0" w:line="212"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Ventures Fund VII, L.P., Vivo Ventures VII Affiliates Fund,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L.P., Vivo Ventures Fund VI, L.P., Vivo Ventures VI Affiliates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Fund, L.P. and NPlus1 Singer Advisory LLP</w:t>
        </w:r>
      </w:hyperlink>
    </w:p>
    <w:p>
      <w:pPr>
        <w:spacing w:after="0" w:line="219" w:lineRule="exact"/>
        <w:rPr>
          <w:rFonts w:ascii="Times New Roman" w:cs="Times New Roman" w:eastAsia="Times New Roman" w:hAnsi="Times New Roman"/>
          <w:sz w:val="18"/>
          <w:szCs w:val="18"/>
          <w:u w:val="single" w:color="auto"/>
          <w:color w:val="0000FF"/>
        </w:rPr>
      </w:pPr>
    </w:p>
    <w:p>
      <w:pPr>
        <w:ind w:right="120"/>
        <w:spacing w:after="0" w:line="244" w:lineRule="auto"/>
        <w:rPr>
          <w:rFonts w:ascii="Times New Roman" w:cs="Times New Roman" w:eastAsia="Times New Roman" w:hAnsi="Times New Roman"/>
          <w:sz w:val="16"/>
          <w:szCs w:val="16"/>
          <w:u w:val="single" w:color="auto"/>
          <w:color w:val="0000FF"/>
        </w:rPr>
      </w:pPr>
      <w:hyperlink r:id="rId153">
        <w:r>
          <w:rPr>
            <w:rFonts w:ascii="Times New Roman" w:cs="Times New Roman" w:eastAsia="Times New Roman" w:hAnsi="Times New Roman"/>
            <w:sz w:val="16"/>
            <w:szCs w:val="16"/>
            <w:u w:val="single" w:color="auto"/>
            <w:color w:val="0000FF"/>
          </w:rPr>
          <w:t>Relationship Agreement relating to Verona Pharma plc, dated</w:t>
        </w:r>
      </w:hyperlink>
      <w:r>
        <w:rPr>
          <w:rFonts w:ascii="Times New Roman" w:cs="Times New Roman" w:eastAsia="Times New Roman" w:hAnsi="Times New Roman"/>
          <w:sz w:val="16"/>
          <w:szCs w:val="16"/>
          <w:u w:val="single" w:color="auto"/>
          <w:color w:val="0000FF"/>
        </w:rPr>
        <w:t xml:space="preserve"> </w:t>
      </w:r>
      <w:hyperlink r:id="rId153">
        <w:r>
          <w:rPr>
            <w:rFonts w:ascii="Times New Roman" w:cs="Times New Roman" w:eastAsia="Times New Roman" w:hAnsi="Times New Roman"/>
            <w:sz w:val="16"/>
            <w:szCs w:val="16"/>
            <w:u w:val="single" w:color="auto"/>
            <w:color w:val="0000FF"/>
          </w:rPr>
          <w:t>July 29, 2016, by and among the Verona Pharma plc, Vivo</w:t>
        </w:r>
      </w:hyperlink>
    </w:p>
    <w:p>
      <w:pPr>
        <w:ind w:right="60"/>
        <w:spacing w:after="0" w:line="212"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Ventures Fund VII, L.P., Vivo Ventures VII Affiliates Fund,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L.P., Vivo Ventures Fund VI, L.P., Vivo Ventures VI Affiliates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Fund, L.P. and NPlus1 Singer Advisory LLP</w:t>
        </w:r>
      </w:hyperlink>
    </w:p>
    <w:p>
      <w:pPr>
        <w:spacing w:after="0" w:line="219" w:lineRule="exact"/>
        <w:rPr>
          <w:rFonts w:ascii="Times New Roman" w:cs="Times New Roman" w:eastAsia="Times New Roman" w:hAnsi="Times New Roman"/>
          <w:sz w:val="18"/>
          <w:szCs w:val="18"/>
          <w:u w:val="single" w:color="auto"/>
          <w:color w:val="0000FF"/>
        </w:rPr>
      </w:pPr>
    </w:p>
    <w:p>
      <w:pPr>
        <w:spacing w:after="0" w:line="244" w:lineRule="auto"/>
        <w:rPr>
          <w:rFonts w:ascii="Times New Roman" w:cs="Times New Roman" w:eastAsia="Times New Roman" w:hAnsi="Times New Roman"/>
          <w:sz w:val="16"/>
          <w:szCs w:val="16"/>
          <w:u w:val="single" w:color="auto"/>
          <w:color w:val="0000FF"/>
        </w:rPr>
      </w:pPr>
      <w:hyperlink r:id="rId154">
        <w:r>
          <w:rPr>
            <w:rFonts w:ascii="Times New Roman" w:cs="Times New Roman" w:eastAsia="Times New Roman" w:hAnsi="Times New Roman"/>
            <w:sz w:val="16"/>
            <w:szCs w:val="16"/>
            <w:u w:val="single" w:color="auto"/>
            <w:color w:val="0000FF"/>
          </w:rPr>
          <w:t>Loan and Security Agreement, dated as of November 19, 2020,</w:t>
        </w:r>
      </w:hyperlink>
      <w:r>
        <w:rPr>
          <w:rFonts w:ascii="Times New Roman" w:cs="Times New Roman" w:eastAsia="Times New Roman" w:hAnsi="Times New Roman"/>
          <w:sz w:val="16"/>
          <w:szCs w:val="16"/>
          <w:u w:val="single" w:color="auto"/>
          <w:color w:val="0000FF"/>
        </w:rPr>
        <w:t xml:space="preserve"> </w:t>
      </w:r>
      <w:hyperlink r:id="rId154">
        <w:r>
          <w:rPr>
            <w:rFonts w:ascii="Times New Roman" w:cs="Times New Roman" w:eastAsia="Times New Roman" w:hAnsi="Times New Roman"/>
            <w:sz w:val="16"/>
            <w:szCs w:val="16"/>
            <w:u w:val="single" w:color="auto"/>
            <w:color w:val="0000FF"/>
          </w:rPr>
          <w:t>by and among Silicon Valley Bank, Verona Pharma plc and</w:t>
        </w:r>
      </w:hyperlink>
    </w:p>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Verona Pharma, Inc.</w:t>
        </w:r>
      </w:hyperlink>
    </w:p>
    <w:p>
      <w:pPr>
        <w:spacing w:after="0" w:line="20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Form of Non-Executive Director letter of appointment</w:t>
        </w:r>
      </w:hyperlink>
    </w:p>
    <w:p>
      <w:pPr>
        <w:spacing w:after="0" w:line="134" w:lineRule="exact"/>
        <w:rPr>
          <w:sz w:val="20"/>
          <w:szCs w:val="20"/>
          <w:color w:val="auto"/>
        </w:rPr>
      </w:pPr>
    </w:p>
    <w:p>
      <w:pPr>
        <w:ind w:right="140"/>
        <w:spacing w:after="0" w:line="248"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Collaboration and License Agreement, effective as of June 9,</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2021, by and between Verona Pharma plc, Nuance Pharma</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Limited and Nuance (Shanghai) Pharma Co Ltd</w:t>
        </w:r>
      </w:hyperlink>
    </w:p>
    <w:p>
      <w:pPr>
        <w:spacing w:after="0" w:line="107"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Subsidiaries of Verona Pharma plc</w:t>
      </w:r>
    </w:p>
    <w:p>
      <w:pPr>
        <w:spacing w:after="0" w:line="226" w:lineRule="exact"/>
        <w:rPr>
          <w:rFonts w:ascii="Times New Roman" w:cs="Times New Roman" w:eastAsia="Times New Roman" w:hAnsi="Times New Roman"/>
          <w:sz w:val="18"/>
          <w:szCs w:val="18"/>
          <w:u w:val="single" w:color="auto"/>
          <w:color w:val="0000FF"/>
        </w:rPr>
      </w:pPr>
    </w:p>
    <w:p>
      <w:pPr>
        <w:ind w:right="600"/>
        <w:spacing w:after="0" w:line="231" w:lineRule="auto"/>
        <w:rPr>
          <w:sz w:val="20"/>
          <w:szCs w:val="20"/>
          <w:color w:val="auto"/>
        </w:rPr>
      </w:pP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219" w:lineRule="exact"/>
        <w:rPr>
          <w:rFonts w:ascii="Times New Roman" w:cs="Times New Roman" w:eastAsia="Times New Roman" w:hAnsi="Times New Roman"/>
          <w:sz w:val="18"/>
          <w:szCs w:val="18"/>
          <w:u w:val="single" w:color="auto"/>
          <w:color w:val="0000FF"/>
        </w:rPr>
      </w:pPr>
    </w:p>
    <w:p>
      <w:pPr>
        <w:ind w:right="340"/>
        <w:spacing w:after="0" w:line="231" w:lineRule="auto"/>
        <w:rPr>
          <w:sz w:val="20"/>
          <w:szCs w:val="20"/>
          <w:color w:val="auto"/>
        </w:rPr>
      </w:pPr>
      <w:r>
        <w:rPr>
          <w:rFonts w:ascii="Times New Roman" w:cs="Times New Roman" w:eastAsia="Times New Roman" w:hAnsi="Times New Roman"/>
          <w:sz w:val="18"/>
          <w:szCs w:val="18"/>
          <w:u w:val="single" w:color="auto"/>
          <w:color w:val="0000FF"/>
        </w:rPr>
        <w:t>Rule 13a-14(a)/15d-14(a) Certification of Chief Executive Officer</w:t>
      </w:r>
    </w:p>
    <w:p>
      <w:pPr>
        <w:spacing w:after="0" w:line="219" w:lineRule="exact"/>
        <w:rPr>
          <w:rFonts w:ascii="Times New Roman" w:cs="Times New Roman" w:eastAsia="Times New Roman" w:hAnsi="Times New Roman"/>
          <w:sz w:val="18"/>
          <w:szCs w:val="18"/>
          <w:u w:val="single" w:color="auto"/>
          <w:color w:val="0000FF"/>
        </w:rPr>
      </w:pPr>
    </w:p>
    <w:p>
      <w:pPr>
        <w:ind w:right="400"/>
        <w:spacing w:after="0" w:line="231" w:lineRule="auto"/>
        <w:rPr>
          <w:sz w:val="20"/>
          <w:szCs w:val="20"/>
          <w:color w:val="auto"/>
        </w:rPr>
      </w:pPr>
      <w:r>
        <w:rPr>
          <w:rFonts w:ascii="Times New Roman" w:cs="Times New Roman" w:eastAsia="Times New Roman" w:hAnsi="Times New Roman"/>
          <w:sz w:val="18"/>
          <w:szCs w:val="18"/>
          <w:u w:val="single" w:color="auto"/>
          <w:color w:val="0000FF"/>
        </w:rPr>
        <w:t>Rule 13a-14(a)/15d-14(a) Certification of Chief Financial Officer</w:t>
      </w:r>
    </w:p>
    <w:p>
      <w:pPr>
        <w:spacing w:after="0" w:line="219"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 of Chief Executive Officer</w:t>
      </w:r>
    </w:p>
    <w:p>
      <w:pPr>
        <w:spacing w:after="0" w:line="226"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 of Chief Financial Officer</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33"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28"/>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20-F</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4.3.6</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2/27/2020</w:t>
            </w:r>
          </w:p>
        </w:tc>
        <w:tc>
          <w:tcPr>
            <w:tcW w:w="360" w:type="dxa"/>
            <w:vAlign w:val="bottom"/>
          </w:tcPr>
          <w:p>
            <w:pPr>
              <w:spacing w:after="0"/>
              <w:rPr>
                <w:sz w:val="19"/>
                <w:szCs w:val="19"/>
                <w:color w:val="auto"/>
              </w:rPr>
            </w:pPr>
          </w:p>
        </w:tc>
      </w:tr>
      <w:tr>
        <w:trPr>
          <w:trHeight w:val="788"/>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10.4.7</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3/7/2022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88"/>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10.4.8</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3/7/2022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17"/>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10.4.9</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3/7/2022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3"/>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4/3/2017</w:t>
            </w:r>
          </w:p>
        </w:tc>
        <w:tc>
          <w:tcPr>
            <w:tcW w:w="360" w:type="dxa"/>
            <w:vAlign w:val="bottom"/>
          </w:tcPr>
          <w:p>
            <w:pPr>
              <w:spacing w:after="0"/>
              <w:rPr>
                <w:sz w:val="24"/>
                <w:szCs w:val="24"/>
                <w:color w:val="auto"/>
              </w:rPr>
            </w:pPr>
          </w:p>
        </w:tc>
      </w:tr>
      <w:tr>
        <w:trPr>
          <w:trHeight w:val="433"/>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4/3/2017</w:t>
            </w:r>
          </w:p>
        </w:tc>
        <w:tc>
          <w:tcPr>
            <w:tcW w:w="360" w:type="dxa"/>
            <w:vAlign w:val="bottom"/>
          </w:tcPr>
          <w:p>
            <w:pPr>
              <w:spacing w:after="0"/>
              <w:rPr>
                <w:sz w:val="24"/>
                <w:szCs w:val="24"/>
                <w:color w:val="auto"/>
              </w:rPr>
            </w:pPr>
          </w:p>
        </w:tc>
      </w:tr>
      <w:tr>
        <w:trPr>
          <w:trHeight w:val="617"/>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S-8</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333-237926</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99.1</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4/30/2020</w:t>
            </w:r>
          </w:p>
        </w:tc>
        <w:tc>
          <w:tcPr>
            <w:tcW w:w="360" w:type="dxa"/>
            <w:vAlign w:val="bottom"/>
          </w:tcPr>
          <w:p>
            <w:pPr>
              <w:spacing w:after="0"/>
              <w:rPr>
                <w:sz w:val="24"/>
                <w:szCs w:val="24"/>
                <w:color w:val="auto"/>
              </w:rPr>
            </w:pPr>
          </w:p>
        </w:tc>
      </w:tr>
      <w:tr>
        <w:trPr>
          <w:trHeight w:val="617"/>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20-F</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2/27/2020</w:t>
            </w:r>
          </w:p>
        </w:tc>
        <w:tc>
          <w:tcPr>
            <w:tcW w:w="360" w:type="dxa"/>
            <w:vAlign w:val="bottom"/>
          </w:tcPr>
          <w:p>
            <w:pPr>
              <w:spacing w:after="0"/>
              <w:rPr>
                <w:sz w:val="24"/>
                <w:szCs w:val="24"/>
                <w:color w:val="auto"/>
              </w:rPr>
            </w:pPr>
          </w:p>
        </w:tc>
      </w:tr>
      <w:tr>
        <w:trPr>
          <w:trHeight w:val="617"/>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20-F</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3/19/2019</w:t>
            </w:r>
          </w:p>
        </w:tc>
        <w:tc>
          <w:tcPr>
            <w:tcW w:w="360" w:type="dxa"/>
            <w:vAlign w:val="bottom"/>
          </w:tcPr>
          <w:p>
            <w:pPr>
              <w:spacing w:after="0"/>
              <w:rPr>
                <w:sz w:val="24"/>
                <w:szCs w:val="24"/>
                <w:color w:val="auto"/>
              </w:rPr>
            </w:pPr>
          </w:p>
        </w:tc>
      </w:tr>
      <w:tr>
        <w:trPr>
          <w:trHeight w:val="617"/>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10.9</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4/3/2017</w:t>
            </w:r>
          </w:p>
        </w:tc>
        <w:tc>
          <w:tcPr>
            <w:tcW w:w="360" w:type="dxa"/>
            <w:vAlign w:val="bottom"/>
          </w:tcPr>
          <w:p>
            <w:pPr>
              <w:spacing w:after="0"/>
              <w:rPr>
                <w:sz w:val="24"/>
                <w:szCs w:val="24"/>
                <w:color w:val="auto"/>
              </w:rPr>
            </w:pPr>
          </w:p>
        </w:tc>
      </w:tr>
      <w:tr>
        <w:trPr>
          <w:trHeight w:val="617"/>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333-247928</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10.12</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8/17/2020</w:t>
            </w:r>
          </w:p>
        </w:tc>
        <w:tc>
          <w:tcPr>
            <w:tcW w:w="360" w:type="dxa"/>
            <w:vAlign w:val="bottom"/>
          </w:tcPr>
          <w:p>
            <w:pPr>
              <w:spacing w:after="0"/>
              <w:rPr>
                <w:sz w:val="24"/>
                <w:szCs w:val="24"/>
                <w:color w:val="auto"/>
              </w:rPr>
            </w:pPr>
          </w:p>
        </w:tc>
      </w:tr>
      <w:tr>
        <w:trPr>
          <w:trHeight w:val="433"/>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2"/>
              </w:rPr>
              <w:t>F-1/A</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10.11.1</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4/18/2017</w:t>
            </w:r>
          </w:p>
        </w:tc>
        <w:tc>
          <w:tcPr>
            <w:tcW w:w="360" w:type="dxa"/>
            <w:vAlign w:val="bottom"/>
          </w:tcPr>
          <w:p>
            <w:pPr>
              <w:spacing w:after="0"/>
              <w:rPr>
                <w:sz w:val="24"/>
                <w:szCs w:val="24"/>
                <w:color w:val="auto"/>
              </w:rPr>
            </w:pPr>
          </w:p>
        </w:tc>
      </w:tr>
      <w:tr>
        <w:trPr>
          <w:trHeight w:val="433"/>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2"/>
              </w:rPr>
              <w:t>F-1/A</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10.11.2</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4/18/2017</w:t>
            </w:r>
          </w:p>
        </w:tc>
        <w:tc>
          <w:tcPr>
            <w:tcW w:w="360" w:type="dxa"/>
            <w:vAlign w:val="bottom"/>
          </w:tcPr>
          <w:p>
            <w:pPr>
              <w:spacing w:after="0"/>
              <w:rPr>
                <w:sz w:val="24"/>
                <w:szCs w:val="24"/>
                <w:color w:val="auto"/>
              </w:rPr>
            </w:pPr>
          </w:p>
        </w:tc>
      </w:tr>
      <w:tr>
        <w:trPr>
          <w:trHeight w:val="433"/>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001-39067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8/11/2021</w:t>
            </w:r>
          </w:p>
        </w:tc>
        <w:tc>
          <w:tcPr>
            <w:tcW w:w="360" w:type="dxa"/>
            <w:vAlign w:val="bottom"/>
          </w:tcPr>
          <w:p>
            <w:pPr>
              <w:spacing w:after="0"/>
              <w:rPr>
                <w:sz w:val="24"/>
                <w:szCs w:val="24"/>
                <w:color w:val="auto"/>
              </w:rPr>
            </w:pPr>
          </w:p>
        </w:tc>
      </w:tr>
      <w:tr>
        <w:trPr>
          <w:trHeight w:val="788"/>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10.12</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4/3/2017</w:t>
            </w:r>
          </w:p>
        </w:tc>
        <w:tc>
          <w:tcPr>
            <w:tcW w:w="360" w:type="dxa"/>
            <w:vAlign w:val="bottom"/>
          </w:tcPr>
          <w:p>
            <w:pPr>
              <w:spacing w:after="0"/>
              <w:rPr>
                <w:sz w:val="24"/>
                <w:szCs w:val="24"/>
                <w:color w:val="auto"/>
              </w:rPr>
            </w:pPr>
          </w:p>
        </w:tc>
      </w:tr>
      <w:tr>
        <w:trPr>
          <w:trHeight w:val="958"/>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10.13</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4/3/2017</w:t>
            </w:r>
          </w:p>
        </w:tc>
        <w:tc>
          <w:tcPr>
            <w:tcW w:w="360" w:type="dxa"/>
            <w:vAlign w:val="bottom"/>
          </w:tcPr>
          <w:p>
            <w:pPr>
              <w:spacing w:after="0"/>
              <w:rPr>
                <w:sz w:val="24"/>
                <w:szCs w:val="24"/>
                <w:color w:val="auto"/>
              </w:rPr>
            </w:pPr>
          </w:p>
        </w:tc>
      </w:tr>
      <w:tr>
        <w:trPr>
          <w:trHeight w:val="1142"/>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F-1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333-217124</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10.14</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4/3/2017</w:t>
            </w:r>
          </w:p>
        </w:tc>
        <w:tc>
          <w:tcPr>
            <w:tcW w:w="360" w:type="dxa"/>
            <w:vAlign w:val="bottom"/>
          </w:tcPr>
          <w:p>
            <w:pPr>
              <w:spacing w:after="0"/>
              <w:rPr>
                <w:sz w:val="24"/>
                <w:szCs w:val="24"/>
                <w:color w:val="auto"/>
              </w:rPr>
            </w:pPr>
          </w:p>
        </w:tc>
      </w:tr>
      <w:tr>
        <w:trPr>
          <w:trHeight w:val="1142"/>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6-K</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7/22/2020</w:t>
            </w:r>
          </w:p>
        </w:tc>
        <w:tc>
          <w:tcPr>
            <w:tcW w:w="360" w:type="dxa"/>
            <w:vAlign w:val="bottom"/>
          </w:tcPr>
          <w:p>
            <w:pPr>
              <w:spacing w:after="0"/>
              <w:rPr>
                <w:sz w:val="24"/>
                <w:szCs w:val="24"/>
                <w:color w:val="auto"/>
              </w:rPr>
            </w:pPr>
          </w:p>
        </w:tc>
      </w:tr>
      <w:tr>
        <w:trPr>
          <w:trHeight w:val="788"/>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6-K</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11/24/2020</w:t>
            </w:r>
          </w:p>
        </w:tc>
        <w:tc>
          <w:tcPr>
            <w:tcW w:w="360" w:type="dxa"/>
            <w:vAlign w:val="bottom"/>
          </w:tcPr>
          <w:p>
            <w:pPr>
              <w:spacing w:after="0"/>
              <w:rPr>
                <w:sz w:val="24"/>
                <w:szCs w:val="24"/>
                <w:color w:val="auto"/>
              </w:rPr>
            </w:pPr>
          </w:p>
        </w:tc>
      </w:tr>
      <w:tr>
        <w:trPr>
          <w:trHeight w:val="433"/>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2/25/2021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56"/>
        </w:trPr>
        <w:tc>
          <w:tcPr>
            <w:tcW w:w="7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001-38067</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8/5/2021</w:t>
            </w:r>
          </w:p>
        </w:tc>
        <w:tc>
          <w:tcPr>
            <w:tcW w:w="360" w:type="dxa"/>
            <w:vAlign w:val="bottom"/>
          </w:tcPr>
          <w:p>
            <w:pPr>
              <w:spacing w:after="0"/>
              <w:rPr>
                <w:sz w:val="24"/>
                <w:szCs w:val="24"/>
                <w:color w:val="auto"/>
              </w:rPr>
            </w:pPr>
          </w:p>
        </w:tc>
      </w:tr>
      <w:tr>
        <w:trPr>
          <w:trHeight w:val="433"/>
        </w:trPr>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89" w:lineRule="exact"/>
        <w:rPr>
          <w:rFonts w:ascii="Times New Roman" w:cs="Times New Roman" w:eastAsia="Times New Roman" w:hAnsi="Times New Roman"/>
          <w:sz w:val="18"/>
          <w:szCs w:val="18"/>
          <w:u w:val="single" w:color="auto"/>
          <w:color w:val="0000FF"/>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FF"/>
        </w:rPr>
      </w:pPr>
    </w:p>
    <w:p>
      <w:pPr>
        <w:spacing w:after="0" w:line="210" w:lineRule="exact"/>
        <w:rPr>
          <w:rFonts w:ascii="Times New Roman" w:cs="Times New Roman" w:eastAsia="Times New Roman" w:hAnsi="Times New Roman"/>
          <w:sz w:val="18"/>
          <w:szCs w:val="18"/>
          <w:u w:val="single" w:color="auto"/>
          <w:color w:val="0000FF"/>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u w:val="single" w:color="auto"/>
          <w:color w:val="0000FF"/>
        </w:rPr>
      </w:pPr>
    </w:p>
    <w:p>
      <w:pPr>
        <w:spacing w:after="0" w:line="210" w:lineRule="exact"/>
        <w:rPr>
          <w:rFonts w:ascii="Times New Roman" w:cs="Times New Roman" w:eastAsia="Times New Roman" w:hAnsi="Times New Roman"/>
          <w:sz w:val="18"/>
          <w:szCs w:val="18"/>
          <w:u w:val="single" w:color="auto"/>
          <w:color w:val="0000FF"/>
        </w:rPr>
      </w:pPr>
    </w:p>
    <w:p>
      <w:pPr>
        <w:ind w:left="4520"/>
        <w:spacing w:after="0"/>
        <w:rPr>
          <w:sz w:val="20"/>
          <w:szCs w:val="20"/>
          <w:color w:val="auto"/>
        </w:rPr>
      </w:pPr>
      <w:r>
        <w:rPr>
          <w:rFonts w:ascii="Times New Roman" w:cs="Times New Roman" w:eastAsia="Times New Roman" w:hAnsi="Times New Roman"/>
          <w:sz w:val="18"/>
          <w:szCs w:val="18"/>
          <w:color w:val="auto"/>
        </w:rPr>
        <w:t>*</w:t>
      </w:r>
    </w:p>
    <w:p>
      <w:pPr>
        <w:spacing w:after="0" w:line="226" w:lineRule="exact"/>
        <w:rPr>
          <w:rFonts w:ascii="Times New Roman" w:cs="Times New Roman" w:eastAsia="Times New Roman" w:hAnsi="Times New Roman"/>
          <w:sz w:val="18"/>
          <w:szCs w:val="18"/>
          <w:u w:val="single" w:color="auto"/>
          <w:color w:val="0000FF"/>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26" w:lineRule="exact"/>
        <w:rPr>
          <w:rFonts w:ascii="Times New Roman" w:cs="Times New Roman" w:eastAsia="Times New Roman" w:hAnsi="Times New Roman"/>
          <w:sz w:val="18"/>
          <w:szCs w:val="18"/>
          <w:u w:val="single" w:color="auto"/>
          <w:color w:val="0000FF"/>
        </w:rPr>
      </w:pPr>
    </w:p>
    <w:p>
      <w:pPr>
        <w:jc w:val="right"/>
        <w:spacing w:after="0"/>
        <w:rPr>
          <w:sz w:val="20"/>
          <w:szCs w:val="20"/>
          <w:color w:val="auto"/>
        </w:rPr>
      </w:pPr>
      <w:r>
        <w:rPr>
          <w:rFonts w:ascii="Times New Roman" w:cs="Times New Roman" w:eastAsia="Times New Roman" w:hAnsi="Times New Roman"/>
          <w:sz w:val="18"/>
          <w:szCs w:val="18"/>
          <w:color w:val="auto"/>
        </w:rPr>
        <w:t>**</w:t>
      </w:r>
    </w:p>
    <w:p>
      <w:pPr>
        <w:sectPr>
          <w:pgSz w:w="11900" w:h="16992" w:orient="portrait"/>
          <w:cols w:equalWidth="0" w:num="3">
            <w:col w:w="480" w:space="620"/>
            <w:col w:w="4420" w:space="520"/>
            <w:col w:w="4660"/>
          </w:cols>
          <w:pgMar w:left="340" w:top="81" w:right="859" w:bottom="0" w:gutter="0" w:footer="0" w:header="0"/>
        </w:sectPr>
      </w:pPr>
    </w:p>
    <w:bookmarkStart w:id="103" w:name="page104"/>
    <w:bookmarkEnd w:id="103"/>
    <w:tbl>
      <w:tblPr>
        <w:tblLayout w:type="fixed"/>
        <w:tblInd w:w="2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80" w:type="dxa"/>
            <w:vAlign w:val="bottom"/>
          </w:tcPr>
          <w:p>
            <w:pPr>
              <w:spacing w:after="0"/>
              <w:rPr>
                <w:sz w:val="15"/>
                <w:szCs w:val="15"/>
                <w:color w:val="auto"/>
              </w:rPr>
            </w:pPr>
          </w:p>
        </w:tc>
        <w:tc>
          <w:tcPr>
            <w:tcW w:w="71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660" w:type="dxa"/>
            <w:vAlign w:val="bottom"/>
          </w:tcPr>
          <w:p>
            <w:pPr>
              <w:spacing w:after="0"/>
              <w:rPr>
                <w:sz w:val="15"/>
                <w:szCs w:val="15"/>
                <w:color w:val="auto"/>
              </w:rPr>
            </w:pPr>
          </w:p>
        </w:tc>
      </w:tr>
      <w:tr>
        <w:trPr>
          <w:trHeight w:val="2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Document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80" w:type="dxa"/>
            <w:vAlign w:val="bottom"/>
          </w:tcPr>
          <w:p>
            <w:pPr>
              <w:spacing w:after="0"/>
              <w:rPr>
                <w:sz w:val="15"/>
                <w:szCs w:val="15"/>
                <w:color w:val="auto"/>
              </w:rPr>
            </w:pPr>
          </w:p>
        </w:tc>
        <w:tc>
          <w:tcPr>
            <w:tcW w:w="71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660" w:type="dxa"/>
            <w:vAlign w:val="bottom"/>
          </w:tcPr>
          <w:p>
            <w:pPr>
              <w:spacing w:after="0"/>
              <w:rPr>
                <w:sz w:val="15"/>
                <w:szCs w:val="15"/>
                <w:color w:val="auto"/>
              </w:rPr>
            </w:pPr>
          </w:p>
        </w:tc>
      </w:tr>
      <w:tr>
        <w:trPr>
          <w:trHeight w:val="2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Document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80" w:type="dxa"/>
            <w:vAlign w:val="bottom"/>
          </w:tcPr>
          <w:p>
            <w:pPr>
              <w:spacing w:after="0"/>
              <w:rPr>
                <w:sz w:val="15"/>
                <w:szCs w:val="15"/>
                <w:color w:val="auto"/>
              </w:rPr>
            </w:pPr>
          </w:p>
        </w:tc>
        <w:tc>
          <w:tcPr>
            <w:tcW w:w="71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660" w:type="dxa"/>
            <w:vAlign w:val="bottom"/>
          </w:tcPr>
          <w:p>
            <w:pPr>
              <w:spacing w:after="0"/>
              <w:rPr>
                <w:sz w:val="15"/>
                <w:szCs w:val="15"/>
                <w:color w:val="auto"/>
              </w:rPr>
            </w:pPr>
          </w:p>
        </w:tc>
      </w:tr>
      <w:tr>
        <w:trPr>
          <w:trHeight w:val="2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Document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80" w:type="dxa"/>
            <w:vAlign w:val="bottom"/>
          </w:tcPr>
          <w:p>
            <w:pPr>
              <w:spacing w:after="0"/>
              <w:rPr>
                <w:sz w:val="15"/>
                <w:szCs w:val="15"/>
                <w:color w:val="auto"/>
              </w:rPr>
            </w:pPr>
          </w:p>
        </w:tc>
        <w:tc>
          <w:tcPr>
            <w:tcW w:w="71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2660" w:type="dxa"/>
            <w:vAlign w:val="bottom"/>
          </w:tcPr>
          <w:p>
            <w:pPr>
              <w:spacing w:after="0"/>
              <w:rPr>
                <w:sz w:val="15"/>
                <w:szCs w:val="15"/>
                <w:color w:val="auto"/>
              </w:rPr>
            </w:pPr>
          </w:p>
        </w:tc>
      </w:tr>
      <w:tr>
        <w:trPr>
          <w:trHeight w:val="23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5" w:lineRule="exact"/>
        <w:rPr>
          <w:sz w:val="20"/>
          <w:szCs w:val="20"/>
          <w:color w:val="auto"/>
        </w:rPr>
      </w:pPr>
    </w:p>
    <w:p>
      <w:pPr>
        <w:jc w:val="both"/>
        <w:ind w:firstLine="5"/>
        <w:spacing w:after="0" w:line="235" w:lineRule="auto"/>
        <w:tabs>
          <w:tab w:leader="none" w:pos="13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104" w:name="page105"/>
    <w:bookmarkEnd w:id="104"/>
    <w:p>
      <w:pPr>
        <w:spacing w:after="0" w:line="13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1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305" w:lineRule="exact"/>
        <w:rPr>
          <w:sz w:val="20"/>
          <w:szCs w:val="20"/>
          <w:color w:val="auto"/>
        </w:rPr>
      </w:pPr>
    </w:p>
    <w:p>
      <w:pPr>
        <w:ind w:left="20"/>
        <w:spacing w:after="0"/>
        <w:tabs>
          <w:tab w:leader="none" w:pos="5480" w:val="left"/>
          <w:tab w:leader="none" w:pos="824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22225</wp:posOffset>
            </wp:positionV>
            <wp:extent cx="19088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1908810" cy="8255"/>
                    </a:xfrm>
                    <a:prstGeom prst="rect">
                      <a:avLst/>
                    </a:prstGeom>
                    <a:noFill/>
                  </pic:spPr>
                </pic:pic>
              </a:graphicData>
            </a:graphic>
          </wp:anchor>
        </w:drawing>
      </w:r>
    </w:p>
    <w:p>
      <w:pPr>
        <w:spacing w:after="0" w:line="36"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David Zaccardelli, Pharm. D.</w:t>
      </w:r>
    </w:p>
    <w:p>
      <w:pPr>
        <w:spacing w:after="0" w:line="42"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603"/>
        </w:trPr>
        <w:tc>
          <w:tcPr>
            <w:tcW w:w="346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Zaccardelli</w:t>
            </w:r>
          </w:p>
        </w:tc>
        <w:tc>
          <w:tcPr>
            <w:tcW w:w="560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12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302"/>
        </w:trPr>
        <w:tc>
          <w:tcPr>
            <w:tcW w:w="3460" w:type="dxa"/>
            <w:vAlign w:val="bottom"/>
            <w:tcBorders>
              <w:left w:val="single" w:sz="8" w:color="auto"/>
            </w:tcBorders>
          </w:tcPr>
          <w:p>
            <w:pPr>
              <w:spacing w:after="0"/>
              <w:rPr>
                <w:sz w:val="24"/>
                <w:szCs w:val="24"/>
                <w:color w:val="auto"/>
              </w:rPr>
            </w:pP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120" w:type="dxa"/>
            <w:vAlign w:val="bottom"/>
            <w:tcBorders>
              <w:right w:val="single" w:sz="8" w:color="auto"/>
            </w:tcBorders>
          </w:tcPr>
          <w:p>
            <w:pPr>
              <w:spacing w:after="0"/>
              <w:rPr>
                <w:sz w:val="24"/>
                <w:szCs w:val="24"/>
                <w:color w:val="auto"/>
              </w:rPr>
            </w:pPr>
          </w:p>
        </w:tc>
      </w:tr>
      <w:tr>
        <w:trPr>
          <w:trHeight w:val="132"/>
        </w:trPr>
        <w:tc>
          <w:tcPr>
            <w:tcW w:w="3460" w:type="dxa"/>
            <w:vAlign w:val="bottom"/>
            <w:tcBorders>
              <w:left w:val="single" w:sz="8" w:color="auto"/>
              <w:bottom w:val="single" w:sz="8" w:color="auto"/>
            </w:tcBorders>
          </w:tcPr>
          <w:p>
            <w:pPr>
              <w:spacing w:after="0"/>
              <w:rPr>
                <w:sz w:val="11"/>
                <w:szCs w:val="11"/>
                <w:color w:val="auto"/>
              </w:rPr>
            </w:pPr>
          </w:p>
        </w:tc>
        <w:tc>
          <w:tcPr>
            <w:tcW w:w="56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David Zaccardelli, Pharm. D.</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Mark W. Hahn</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302"/>
        </w:trPr>
        <w:tc>
          <w:tcPr>
            <w:tcW w:w="3460" w:type="dxa"/>
            <w:vAlign w:val="bottom"/>
            <w:tcBorders>
              <w:left w:val="single" w:sz="8" w:color="auto"/>
            </w:tcBorders>
          </w:tcPr>
          <w:p>
            <w:pPr>
              <w:spacing w:after="0"/>
              <w:rPr>
                <w:sz w:val="24"/>
                <w:szCs w:val="24"/>
                <w:color w:val="auto"/>
              </w:rPr>
            </w:pP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120" w:type="dxa"/>
            <w:vAlign w:val="bottom"/>
            <w:tcBorders>
              <w:right w:val="single" w:sz="8" w:color="auto"/>
            </w:tcBorders>
          </w:tcPr>
          <w:p>
            <w:pPr>
              <w:spacing w:after="0"/>
              <w:rPr>
                <w:sz w:val="24"/>
                <w:szCs w:val="24"/>
                <w:color w:val="auto"/>
              </w:rPr>
            </w:pPr>
          </w:p>
        </w:tc>
      </w:tr>
      <w:tr>
        <w:trPr>
          <w:trHeight w:val="132"/>
        </w:trPr>
        <w:tc>
          <w:tcPr>
            <w:tcW w:w="3460" w:type="dxa"/>
            <w:vAlign w:val="bottom"/>
            <w:tcBorders>
              <w:left w:val="single" w:sz="8" w:color="auto"/>
              <w:bottom w:val="single" w:sz="8" w:color="auto"/>
            </w:tcBorders>
          </w:tcPr>
          <w:p>
            <w:pPr>
              <w:spacing w:after="0"/>
              <w:rPr>
                <w:sz w:val="11"/>
                <w:szCs w:val="11"/>
                <w:color w:val="auto"/>
              </w:rPr>
            </w:pPr>
          </w:p>
        </w:tc>
        <w:tc>
          <w:tcPr>
            <w:tcW w:w="56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Mark W. Hahn</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David Ebsworth, Ph.D.</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David Ebsworth, Ph.D.</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Brady</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James Brady</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Ken Cunningham, M.D.</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Ken Cunningham, M.D.</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Lisa Deschamps</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Lisa Deschamps</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Martin Edwards, M.D.</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Martin Edwards, M.D.</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Rishi Gupta</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Rishi Gupta</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Mahendra Shah, Ph.D.</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Mahendra Shah, Ph.D.</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Vikas Sinha</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Vikas Sinha</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722"/>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Anders Ullman, M.D., Ph.D.</w:t>
            </w:r>
          </w:p>
        </w:tc>
        <w:tc>
          <w:tcPr>
            <w:tcW w:w="56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March 7, 2023</w:t>
            </w: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r>
      <w:tr>
        <w:trPr>
          <w:trHeight w:val="334"/>
        </w:trPr>
        <w:tc>
          <w:tcPr>
            <w:tcW w:w="346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Anders Ullman, M.D., Ph.D.</w:t>
            </w:r>
          </w:p>
        </w:tc>
        <w:tc>
          <w:tcPr>
            <w:tcW w:w="560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r>
      <w:tr>
        <w:trPr>
          <w:trHeight w:val="119"/>
        </w:trPr>
        <w:tc>
          <w:tcPr>
            <w:tcW w:w="3460" w:type="dxa"/>
            <w:vAlign w:val="bottom"/>
            <w:tcBorders>
              <w:left w:val="single" w:sz="8" w:color="auto"/>
              <w:bottom w:val="single" w:sz="8" w:color="auto"/>
            </w:tcBorders>
          </w:tcPr>
          <w:p>
            <w:pPr>
              <w:spacing w:after="0"/>
              <w:rPr>
                <w:sz w:val="10"/>
                <w:szCs w:val="10"/>
                <w:color w:val="auto"/>
              </w:rPr>
            </w:pPr>
          </w:p>
        </w:tc>
        <w:tc>
          <w:tcPr>
            <w:tcW w:w="5600" w:type="dxa"/>
            <w:vAlign w:val="bottom"/>
            <w:tcBorders>
              <w:bottom w:val="single" w:sz="8" w:color="auto"/>
              <w:right w:val="single" w:sz="8" w:color="auto"/>
            </w:tcBorders>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r>
    </w:tbl>
    <w:p>
      <w:pPr>
        <w:sectPr>
          <w:pgSz w:w="11900" w:h="16838" w:orient="portrait"/>
          <w:cols w:equalWidth="0" w:num="1">
            <w:col w:w="11180"/>
          </w:cols>
          <w:pgMar w:left="320" w:top="1440" w:right="399" w:bottom="852"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67310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sectPr>
      </w:pPr>
    </w:p>
    <w:bookmarkStart w:id="108" w:name="page109"/>
    <w:bookmarkEnd w:id="108"/>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 w:type="dxa"/>
            <w:vAlign w:val="bottom"/>
            <w:shd w:val="clear" w:color="auto" w:fill="CCEEFF"/>
          </w:tcPr>
          <w:p>
            <w:pPr>
              <w:spacing w:after="0"/>
              <w:rPr>
                <w:sz w:val="24"/>
                <w:szCs w:val="24"/>
                <w:color w:val="auto"/>
              </w:rPr>
            </w:pPr>
          </w:p>
        </w:tc>
        <w:tc>
          <w:tcPr>
            <w:tcW w:w="9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876)</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5"/>
              </w:rPr>
              <w:t>F-2</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0000FF"/>
            </w:tcBorders>
            <w:shd w:val="clear" w:color="auto" w:fill="CCEEFF"/>
          </w:tcPr>
          <w:p>
            <w:pPr>
              <w:spacing w:after="0"/>
              <w:rPr>
                <w:sz w:val="10"/>
                <w:szCs w:val="10"/>
                <w:color w:val="auto"/>
              </w:rPr>
            </w:pPr>
          </w:p>
        </w:tc>
        <w:tc>
          <w:tcPr>
            <w:tcW w:w="540" w:type="dxa"/>
            <w:vAlign w:val="bottom"/>
            <w:tcBorders>
              <w:top w:val="single" w:sz="8" w:color="0000FF"/>
            </w:tcBorders>
            <w:shd w:val="clear" w:color="auto" w:fill="CCEEFF"/>
          </w:tcPr>
          <w:p>
            <w:pPr>
              <w:spacing w:after="0"/>
              <w:rPr>
                <w:sz w:val="10"/>
                <w:szCs w:val="10"/>
                <w:color w:val="auto"/>
              </w:rPr>
            </w:pPr>
          </w:p>
        </w:tc>
        <w:tc>
          <w:tcPr>
            <w:tcW w:w="1220" w:type="dxa"/>
            <w:vAlign w:val="bottom"/>
            <w:tcBorders>
              <w:top w:val="single" w:sz="8" w:color="CCEEFF"/>
            </w:tcBorders>
            <w:shd w:val="clear" w:color="auto" w:fill="CCEEFF"/>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CCEEFF"/>
            </w:tcBorders>
            <w:shd w:val="clear" w:color="auto" w:fill="CCEEFF"/>
          </w:tcPr>
          <w:p>
            <w:pPr>
              <w:spacing w:after="0"/>
              <w:rPr>
                <w:sz w:val="10"/>
                <w:szCs w:val="10"/>
                <w:color w:val="auto"/>
              </w:rPr>
            </w:pPr>
          </w:p>
        </w:tc>
      </w:tr>
      <w:tr>
        <w:trPr>
          <w:trHeight w:val="289"/>
        </w:trPr>
        <w:tc>
          <w:tcPr>
            <w:tcW w:w="2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5"/>
              </w:rPr>
              <w:t>F-4</w:t>
            </w:r>
          </w:p>
        </w:tc>
      </w:tr>
      <w:tr>
        <w:trPr>
          <w:trHeight w:val="124"/>
        </w:trPr>
        <w:tc>
          <w:tcPr>
            <w:tcW w:w="20" w:type="dxa"/>
            <w:vAlign w:val="bottom"/>
          </w:tcPr>
          <w:p>
            <w:pPr>
              <w:spacing w:after="0"/>
              <w:rPr>
                <w:sz w:val="10"/>
                <w:szCs w:val="10"/>
                <w:color w:val="auto"/>
              </w:rPr>
            </w:pPr>
          </w:p>
        </w:tc>
        <w:tc>
          <w:tcPr>
            <w:tcW w:w="306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89"/>
        </w:trPr>
        <w:tc>
          <w:tcPr>
            <w:tcW w:w="20" w:type="dxa"/>
            <w:vAlign w:val="bottom"/>
            <w:shd w:val="clear" w:color="auto" w:fill="CCEEFF"/>
          </w:tcPr>
          <w:p>
            <w:pPr>
              <w:spacing w:after="0"/>
              <w:rPr>
                <w:sz w:val="24"/>
                <w:szCs w:val="24"/>
                <w:color w:val="auto"/>
              </w:rPr>
            </w:pPr>
          </w:p>
        </w:tc>
        <w:tc>
          <w:tcPr>
            <w:tcW w:w="9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2022 and 2021</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5"/>
              </w:rPr>
              <w:t>F-5</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0000FF"/>
            </w:tcBorders>
            <w:shd w:val="clear" w:color="auto" w:fill="CCEEFF"/>
          </w:tcPr>
          <w:p>
            <w:pPr>
              <w:spacing w:after="0"/>
              <w:rPr>
                <w:sz w:val="10"/>
                <w:szCs w:val="10"/>
                <w:color w:val="auto"/>
              </w:rPr>
            </w:pPr>
          </w:p>
        </w:tc>
        <w:tc>
          <w:tcPr>
            <w:tcW w:w="540" w:type="dxa"/>
            <w:vAlign w:val="bottom"/>
            <w:tcBorders>
              <w:top w:val="single" w:sz="8" w:color="0000FF"/>
            </w:tcBorders>
            <w:shd w:val="clear" w:color="auto" w:fill="CCEEFF"/>
          </w:tcPr>
          <w:p>
            <w:pPr>
              <w:spacing w:after="0"/>
              <w:rPr>
                <w:sz w:val="10"/>
                <w:szCs w:val="10"/>
                <w:color w:val="auto"/>
              </w:rPr>
            </w:pPr>
          </w:p>
        </w:tc>
        <w:tc>
          <w:tcPr>
            <w:tcW w:w="1220" w:type="dxa"/>
            <w:vAlign w:val="bottom"/>
            <w:tcBorders>
              <w:top w:val="single" w:sz="8" w:color="0000FF"/>
            </w:tcBorders>
            <w:shd w:val="clear" w:color="auto" w:fill="CCEEFF"/>
          </w:tcPr>
          <w:p>
            <w:pPr>
              <w:spacing w:after="0"/>
              <w:rPr>
                <w:sz w:val="10"/>
                <w:szCs w:val="10"/>
                <w:color w:val="auto"/>
              </w:rPr>
            </w:pPr>
          </w:p>
        </w:tc>
        <w:tc>
          <w:tcPr>
            <w:tcW w:w="1480" w:type="dxa"/>
            <w:vAlign w:val="bottom"/>
            <w:tcBorders>
              <w:top w:val="single" w:sz="8" w:color="0000FF"/>
            </w:tcBorders>
            <w:shd w:val="clear" w:color="auto" w:fill="CCEEFF"/>
          </w:tcPr>
          <w:p>
            <w:pPr>
              <w:spacing w:after="0"/>
              <w:rPr>
                <w:sz w:val="10"/>
                <w:szCs w:val="10"/>
                <w:color w:val="auto"/>
              </w:rPr>
            </w:pPr>
          </w:p>
        </w:tc>
        <w:tc>
          <w:tcPr>
            <w:tcW w:w="28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CCEEFF"/>
            </w:tcBorders>
            <w:shd w:val="clear" w:color="auto" w:fill="CCEEFF"/>
          </w:tcPr>
          <w:p>
            <w:pPr>
              <w:spacing w:after="0"/>
              <w:rPr>
                <w:sz w:val="10"/>
                <w:szCs w:val="10"/>
                <w:color w:val="auto"/>
              </w:rPr>
            </w:pPr>
          </w:p>
        </w:tc>
      </w:tr>
      <w:tr>
        <w:trPr>
          <w:trHeight w:val="289"/>
        </w:trPr>
        <w:tc>
          <w:tcPr>
            <w:tcW w:w="2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2022 and 2021</w:t>
            </w: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5"/>
              </w:rPr>
              <w:t>F-6</w:t>
            </w:r>
          </w:p>
        </w:tc>
      </w:tr>
      <w:tr>
        <w:trPr>
          <w:trHeight w:val="124"/>
        </w:trPr>
        <w:tc>
          <w:tcPr>
            <w:tcW w:w="20" w:type="dxa"/>
            <w:vAlign w:val="bottom"/>
          </w:tcPr>
          <w:p>
            <w:pPr>
              <w:spacing w:after="0"/>
              <w:rPr>
                <w:sz w:val="10"/>
                <w:szCs w:val="10"/>
                <w:color w:val="auto"/>
              </w:rPr>
            </w:pPr>
          </w:p>
        </w:tc>
        <w:tc>
          <w:tcPr>
            <w:tcW w:w="3060" w:type="dxa"/>
            <w:vAlign w:val="bottom"/>
            <w:tcBorders>
              <w:top w:val="single" w:sz="8" w:color="0000FF"/>
            </w:tcBorders>
          </w:tcPr>
          <w:p>
            <w:pPr>
              <w:spacing w:after="0"/>
              <w:rPr>
                <w:sz w:val="10"/>
                <w:szCs w:val="10"/>
                <w:color w:val="auto"/>
              </w:rPr>
            </w:pPr>
          </w:p>
        </w:tc>
        <w:tc>
          <w:tcPr>
            <w:tcW w:w="146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22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89"/>
        </w:trPr>
        <w:tc>
          <w:tcPr>
            <w:tcW w:w="20" w:type="dxa"/>
            <w:vAlign w:val="bottom"/>
            <w:shd w:val="clear" w:color="auto" w:fill="CCEEFF"/>
          </w:tcPr>
          <w:p>
            <w:pPr>
              <w:spacing w:after="0"/>
              <w:rPr>
                <w:sz w:val="24"/>
                <w:szCs w:val="24"/>
                <w:color w:val="auto"/>
              </w:rPr>
            </w:pPr>
          </w:p>
        </w:tc>
        <w:tc>
          <w:tcPr>
            <w:tcW w:w="9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2021</w:t>
            </w:r>
          </w:p>
        </w:tc>
        <w:tc>
          <w:tcPr>
            <w:tcW w:w="17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5"/>
              </w:rPr>
              <w:t>F-7</w:t>
            </w: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06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0000FF"/>
            </w:tcBorders>
            <w:shd w:val="clear" w:color="auto" w:fill="CCEEFF"/>
          </w:tcPr>
          <w:p>
            <w:pPr>
              <w:spacing w:after="0"/>
              <w:rPr>
                <w:sz w:val="10"/>
                <w:szCs w:val="10"/>
                <w:color w:val="auto"/>
              </w:rPr>
            </w:pPr>
          </w:p>
        </w:tc>
        <w:tc>
          <w:tcPr>
            <w:tcW w:w="540" w:type="dxa"/>
            <w:vAlign w:val="bottom"/>
            <w:tcBorders>
              <w:top w:val="single" w:sz="8" w:color="0000FF"/>
            </w:tcBorders>
            <w:shd w:val="clear" w:color="auto" w:fill="CCEEFF"/>
          </w:tcPr>
          <w:p>
            <w:pPr>
              <w:spacing w:after="0"/>
              <w:rPr>
                <w:sz w:val="10"/>
                <w:szCs w:val="10"/>
                <w:color w:val="auto"/>
              </w:rPr>
            </w:pPr>
          </w:p>
        </w:tc>
        <w:tc>
          <w:tcPr>
            <w:tcW w:w="1220" w:type="dxa"/>
            <w:vAlign w:val="bottom"/>
            <w:tcBorders>
              <w:top w:val="single" w:sz="8" w:color="0000FF"/>
            </w:tcBorders>
            <w:shd w:val="clear" w:color="auto" w:fill="CCEEFF"/>
          </w:tcPr>
          <w:p>
            <w:pPr>
              <w:spacing w:after="0"/>
              <w:rPr>
                <w:sz w:val="10"/>
                <w:szCs w:val="10"/>
                <w:color w:val="auto"/>
              </w:rPr>
            </w:pPr>
          </w:p>
        </w:tc>
        <w:tc>
          <w:tcPr>
            <w:tcW w:w="14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CCEEFF"/>
            </w:tcBorders>
            <w:shd w:val="clear" w:color="auto" w:fill="CCEEFF"/>
          </w:tcPr>
          <w:p>
            <w:pPr>
              <w:spacing w:after="0"/>
              <w:rPr>
                <w:sz w:val="10"/>
                <w:szCs w:val="10"/>
                <w:color w:val="auto"/>
              </w:rPr>
            </w:pPr>
          </w:p>
        </w:tc>
        <w:tc>
          <w:tcPr>
            <w:tcW w:w="1720" w:type="dxa"/>
            <w:vAlign w:val="bottom"/>
            <w:tcBorders>
              <w:top w:val="single" w:sz="8" w:color="CCEEFF"/>
            </w:tcBorders>
            <w:shd w:val="clear" w:color="auto" w:fill="CCEEFF"/>
          </w:tcPr>
          <w:p>
            <w:pPr>
              <w:spacing w:after="0"/>
              <w:rPr>
                <w:sz w:val="10"/>
                <w:szCs w:val="10"/>
                <w:color w:val="auto"/>
              </w:rPr>
            </w:pPr>
          </w:p>
        </w:tc>
      </w:tr>
      <w:tr>
        <w:trPr>
          <w:trHeight w:val="289"/>
        </w:trPr>
        <w:tc>
          <w:tcPr>
            <w:tcW w:w="20" w:type="dxa"/>
            <w:vAlign w:val="bottom"/>
          </w:tcPr>
          <w:p>
            <w:pPr>
              <w:spacing w:after="0"/>
              <w:rPr>
                <w:sz w:val="24"/>
                <w:szCs w:val="24"/>
                <w:color w:val="auto"/>
              </w:rPr>
            </w:pPr>
          </w:p>
        </w:tc>
        <w:tc>
          <w:tcPr>
            <w:tcW w:w="9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Verona Pharma plc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Verona Pharma plc and its subsidiary (the “Company”) as of December 31, 2022 and 2021, and the related consolidated statements of operations and comprehensive loss, of shareholders’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Research and Development Expenditures Related to Clinical Trial Costs</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carries out research and development activities including contracts with clinical research organizations and contract manufacturers. Research and Development expenditure for the year ended December 31, 2022 was $49,283 thousand, of which a significant portion is made up of research and development costs from contracts with clinical research organizations and contract manufacturers. Management estimates expenses resulting from obligations under contracts with vendors and consultants and clinical site agreements by matching expenses with the period in which services and efforts are expended. The Company accounts for these expenses according to the progress of the trials and other development activities which requires management to apply judgment in developing assumptions related to patient progression and the timing of various aspects of the trial.</w:t>
      </w:r>
    </w:p>
    <w:p>
      <w:pPr>
        <w:spacing w:after="0" w:line="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recognition of research and development expenditures related to clinical trial costs is a critical audit matter are the judgment required by management in estimating the cost based upon the progress of clinical trial activities, which in turn led to a high degree of auditor judgment, subjectivity and effort in performing procedures and evaluating evidence of assumptions related to patient progression and the timing of various aspects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line="13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estimated expenses related to clinical trial activities; (ii) evaluating the appropriateness of the method used by management to develop the estimates; (iii) testing the completeness and accuracy of the underlying data used by management; and (iv) evaluating the reasonableness of significant assumptions related to patient progression and the timing of various aspects of the trial. Evaluating management’s assumptions involved considering the associated clinical trial timelines, patient progression, invoicing to date, and the provisions of the related contracts.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2023</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per share amounts and par value of shares)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530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incentive receivables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170,063</w:t>
            </w:r>
          </w:p>
        </w:tc>
        <w:tc>
          <w:tcPr>
            <w:tcW w:w="0" w:type="dxa"/>
            <w:vAlign w:val="bottom"/>
          </w:tcPr>
          <w:p>
            <w:pPr>
              <w:spacing w:after="0"/>
              <w:rPr>
                <w:sz w:val="1"/>
                <w:szCs w:val="1"/>
                <w:color w:val="auto"/>
              </w:rPr>
            </w:pPr>
          </w:p>
        </w:tc>
      </w:tr>
      <w:tr>
        <w:trPr>
          <w:trHeight w:val="158"/>
        </w:trPr>
        <w:tc>
          <w:tcPr>
            <w:tcW w:w="8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interest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16,524</w:t>
            </w: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payable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6"/>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38,582</w:t>
            </w: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£0.05 par value shares: 631,338,246 and 489,177,550 issued, and 606,301,054 and 480,082,966</w:t>
            </w:r>
          </w:p>
        </w:tc>
        <w:tc>
          <w:tcPr>
            <w:tcW w:w="340" w:type="dxa"/>
            <w:vAlign w:val="bottom"/>
            <w:shd w:val="clear" w:color="auto" w:fill="CCEEFF"/>
          </w:tcPr>
          <w:p>
            <w:pPr>
              <w:spacing w:after="0"/>
              <w:rPr>
                <w:sz w:val="23"/>
                <w:szCs w:val="2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0" w:type="dxa"/>
            <w:vAlign w:val="bottom"/>
          </w:tcPr>
          <w:p>
            <w:pPr>
              <w:spacing w:after="0"/>
              <w:rPr>
                <w:sz w:val="1"/>
                <w:szCs w:val="1"/>
                <w:color w:val="auto"/>
              </w:rPr>
            </w:pPr>
          </w:p>
        </w:tc>
      </w:tr>
      <w:tr>
        <w:trPr>
          <w:trHeight w:val="144"/>
        </w:trPr>
        <w:tc>
          <w:tcPr>
            <w:tcW w:w="83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at December 31, 2022 and 2021, respectively</w:t>
            </w:r>
          </w:p>
        </w:tc>
        <w:tc>
          <w:tcPr>
            <w:tcW w:w="3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834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8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shares held in treasury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(263,716)</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148,005</w:t>
            </w: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03"/>
        </w:trPr>
        <w:tc>
          <w:tcPr>
            <w:tcW w:w="8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79,406</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113,313</w:t>
            </w: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(73,313)</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3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(55,587)</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(expense)/income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5"/>
        </w:trPr>
        <w:tc>
          <w:tcPr>
            <w:tcW w:w="834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(68,701)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2"/>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(55,569)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Loss per ordinary share —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2"/>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24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00" w:type="dxa"/>
            <w:vAlign w:val="bottom"/>
          </w:tcPr>
          <w:p>
            <w:pPr>
              <w:spacing w:after="0"/>
              <w:rPr>
                <w:sz w:val="16"/>
                <w:szCs w:val="16"/>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0"/>
        </w:trPr>
        <w:tc>
          <w:tcPr>
            <w:tcW w:w="24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0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6"/>
                <w:szCs w:val="16"/>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488,304,446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366,411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184,854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2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ind w:left="10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(55,569)</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(55,569)</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20"/>
              <w:spacing w:after="0" w:line="170" w:lineRule="exact"/>
              <w:rPr>
                <w:sz w:val="20"/>
                <w:szCs w:val="20"/>
                <w:color w:val="auto"/>
              </w:rPr>
            </w:pPr>
            <w:r>
              <w:rPr>
                <w:rFonts w:ascii="Times New Roman" w:cs="Times New Roman" w:eastAsia="Times New Roman" w:hAnsi="Times New Roman"/>
                <w:sz w:val="18"/>
                <w:szCs w:val="18"/>
                <w:color w:val="auto"/>
              </w:rPr>
              <w:t>Issuance of common shares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under at-the-market sales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0" w:type="dxa"/>
            <w:vAlign w:val="bottom"/>
          </w:tcPr>
          <w:p>
            <w:pPr>
              <w:spacing w:after="0"/>
              <w:rPr>
                <w:sz w:val="1"/>
                <w:szCs w:val="1"/>
                <w:color w:val="auto"/>
              </w:rPr>
            </w:pPr>
          </w:p>
        </w:tc>
      </w:tr>
      <w:tr>
        <w:trPr>
          <w:trHeight w:val="171"/>
        </w:trPr>
        <w:tc>
          <w:tcPr>
            <w:tcW w:w="242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Common shares withheld for</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on vested stock awards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489,177,550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385,070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0" w:type="dxa"/>
            <w:vAlign w:val="bottom"/>
          </w:tcPr>
          <w:p>
            <w:pPr>
              <w:spacing w:after="0"/>
              <w:rPr>
                <w:sz w:val="1"/>
                <w:szCs w:val="1"/>
                <w:color w:val="auto"/>
              </w:rPr>
            </w:pPr>
          </w:p>
        </w:tc>
      </w:tr>
      <w:tr>
        <w:trPr>
          <w:trHeight w:val="171"/>
        </w:trPr>
        <w:tc>
          <w:tcPr>
            <w:tcW w:w="242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issuance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133,279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140,197</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Issuance of common shares</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under at-the-market sales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1"/>
        </w:trPr>
        <w:tc>
          <w:tcPr>
            <w:tcW w:w="242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treasury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options exercised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0" w:type="dxa"/>
            <w:vAlign w:val="bottom"/>
          </w:tcPr>
          <w:p>
            <w:pPr>
              <w:spacing w:after="0"/>
              <w:rPr>
                <w:sz w:val="1"/>
                <w:szCs w:val="1"/>
                <w:color w:val="auto"/>
              </w:rPr>
            </w:pPr>
          </w:p>
        </w:tc>
      </w:tr>
      <w:tr>
        <w:trPr>
          <w:trHeight w:val="171"/>
        </w:trPr>
        <w:tc>
          <w:tcPr>
            <w:tcW w:w="2420" w:type="dxa"/>
            <w:vAlign w:val="bottom"/>
          </w:tcPr>
          <w:p>
            <w:pPr>
              <w:ind w:left="220"/>
              <w:spacing w:after="0" w:line="170" w:lineRule="exact"/>
              <w:rPr>
                <w:sz w:val="20"/>
                <w:szCs w:val="20"/>
                <w:color w:val="auto"/>
              </w:rPr>
            </w:pPr>
            <w:r>
              <w:rPr>
                <w:rFonts w:ascii="Times New Roman" w:cs="Times New Roman" w:eastAsia="Times New Roman" w:hAnsi="Times New Roman"/>
                <w:sz w:val="18"/>
                <w:szCs w:val="18"/>
                <w:color w:val="auto"/>
              </w:rPr>
              <w:t>Common shares withheld for</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on vested stock awards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Equity settled share-based</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20"/>
              <w:spacing w:after="0" w:line="179" w:lineRule="exact"/>
              <w:rPr>
                <w:sz w:val="20"/>
                <w:szCs w:val="20"/>
                <w:color w:val="auto"/>
              </w:rPr>
            </w:pPr>
            <w:r>
              <w:rPr>
                <w:rFonts w:ascii="Times New Roman" w:cs="Times New Roman" w:eastAsia="Times New Roman" w:hAnsi="Times New Roman"/>
                <w:sz w:val="18"/>
                <w:szCs w:val="18"/>
                <w:color w:val="auto"/>
              </w:rPr>
              <w:t>compensation reclassified as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cash-settled</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631,338,246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40,526</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529,187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(4,601)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(333,097)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3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(55,569)</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redemption premium on debt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3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interest recognized as revenue</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incentive receivables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Purchases of furniture and equipment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offering costs in connection with the issuance of ordinary shares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Oxford Term Loan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Oxford Term Loan issuance costs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SVB Term Loan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SVB Term Loan repayment costs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withholding taxes from share-based awards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(39,606)</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187,986</w:t>
            </w: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operations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Verona Pharma plc (the "Company") is incorporated and domiciled in the United Kingdom. Verona Pharma plc has one wholly-owned subsidiary, Verona Pharma, Inc., a Delaware corporation. Rhinopharma Limited (“Rhinopharma”), a Canadian company that was previously a non-operating, wholly-owned subsidiary, was dissolved in June 2021. The address of the registered office is 1 Central Square, Cardiff, CF10 1FS, United Kingdom.</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incurred recurring losses and negative cashflows from operations since inception, and has an accumulated deficit of $333.1 million as of December 31, 2022. The Company expects to incur additional losses and negative cash flows from operations until its products potentially gain regulatory approval and reach commercial profitability, if at all.</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December 31, 2022, will be sufficient to fund its operating expenses and capital expenditure requirements for at least the next 12 months from the date of issuance.</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August 2022, the Company completed an upsized public offering of 14,260,000 ADSs, each representing eight ordinary shares of the Company, nominal value £0.05 per share, at a price to the public of $10.50 per ADS, which includes the exercise in full by the underwriters of their option to purchase an additional 1,860,000 ADSs. The aggregate net proceeds from the offering were $140.2 million after deducting underwriting discounts and commissions and estimated offering expenses payable.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2022, the Company entered into a term loan of up to $150.0 million (the “Oxford Term Loan”) with Oxford Finance Luxembourg S.À R.L.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This Oxford Term Loan replaced the Company’s existing $30.0 million facility with Silicon Valley Bank. See Note 7 for further details.</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2021, the Company entered into an open market sale agreement with respect to an at-the-market offering program (the “ATM Program”) under which the Company may issue and sell its ordinary shares in the form of ADSs, with an aggregate offering price of up to $100.0 million.</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During the year ended December 31, 2021, the Company sold 873,104 ordinary shares (equivalent to 109,138 ADSs) under the ATM Program, at an average price of approximately $0.86 per share (equivalent to $6.91 per ADS), raising aggregate net proceeds of $0.7 million after deducting issuance costs. As of December 31, 2021, there remained $99.3 million of ordinary shares, in the form of ADSs, available for sale under the ATM Program.</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During the year ended December 31, 2022, the Company sold 80,696 ordinary shares (equivalent to 10,087 ADSs) under the ATM Program, at an average price of approximately $0.86 per share (equivalent to $6.86 per ADS), raising aggregate net proceeds of $0.1 million after deducting issuance costs. As of December 31, 2022, there remained $99.2 million of ordinary shares, in the form of ADSs, available for sale under the ATM Program.</w:t>
      </w:r>
    </w:p>
    <w:p>
      <w:pPr>
        <w:spacing w:after="0" w:line="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Additionally, between January 1, 2023 and March 3, 2023, the Company sold 20,321,384 ordinary shares (equivalent to 2,540,173 ADSs) under the ATM Program, at an average price of approximately $2.88 per share (equivalent to $23.08 per ADS), raising aggregate net proceeds of $56.9 million after deducting issuance costs. As of March 3, 2023, there remained $40.6 million of ordinary shares, in the form of ADSs, available for sale under the ATM Program.</w:t>
      </w:r>
    </w:p>
    <w:p>
      <w:pPr>
        <w:spacing w:after="0" w:line="4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Company’s commercial revenue, if any, will be derived from sales of products that we do not expect to be commercially available within the next year, if ever. Additionally, we may enter into out-licensing transactions from time to time but there can be no assurance that the company can secure such transactions in the future. Accordingly, we may need to obtain substantial additional funds to achieve our business objectives including to further advance clinical and regulatory activities, to fund prelaunch and launch related costs and to create an effective sales and marketing organization to commercialize ensifentrine. Any such additional funding will need to be obtained through public or private financings, debt financing, collaboration or licensing agreements and other arrangements. However, there is no guarantee that we will be successful in securing additional capital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Verona Pharma plc and its wholly-owned subsidiaries Verona Pharma, Inc. and Rhinopharma through to its dissolution in June 2021. All inter-company balances and transactions have been eliminated.</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("U.S. GAAP") and the following accounting policies have been consistently applied.</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At the end of the second quarter of 2020, the Company determined that it no longer qualified as a Foreign Private Issuer under SEC rules. As a result, beginning January 1, 2021, the Company was required to report with the SEC on domestic forms and comply with domestic company rules in the United States. The transition to U.S. GAAP was made retrospectively for all periods from the Company’s inception.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and prepayment of research and development expenses and the fair value of share-based compensation. Estimates are periodically reviewed in light of changes in circumstances, facts and experience. Changes in estimates are recorded in the period in which they become known. Actual results could differ from the Company’s estimates.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The excess of the cost of acquisition over the fair value of the Company's share of the identifiable net assets acquired is recorded as goodwill.</w:t>
      </w:r>
    </w:p>
    <w:p>
      <w:pPr>
        <w:spacing w:after="0" w:line="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ninety days or less at acquisition to be cash equivalents. Cash and cash equivalents includes deposits held at call with banks, and in money market funds investing in U.S. and U.K. government debt and liquid securities from highly rated institutions.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interest</w:t>
      </w:r>
    </w:p>
    <w:p>
      <w:pPr>
        <w:spacing w:after="0" w:line="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As part of the Nuance Agreement, the Company received an equity interest in Nuance Biotech, the parent company of Nuance Pharma (see Note 8). As Nuance Biotech’s securities are not publicly traded the equity interest’s fair value is not readily determinable. The Company therefore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Furniture and equipment, net</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Furniture and equipment comprise office furniture and computer equipment and are stated at cost less accumulated depreciation, which is calculated on a straight-line basis over the expected useful economic lives, generally two to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consists of goodwill related to the acquisition of Rhinopharma. Goodwill is not amortized but periodically tested for impairment.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reviews long-lived assets for impairment annually or whenever events or changes in circumstances indicate that the carrying amount of assets may not be fully recoverable.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Company’s revenue consists of revenue from the Company’s strategic agreements for the development and commercialization of ensifentrine. The terms of the agreements typically include non-refundable upfront fees, payments based upon achievement of milestones and eventually revenue from the commercialized product. These agreements usually have both fixed and variable consideration. Non-refundable upfront fees are considered fixed, while milestone payments and revenue from the commercialized product are identified as variable consideration.</w:t>
      </w:r>
    </w:p>
    <w:p>
      <w:pPr>
        <w:spacing w:after="0" w:line="7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agreements within the scope of ASC Topic 606,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The Company’s performance obligations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allocates the total transaction price to each performance obligation based on the estimated relative standalone selling prices of the promised goods or service underlying each performance obligation.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4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At the inception of the arrangement,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such as approvals from regulators, are not considered probable of being achieved until those approvals are received.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Research and development expenses include salaries, share-based compensation and benefits of employees, and other costs related to the Company’s R&amp;D activities, including contracts with clinical research organizations and contract manufacturers. The Company is required to estimate its expenses resulting from its obligations under contracts with vendors and consultants and clinical site agreements in connection with its R&amp;D efforts. The financial terms of these contracts are subject to negotiations which vary contract to contract and may result in payment flows that do not match the periods over which materials or services are provided to the Company under such contracts. The Company’s objective is to reflect the appropriate clinical trial expenses in its consolidated financial statements by matching those expenses with the period in which services and efforts are expended. The Company accounts for these expenses according to the progress of the trials and other development activities. Judgment is applied in determining assumptions related to patient progression and the timing of various aspects of the trial used to measure progress. The Company determines prepaid and accrual estimates through discussions with applicable personnel and outside service providers as to the progress of clinical trials, or other services completed. During the course of a clinical trial, the Company adjusts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rate of clinical trial expense recognition if actual results differ from its estimates. The Company makes estimates of its prepaid and accrued expenses as of each balance sheet date in its consolidated financial statements based on facts and circumstances known at that time. Although the Company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for any particular period. The Company’s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a share-based compensation plan under which various types of equity-based awards may be granted, including stock options and restricted stock units (RSUs). The fair value of share options and RSUs, which are subject to milestone or service conditions with graded vesting, are recognized as compensation expense on a straight-line basis using the graded-vesting method; forfeitures are recognized as they occur.</w:t>
      </w:r>
    </w:p>
    <w:p>
      <w:pPr>
        <w:spacing w:after="0" w:line="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 uses the fair-value based method to determine compensation for all arrangements under which employees receive shares. The fair value of each option and RSU is estimated on the date of grant using the Black-Scholes valuation model that uses assumptions for expected volatility, expected dividends, expected term, and the risk-free interest rate. Expected volatility is based on the historical volatility of the Company’s ordinary shares over the expected term of the options. The expected term of options granted is derived using the simplified method, which computes the expected term as the average of the sum of the vesting term plus the contract term. Historically the risk-free rate has been based on the appropriate U.K. government debt yield. After delisting its Ordinary shares from AIM on October 30, 2020, the Company used U.S. government debt yields.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assumptions used are set out in Note 9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United Kingdom R&amp;D tax credits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Other income relates to R&amp;D tax credits receivable in the UK. As a company that carries out extensive research and development activities, Verona is subject to the UK R&amp;D Small and Medium Enterprise (“SME”) Program. Qualifying expenditures largely comprise employment costs for research staff, consumables, a proportion of relevant, permitted sub-contract costs and certain internal overhead costs incurred as part of research projects for which it does not receive income.</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Tax credits related to the SME Program are received as cash and are recorded as other income, as they are akin to grant income, in the consolidated statements of operations and comprehensive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(“ASC 740”). ASC 740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provides a valuation allowance, if necessary, to reduce deferred tax assets to their estimated realizable value. ASC 740 establishes a single model to address accounting for uncertain tax positions. ASC 740 clarified the accounting for income taxes by prescribing the minimum recognition threshold a tax position is required to meet before being recognized in the financial statements. The Company has no uncertain tax positions.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accounts for comprehensive loss in accordance with ASC 220, “Income Statement - Reporting Comprehensive Income”. Comprehensive income represents all changes in stockholders’ equity during the period except those resulting from investments by, or distributions to, stockholders.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operating and reportable segment, pharmaceutical development. The Company’s long-lived assets are held in the United Kingdom.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Reporting and functional currencies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consolidated financial statements are reported in U.S. dollars, which is also the functional currency of our subsidiary. Transactions in foreign currencies are remeasured into our functional currency at the rate of exchange prevailing at the date of the transaction. Any monetary assets and liabilities arising from these transactions are remeasured into our functional currency at exchange rates prevailing at the balance sheet date or on settlement. Resulting gains and losses are recorded in foreign exchange loss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year ended December 31, 2020, the Company incorporated a trust to facilitate the acquisition of shares, by or for the benefit of employees and former employees. In the year ended December 31, 2022, the Company issued 28.0 million ordinary shares (equivalent to 3.5 million ADSs) to cover expected shares issued upon the vesting of share awards to employees. The Company issued no ordinary shares in the year ended December 31, 2021.</w:t>
      </w:r>
    </w:p>
    <w:p>
      <w:pPr>
        <w:spacing w:after="0" w:line="7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The Company has the indirect ability to control the trust as trustees are required to act in accordance with the trust deed and because the Company controls the issuance of shares to cover awards. As a consequence, the trust is consolidated into the Company’s consolidated financial statements. The shares that were issued to the trust that have not been issued to employees to satisfy vesting of share awards are included in the Consolidated Balance Sheets as treasury shares.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US GAAP defines fair value and requires companies to establish a framework for measuring fair value and disclosure about fair value measurements using a three-tier approach.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financial instruments include cash equivalents, an equity interest, other assets, accounts payable and accrued expenses and other liabilities. Fair value estimates of these instruments are made at a specific point in time, based on relevant market information. These estimates may be subjective in nature and involve uncertainties and matters of significant judgement and therefore cannot be determined with precision. The equity interest is held at cost subject to impairment, following guidance from ASC 321-10-35-2. The carrying amounts of the other instruments are considered to be representative of their fair values because of their short-term nature.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principally cash and cash equivalents, bank deposits and certain receivables.</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holds cash and cash equivalents with highly rated financial institutions and in highly rated money market funds and the Company has not experienced any significant credit losses in these accounts and does not believe the Company is exposed to any significant credit risk on these instruments.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97"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6"/>
          <w:szCs w:val="16"/>
          <w:color w:val="auto"/>
        </w:rPr>
        <w:t>The company accounts for leases in accordance with ASU No. 2016-02, “Leases” (Topic 842) (“ASC 842”). The standard requires lessees to recognize almost all leases on the balance sheet as right-of-use (“ROU”) assets and lease liabilities, and requires leases to be classified as either operating or finance type leases.</w:t>
      </w:r>
    </w:p>
    <w:p>
      <w:pPr>
        <w:spacing w:after="0" w:line="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ASC 842, the Company determines if an arrangement is a lease at inception. ROU assets and liabilities are recognized at the commencement date based on the present value of remaining lease payments. For this purpose, the Company considers only payments that are fixed and determinable at the time of commencement.</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lease terms may include options to extend or terminate the lease. When it is reasonably certain the Company will exercise such options the lease will be recognized as a liability and a corresponding ROU asset also recognized.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leases are included in Right-of-use assets and in Current and non-current operating lease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326)-Measurement of Credit Losses on Financial Instruments. This guidance replaces the current incurred loss impairment methodology.</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Under the new guidance, on initial recognition and at each reporting period, an entity is required to recognize an allowance that reflects its current estimate of credit losses expected to be incurred over the life of the financial instrument based on historical experience, current conditions and reasonable and supportable forecasts. In November 2019, the FASB issued ASU No. 2019-10, Financial Instruments - Credit Losses (Topic 326), Derivatives and Hedging (Topic 815), and Leases (Topic 842): Effective Dates (“ASU 2019-10”). The purpose of this amendment is to create a two tier rollout of major updates, staggering the effective dates between larger public companies and all other entities. This granted certain classes of companies, including Smaller Reporting Companies (“SRCs”), additional time to implement major FASB standards, including ASU 2016-13. Larger public companies will have an effective date for fiscal years beginning after December 15, 2019, including interim periods within those fiscal years. All other entities are permitted to defer adoption of ASU 2016-13, and its related amendments, until fiscal periods beginning after December 15, 2022. Under the current SEC definitions, we meet the definition of an SRC as of the ASU 2019-10 issuance date and are deferring adoption for ASU 2016-13. The guidance requires a modified retrospective transition approach through a cumulative-effect adjustment to retained earnings as of the beginning of the period of adoption. We are currently evaluating the impact of the adoption of ASU 2016-13 on our consolidated financial statements, but do not believe the adoption of this standard will have a material impact on our consolidated financial statements.</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Other accounting standards that have been issued by the FASB or other standards-setting bodies that do not require adoption until a future date are not expected to have a material impact on the Company’s financial statements upon adoption.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Prepaid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consisted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0"/>
        </w:trPr>
        <w:tc>
          <w:tcPr>
            <w:tcW w:w="83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prepaid expenses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r>
      <w:tr>
        <w:trPr>
          <w:trHeight w:val="20"/>
        </w:trPr>
        <w:tc>
          <w:tcPr>
            <w:tcW w:w="8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2" w:name="page123"/>
    <w:bookmarkEnd w:id="122"/>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Property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right-of-use assets (“ROU”) relate to rented office space in London, North Carolina and Georgia with leases ending in 2023, 2024 and 2025, respectively.</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year ended December 31, 2022, the Company entered into a lease arrangement in Georgia for office space and extended its existing London lease and recognized lease liability and corresponding ROU asset of $0.7 million.</w:t>
      </w:r>
    </w:p>
    <w:p>
      <w:pPr>
        <w:spacing w:after="0" w:line="6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the year ended December 31, 2021, the Company extended its existing London lease. As a consequence it modified its accounting for the lease and recorded $0.6 million lease liability and corresponding ROU asset.</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calculate lease liabilities the Company used a weighted average discount rate of 4% and 8% for the years ended December 31, 2022 and December 31, 2021, respectively. The weighted average remaining lease term as of December 31, 2022 and December 31, 2021 was 1.5 and 1.8 years,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annual payments over the remaining lease periods as of December 31, 2022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minimum future lease payments</w:t>
            </w: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total operating lease expense included in selling, general and administrative costs was $0.6 million.</w:t>
            </w: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Accrued expenses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12,314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listing and general corporate costs</w:t>
            </w:r>
          </w:p>
        </w:tc>
        <w:tc>
          <w:tcPr>
            <w:tcW w:w="8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related costs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8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2"/>
              </w:rPr>
              <w:t>13,752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3" w:name="page124"/>
    <w:bookmarkEnd w:id="123"/>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Warrants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 2022 all remaining warrants expired. No warrants were exercised or forfeited in the years ended December 31, 2022 and 2021.</w:t>
      </w:r>
    </w:p>
    <w:p>
      <w:pPr>
        <w:spacing w:after="0" w:line="8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2016, the Company issued 31,115,926 units to new and existing investors at the placing price of £1.4365 per unit. Each unit comprised one ordinary share and one warrant. The warrant holders could subscribe for 0.4 of an ordinary share at a per share exercise price of £1.7238 until May 2, 2022. The warrant holders could opt for a cashless exercise of their warrants, whereby the warrant holders could choose to exchange the warrants held for a reduced number of warrants exercisable at nil consideration. The reduced number of warrants was calculated based on a formula considering the share price and the exercise price of the warrants.</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after a transaction, should the warrants be exercisable for unlisted securities, the warrant holders were able to demand a cash payment instead of the delivery of the underlying securities. Accordingly, the warrants were accounted for as a liability under ASC 480 “Distinguishing Liabilities from Equity”. The warrants were measured at fair value, classified as Level 3 in the fair value hierarchy, with movements recorded in other income/(expense) in the Consolidated Statements of Operations and Comprehensive Loss.</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December 31, 2021, 31,003,155 warrants remained outstanding and entitled the investors to subscribe for, in aggregate, a maximum of 12,401,262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had no intrinsic value as at December 31, 2021.</w:t>
      </w:r>
    </w:p>
    <w:p>
      <w:pPr>
        <w:spacing w:after="0" w:line="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There have been no changes in valuation techniques or transfers between fair value measurement levels during the years ended December 31, 2022 and 2021. There has been no change in fair value between December 31, 2021, and May 2, 2022 (expiration). The warrants were valued using the Black-Scholes model and the table below presents the assumptions used: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95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9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95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 in pounds sterling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1.7238</w:t>
            </w:r>
          </w:p>
        </w:tc>
        <w:tc>
          <w:tcPr>
            <w:tcW w:w="0" w:type="dxa"/>
            <w:vAlign w:val="bottom"/>
          </w:tcPr>
          <w:p>
            <w:pPr>
              <w:spacing w:after="0"/>
              <w:rPr>
                <w:sz w:val="1"/>
                <w:szCs w:val="1"/>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0" w:type="dxa"/>
            <w:vAlign w:val="bottom"/>
          </w:tcPr>
          <w:p>
            <w:pPr>
              <w:spacing w:after="0"/>
              <w:rPr>
                <w:sz w:val="1"/>
                <w:szCs w:val="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to exercise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Calculated value of the warrants, in thousands of U.S. dollars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shows the movement of the value of the warrants (in thousands):</w:t>
            </w: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9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9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9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95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23"/>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41"/>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4" w:name="page125"/>
    <w:bookmarkEnd w:id="124"/>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Term loan</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In November 2020, the Company entered into a term loan facility of up to $30.0 million (the “SVB Term Loan”), consisting of advances of $5.0 million funded at closing and $10.0 million and $15.0 million contingent upon achievement of certain clinical development milestones and other specified conditions.</w:t>
      </w:r>
    </w:p>
    <w:p>
      <w:pPr>
        <w:spacing w:after="0" w:line="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SVB Term Loan was categorized within Level 3 of the fair value hierarchy and the carrying amount of the debt approximated its fair value based on prevailing interest rates as of December 31, 2021.</w:t>
      </w:r>
    </w:p>
    <w:p>
      <w:pPr>
        <w:spacing w:after="0" w:line="5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On October 14, 2022 (the “Effective Date”), the Company entered into a loan and security agreement (the “Loan Agreement”) with Oxford Finance Luxembourg S.À R.L. (“Oxford”) for an aggregate amount of up to $150.0 million (the “Oxford Term Loan”). The Oxford Term Loan provides for an initial term loan advance in an aggregate amount of $10.0 million funded on the Effective Date (the “Oxford Term A Loan”), and up to four additional term loan advances in an aggregate amount of $140.0 million, which are available as described below and subject to terms of the Loan Agreement. The proceeds from the Oxford Term Loan will be used for general corporate and working capital purposes, and a portion of the proceeds of the Oxford Term A Loan have been used to repay in full the existing outstanding indebtedness owed to SVB.</w:t>
      </w:r>
    </w:p>
    <w:p>
      <w:pPr>
        <w:spacing w:after="0" w:line="6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four additional term loan advances under the Oxford Term Loan consist of: a $10.0 million term loan advance (the “Oxford Term B Loan”) which is available at the option of the Company from the Effective Date up to and including March 31, 2023; a $20.0 million term loan advance (the “Oxford Term C Loan”) available during the period commencing on the later of January 1, 2024 and the date on which the Company receives positive ENHANCE-1 data in the Phase 3 clinical trial for ensifentrine sufficient to support the submission of a New Drug Application (“NDA”) with the United States Food and Drug Administration (the “FDA”) for ensifentrine through and including March 29, 2024; a $60.0 million term loan advance (the “Oxford Term D Loan”) available during the period commencing on the later of October 1, 2024 and the date on which the Company receives final approval from the FDA for the Company’s NDA for ensifentrine up to and including December 31, 2024; and a $50.0 million term loan advance (the “Oxford Term E Loan”) available during the interest-only period at the Company’s request and at Oxford’s sole discretion.</w:t>
      </w:r>
    </w:p>
    <w:p>
      <w:pPr>
        <w:spacing w:after="0" w:line="6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Each advance under the Oxford Term Loan accrues interest at a floating per annum rate equal to (a) the greater of (i) the 1-Month CME Term SOFR reference rate on the last business day of the month that immediately precedes the month in which the interest will accrue and (ii) 2.38%, plus (b) 5.50% (the “Basic Rate”). In no event shall the Basic Rate (x) for the Oxford Term A Loan be less than 7.88% and (y) for each other advance be less than the Basic Rate on the business day immediately prior to the funding date of such term advance. The Basic Rate for the Term A Loan for the period from the Effective Date through and including October 31, 2022 shall be 8.54205% and the Basic Rate for each Term Loan shall not increase by more than 2.00% above the applicable Basic Rate as of the funding date of each such term loan. The Oxford Term Loan provides for interest-only payments on a monthly basis until the payment date immediately preceding December 1, 2025, if the Oxford Term D Loan is not made, and December 1, 2026, if the Oxford Term D Loan is made. Thereafter, amortization payments will be payable monthly in equal installments of principal plus accrued interest.</w:t>
      </w:r>
    </w:p>
    <w:p>
      <w:pPr>
        <w:spacing w:after="0" w:line="7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Upon repayment, whether at maturity, upon acceleration or by prepayment or otherwise, the Company shall make a final payment to the lenders in an amount ranging from 1.30% to 3.00% of the aggregate principal balance, depending on the advances received under the Oxford Term Loan. The Company may prepay the Oxford Term Loan in full, or in part, in accordance with the terms of the Loan Agreement, which is subject to a prepayment fee of up to 2.00%, depending on the timing of the prepayment.</w:t>
      </w:r>
    </w:p>
    <w:p>
      <w:pPr>
        <w:spacing w:after="0" w:line="6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Oxford Term Loan is secured by a lien on substantially all of the assets of the Company, other than intellectual property, but including any rights to payments and proceeds from the sale, licensing or disposition of intellectual property. The Company has also granted Oxford a negative pledge with respect to its intellectual property. The Loan Agreement contains customary covenants and representations, including but not limited to financial reporting obligations and limitations on dividends, dispositions, indebtedness, collateral, investments, distributions, transfers, mergers or acquisitions, taxes, corporate changes, deposit accounts, transactions with affiliates and subsidiaries. The Loan Agreement also contains other customary provisions, such as expense reimbursement, non-disclosure obligations as well as indemnification rights for the benefit of Oxford.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5" w:name="page126"/>
    <w:bookmarkEnd w:id="125"/>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Significant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is obligated to pay a milestone payment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time each contingency is resolved, the Company will record the contingent consideration payment (or payable) in connection with the Ligand Agreement as an expense and will classify it within R&amp;D expenses.</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March 2022, the Company entered into an Amendment Agreement (the “Amendment”) with Ligand whereby the Ligand Agreement was amended to clarify certain ambiguous terms in the Ligand Agreement. Pursuant to the Amendment:</w:t>
      </w:r>
    </w:p>
    <w:p>
      <w:pPr>
        <w:spacing w:after="0" w:line="75" w:lineRule="exact"/>
        <w:rPr>
          <w:sz w:val="20"/>
          <w:szCs w:val="20"/>
          <w:color w:val="auto"/>
        </w:rPr>
      </w:pPr>
    </w:p>
    <w:p>
      <w:pPr>
        <w:jc w:val="both"/>
        <w:ind w:firstLine="5"/>
        <w:spacing w:after="0" w:line="233" w:lineRule="auto"/>
        <w:tabs>
          <w:tab w:leader="none" w:pos="6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62"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94" w:lineRule="exact"/>
        <w:rPr>
          <w:rFonts w:ascii="Times New Roman" w:cs="Times New Roman" w:eastAsia="Times New Roman" w:hAnsi="Times New Roman"/>
          <w:sz w:val="18"/>
          <w:szCs w:val="18"/>
          <w:color w:val="auto"/>
        </w:rPr>
      </w:pPr>
    </w:p>
    <w:p>
      <w:pPr>
        <w:ind w:firstLine="5"/>
        <w:spacing w:after="0" w:line="252" w:lineRule="auto"/>
        <w:tabs>
          <w:tab w:leader="none" w:pos="6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51" w:lineRule="exact"/>
        <w:rPr>
          <w:rFonts w:ascii="Times New Roman" w:cs="Times New Roman" w:eastAsia="Times New Roman" w:hAnsi="Times New Roman"/>
          <w:sz w:val="18"/>
          <w:szCs w:val="18"/>
          <w:color w:val="auto"/>
        </w:rPr>
      </w:pPr>
    </w:p>
    <w:p>
      <w:pPr>
        <w:ind w:left="640" w:hanging="635"/>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the Company’s discretion, by issuing to Ligand shares in the Company of equivalent value; and</w:t>
      </w:r>
    </w:p>
    <w:p>
      <w:pPr>
        <w:spacing w:after="0" w:line="94" w:lineRule="exact"/>
        <w:rPr>
          <w:rFonts w:ascii="Times New Roman" w:cs="Times New Roman" w:eastAsia="Times New Roman" w:hAnsi="Times New Roman"/>
          <w:sz w:val="18"/>
          <w:szCs w:val="18"/>
          <w:color w:val="auto"/>
        </w:rPr>
      </w:pPr>
    </w:p>
    <w:p>
      <w:pPr>
        <w:ind w:firstLine="5"/>
        <w:spacing w:after="0" w:line="252" w:lineRule="auto"/>
        <w:tabs>
          <w:tab w:leader="none" w:pos="6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accounted for the $2.0 million payment at execution of the Amendment as selling, general and administrative expense in the consolidated statements of operations as the payment is related to a contract modification.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8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 The Company will recognize these milestones when it is probable that a significant revenue reversal would not occur.</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2022, the $25.0 million cash payment and $15.0 million equity interest had been received and the holding in Nuance Biotech was recorded as Equity interest on the Consolidated Balance Sheet.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interest is recorded at cost as the Company has elected to use the measurement alternative for equity investments without readily determinable fair values. The Company will evaluate this investment for indicators of impairment quarterly. The Company did not identify events or changes in circumstances that may have a significant effect on the fair value of the investment during the year ended December 31, 2022.</w:t>
      </w:r>
    </w:p>
    <w:p>
      <w:pPr>
        <w:spacing w:after="0" w:line="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transaction price at the Effective Date of the Nuance Agreement was $40.0 million consisting of the $25.0 million upfront cash payment and $15.0 million equity interest. Developmental and regulatory milestones, and the manufacture and supply of ensifentrine drug product, were not included in the transaction price as management determined that it is not probable that a significant reversal in the amount of cumulative revenue recognized will not occur. Commercial milestones and sales royalties were also excluded and will be recognized when the milestones are achieved or the sales occur in Greater China.</w:t>
      </w:r>
    </w:p>
    <w:p>
      <w:pPr>
        <w:spacing w:after="0" w:line="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performance obligations in the Nuance Agreement include the grant of the license (including the right to commercialize ensifentrine until the end of the term, the sharing of certain know how, and the sharing of certain clinical and regulatory data), and manufacture and supply of ensifentrine drug product. The Company has determined that the manufacturing and supply was not at a discount.</w:t>
      </w:r>
    </w:p>
    <w:p>
      <w:pPr>
        <w:spacing w:after="0" w:line="6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has determined that the license and the know how shared with Nuance Pharma constitutes functional intellectual property and that revenue relating to this should be recognized at a point in time. Consequently, the Company determined that it fulfilled its obligations to Nuance Pharma after it delivered the know how that will allow Nuance Pharma to file an investigational new drug application in Greater China. This know how was delivered in the year ended December 31, 2021, and the $40.0 million revenue was therefore recognized as revenue in this period.</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the Effective Date, $4.0 million of costs of obtaining the contract were recorded as a contract asset. As of December 31, 2021, the entire cost had been recognized in the Consolidated Statements of Operations.</w:t>
      </w:r>
    </w:p>
    <w:p>
      <w:pPr>
        <w:spacing w:after="0" w:line="5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On April 13, 2022, the Company formalized the Agreement for the Manufacture and Supply of ensifentrine (“Nuance Supply Agreement”) with Nuance Pharma. The Company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The Company has determined it is acting as principal in relation to the manufacture and supply under the Agreement. In its capacity as principal, the Company will recognize the associated revenue on a gross basis. As of December 31, 2022, the Company has recognized $0.5 million in relation to the clinical supply of ensifentrine to Nuance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various share based incentive plans for its staff and issues ordinary shares or ADSs when share-based awards are exercised.</w:t>
      </w:r>
    </w:p>
    <w:p>
      <w:pPr>
        <w:spacing w:after="0" w:line="8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records share-based compensation expense related to share options and RSUs granted to employees and directors. The expense is included in research and development and selling, general and administrative costs, based on the nature of individual employees’ functions, and represents the relevant year's allocation of the expense. The costs of share-based compensation to employees are recognized in the consolidated statements of operations and comprehensive loss, together with a corresponding increase in equity over the vesting period.</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Options are issued with an exercise price of the closing market price on the day before the grant and generally vest over a period of one to four years and the contractual life of all options is ten years.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table shows the allocation of share-based compensation between research and development and selling, general and administrative costs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0" w:type="dxa"/>
            <w:vAlign w:val="bottom"/>
          </w:tcPr>
          <w:p>
            <w:pPr>
              <w:spacing w:after="0"/>
              <w:rPr>
                <w:sz w:val="1"/>
                <w:szCs w:val="1"/>
                <w:color w:val="auto"/>
              </w:rPr>
            </w:pPr>
          </w:p>
        </w:tc>
      </w:tr>
      <w:tr>
        <w:trPr>
          <w:trHeight w:val="32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15,771</w:t>
            </w:r>
          </w:p>
        </w:tc>
        <w:tc>
          <w:tcPr>
            <w:tcW w:w="0" w:type="dxa"/>
            <w:vAlign w:val="bottom"/>
          </w:tcPr>
          <w:p>
            <w:pPr>
              <w:spacing w:after="0"/>
              <w:rPr>
                <w:sz w:val="1"/>
                <w:szCs w:val="1"/>
                <w:color w:val="auto"/>
              </w:rPr>
            </w:pPr>
          </w:p>
        </w:tc>
      </w:tr>
      <w:tr>
        <w:trPr>
          <w:trHeight w:val="105"/>
        </w:trPr>
        <w:tc>
          <w:tcPr>
            <w:tcW w:w="834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120" w:type="dxa"/>
            <w:vAlign w:val="bottom"/>
            <w:shd w:val="clear" w:color="auto" w:fill="CCEEFF"/>
          </w:tcPr>
          <w:p>
            <w:pPr>
              <w:spacing w:after="0"/>
              <w:rPr>
                <w:sz w:val="24"/>
                <w:szCs w:val="24"/>
                <w:color w:val="auto"/>
              </w:rPr>
            </w:pPr>
          </w:p>
        </w:tc>
        <w:tc>
          <w:tcPr>
            <w:tcW w:w="440" w:type="dxa"/>
            <w:vAlign w:val="bottom"/>
            <w:vMerge w:val="restart"/>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0" w:type="dxa"/>
            <w:vAlign w:val="bottom"/>
          </w:tcPr>
          <w:p>
            <w:pPr>
              <w:spacing w:after="0"/>
              <w:rPr>
                <w:sz w:val="1"/>
                <w:szCs w:val="1"/>
                <w:color w:val="auto"/>
              </w:rPr>
            </w:pPr>
          </w:p>
        </w:tc>
      </w:tr>
      <w:tr>
        <w:trPr>
          <w:trHeight w:val="99"/>
        </w:trPr>
        <w:tc>
          <w:tcPr>
            <w:tcW w:w="834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vMerge w:val="continue"/>
            <w:shd w:val="clear" w:color="auto" w:fill="CCEEFF"/>
          </w:tcPr>
          <w:p>
            <w:pPr>
              <w:spacing w:after="0"/>
              <w:rPr>
                <w:sz w:val="8"/>
                <w:szCs w:val="8"/>
                <w:color w:val="auto"/>
              </w:rPr>
            </w:pPr>
          </w:p>
        </w:tc>
        <w:tc>
          <w:tcPr>
            <w:tcW w:w="10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auto"/>
            </w:tcBorders>
            <w:vMerge w:val="continue"/>
            <w:shd w:val="clear" w:color="auto" w:fill="CCEEFF"/>
          </w:tcPr>
          <w:p>
            <w:pPr>
              <w:spacing w:after="0"/>
              <w:rPr>
                <w:sz w:val="8"/>
                <w:szCs w:val="8"/>
                <w:color w:val="auto"/>
              </w:rPr>
            </w:pPr>
          </w:p>
        </w:tc>
        <w:tc>
          <w:tcPr>
            <w:tcW w:w="94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EMI Option Plan and Pre-IPO Option Plan</w:t>
      </w:r>
    </w:p>
    <w:p>
      <w:pPr>
        <w:spacing w:after="0" w:line="9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EMI Option Plan and the Pre-IPO Option Plan were adopted by our board of directors on September 18, 2006, and July 24, 2012, respectively. The total number of shares that may be issued under these plans is the current number of outstanding options over 114,000 ordinary shares, or 14,250 ADSs, for the EMI Option Plan and 1,860,000 ordinary shares, or 232,500 ADSs, for the Pre-IPO Option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further awards have been granted under either plan since the 2017 Incentive Plan was adopted, and no further awards will be granted under them.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Incentive Plan</w:t>
      </w:r>
    </w:p>
    <w:p>
      <w:pPr>
        <w:spacing w:after="0" w:line="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2017 Incentive Plan was adopted by our board of directors and became effective on April 26, 2017, in order to grant share based compensation to certain of the Company’s directors and employees. It provides for the grant of stock options, RSUs, and other share-based awards to Company’s directors, officers, employees and non-employee directors.</w:t>
      </w:r>
    </w:p>
    <w:p>
      <w:pPr>
        <w:spacing w:after="0" w:line="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the year ended December 31, 2019, the Company modified the terms of all RSUs issued prior to January 1, 2019 to include a market based condition, which was also included in the terms of RSUs issued during 2019. The Company's stock price must be maintained above the equivalent of £2 per ordinary share for thirty days for the RSUs to vest, in addition to the existing service condition. The RSUs vest five years after the date of grant irrespective of whether the £2 market condition was met. This modification did not result in an increase in the fair value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activity</w:t>
      </w:r>
    </w:p>
    <w:p>
      <w:pPr>
        <w:spacing w:after="0" w:line="9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number of options, the weighted average grant date fair value per stock option, and the weighted average exercise price are all shown below on a per ordinary shares basis. The Company’s ADSs that are listed on the Nasdaq Global Market each represent eight ordinary shares.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share option activity and includes the options outstanding from all three plans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8"/>
        </w:trPr>
        <w:tc>
          <w:tcPr>
            <w:tcW w:w="5340" w:type="dxa"/>
            <w:vAlign w:val="bottom"/>
          </w:tcPr>
          <w:p>
            <w:pPr>
              <w:spacing w:after="0"/>
              <w:rPr>
                <w:sz w:val="13"/>
                <w:szCs w:val="13"/>
                <w:color w:val="auto"/>
              </w:rPr>
            </w:pPr>
          </w:p>
        </w:tc>
        <w:tc>
          <w:tcPr>
            <w:tcW w:w="150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Number of share</w:t>
            </w:r>
          </w:p>
        </w:tc>
        <w:tc>
          <w:tcPr>
            <w:tcW w:w="140" w:type="dxa"/>
            <w:vAlign w:val="bottom"/>
          </w:tcPr>
          <w:p>
            <w:pPr>
              <w:spacing w:after="0"/>
              <w:rPr>
                <w:sz w:val="13"/>
                <w:szCs w:val="13"/>
                <w:color w:val="auto"/>
              </w:rPr>
            </w:pPr>
          </w:p>
        </w:tc>
        <w:tc>
          <w:tcPr>
            <w:tcW w:w="13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52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remaining contractual</w:t>
            </w:r>
          </w:p>
        </w:tc>
        <w:tc>
          <w:tcPr>
            <w:tcW w:w="100" w:type="dxa"/>
            <w:vAlign w:val="bottom"/>
          </w:tcPr>
          <w:p>
            <w:pPr>
              <w:spacing w:after="0"/>
              <w:rPr>
                <w:sz w:val="13"/>
                <w:szCs w:val="13"/>
                <w:color w:val="auto"/>
              </w:rPr>
            </w:pPr>
          </w:p>
        </w:tc>
        <w:tc>
          <w:tcPr>
            <w:tcW w:w="1280" w:type="dxa"/>
            <w:vAlign w:val="bottom"/>
          </w:tcPr>
          <w:p>
            <w:pPr>
              <w:jc w:val="right"/>
              <w:ind w:right="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Aggregate intrinsic</w:t>
            </w:r>
          </w:p>
        </w:tc>
      </w:tr>
      <w:tr>
        <w:trPr>
          <w:trHeight w:val="198"/>
        </w:trPr>
        <w:tc>
          <w:tcPr>
            <w:tcW w:w="53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exercise price </w:t>
            </w:r>
            <w:r>
              <w:rPr>
                <w:rFonts w:ascii="Times New Roman" w:cs="Times New Roman" w:eastAsia="Times New Roman" w:hAnsi="Times New Roman"/>
                <w:sz w:val="9"/>
                <w:szCs w:val="9"/>
                <w:b w:val="1"/>
                <w:bCs w:val="1"/>
                <w:color w:val="auto"/>
                <w:w w:val="98"/>
              </w:rPr>
              <w:t>(1)</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100" w:type="dxa"/>
            <w:vAlign w:val="bottom"/>
          </w:tcPr>
          <w:p>
            <w:pPr>
              <w:spacing w:after="0"/>
              <w:rPr>
                <w:sz w:val="17"/>
                <w:szCs w:val="17"/>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value (thousands)</w:t>
            </w:r>
          </w:p>
        </w:tc>
      </w:tr>
      <w:tr>
        <w:trPr>
          <w:trHeight w:val="37"/>
        </w:trPr>
        <w:tc>
          <w:tcPr>
            <w:tcW w:w="53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0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13,125,672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106"/>
        </w:trPr>
        <w:tc>
          <w:tcPr>
            <w:tcW w:w="534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30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12,695,200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79"/>
        </w:trPr>
        <w:tc>
          <w:tcPr>
            <w:tcW w:w="534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30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19,276,496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w:t>
            </w:r>
          </w:p>
        </w:tc>
      </w:tr>
      <w:tr>
        <w:trPr>
          <w:trHeight w:val="79"/>
        </w:trPr>
        <w:tc>
          <w:tcPr>
            <w:tcW w:w="534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10,382,256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w:t>
            </w:r>
          </w:p>
        </w:tc>
      </w:tr>
      <w:tr>
        <w:trPr>
          <w:trHeight w:val="104"/>
        </w:trPr>
        <w:tc>
          <w:tcPr>
            <w:tcW w:w="5340" w:type="dxa"/>
            <w:vAlign w:val="bottom"/>
            <w:tcBorders>
              <w:bottom w:val="single" w:sz="8" w:color="CCEEFF"/>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4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ind w:left="160" w:hanging="155"/>
        <w:spacing w:after="0"/>
        <w:tabs>
          <w:tab w:leader="none" w:pos="160" w:val="left"/>
        </w:tabs>
        <w:numPr>
          <w:ilvl w:val="0"/>
          <w:numId w:val="5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exercise prices relate to the equivalent price for an ordinary share, calculated as one eighth of the ADS price.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aggregate intrinsic value and cash receipts related to stock option exercise activity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92075</wp:posOffset>
            </wp:positionV>
            <wp:extent cx="18256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05"/>
        </w:trPr>
        <w:tc>
          <w:tcPr>
            <w:tcW w:w="8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83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stock options exercised</w:t>
            </w:r>
          </w:p>
        </w:tc>
        <w:tc>
          <w:tcPr>
            <w:tcW w:w="88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receipts from stock options exercised</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Determining the fair value of share options and RSUs</w:t>
      </w:r>
    </w:p>
    <w:p>
      <w:pPr>
        <w:spacing w:after="0" w:line="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total fair values of the options and RSUs were estimated using the Black-Scholes option-pricing model for equity-settled compensation, amounted to $19.6 million for instruments granted in the year ended December 31, 2022 and $3.1 million for instruments granted in the year ended December 31, 2021. The cost is amortized over the vesting period of the options and RSUs on a straight-line basis using the graded-vesting method. The following assumptions were used for the Black-Scholes valuation of share options granted in 2022 and 2021.</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Volatility is calculated using historical weekly averages of the Company's share price over a period that is in line with the expected life of the options and RSUs.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 of ordinary shares.</w:t>
      </w:r>
    </w:p>
    <w:p>
      <w:pPr>
        <w:spacing w:after="0" w:line="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The fair value of ordinary shares has been based on the share price of the Company’s shares on AIM on the evening before the date of grant up until October 20, 2020 when the company delisted from AIM. Post this the fair value has been based on the ADS’s traded on Nasdaq on the evening before the date of grant.</w:t>
      </w:r>
    </w:p>
    <w:p>
      <w:pPr>
        <w:spacing w:after="0" w:line="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risk-free interest rate has been based on U.K. Government debt yield for the relevant term at the time of grant up until October 20, 2020 when the company delisted from AIM. After this appropriate U.S Treasury yield rates were used.</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the Company does not have sufficient history to estimate its expected term, the Company applied the simplified method of estimating the expected term of the options, as described in the SEC’s Staff Accounting Bulletins 107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9" w:name="page130"/>
    <w:bookmarkEnd w:id="129"/>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5"/>
        <w:spacing w:after="0" w:line="252" w:lineRule="auto"/>
        <w:tabs>
          <w:tab w:leader="none" w:pos="35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calculated under the simplified method, is applied to all stock options which have similar contractual terms. Using this method, the expected term is determined using the average of the vesting period and the contractual life of the stock options granted</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Expected dividend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expected dividends.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weighted-average assumptions applicable to the share options granted in the applicable years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5"/>
          </w:tcPr>
          <w:p>
            <w:pPr>
              <w:jc w:val="right"/>
              <w:ind w:right="108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6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500" w:type="dxa"/>
            <w:vAlign w:val="bottom"/>
            <w:gridSpan w:val="3"/>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68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- 4.20%</w:t>
            </w:r>
          </w:p>
        </w:tc>
        <w:tc>
          <w:tcPr>
            <w:tcW w:w="1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 -1.32%</w:t>
            </w:r>
          </w:p>
        </w:tc>
        <w:tc>
          <w:tcPr>
            <w:tcW w:w="0" w:type="dxa"/>
            <w:vAlign w:val="bottom"/>
          </w:tcPr>
          <w:p>
            <w:pPr>
              <w:spacing w:after="0"/>
              <w:rPr>
                <w:sz w:val="1"/>
                <w:szCs w:val="1"/>
                <w:color w:val="auto"/>
              </w:rPr>
            </w:pPr>
          </w:p>
        </w:tc>
      </w:tr>
      <w:tr>
        <w:trPr>
          <w:trHeight w:val="106"/>
        </w:trPr>
        <w:tc>
          <w:tcPr>
            <w:tcW w:w="6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lives, years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06"/>
        </w:trPr>
        <w:tc>
          <w:tcPr>
            <w:tcW w:w="6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82.50% - 84.27%</w:t>
            </w:r>
          </w:p>
        </w:tc>
        <w:tc>
          <w:tcPr>
            <w:tcW w:w="1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 - 87.68%</w:t>
            </w:r>
          </w:p>
        </w:tc>
        <w:tc>
          <w:tcPr>
            <w:tcW w:w="0" w:type="dxa"/>
            <w:vAlign w:val="bottom"/>
          </w:tcPr>
          <w:p>
            <w:pPr>
              <w:spacing w:after="0"/>
              <w:rPr>
                <w:sz w:val="1"/>
                <w:szCs w:val="1"/>
                <w:color w:val="auto"/>
              </w:rPr>
            </w:pPr>
          </w:p>
        </w:tc>
      </w:tr>
      <w:tr>
        <w:trPr>
          <w:trHeight w:val="106"/>
        </w:trPr>
        <w:tc>
          <w:tcPr>
            <w:tcW w:w="6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2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 $1.33</w:t>
            </w:r>
          </w:p>
        </w:tc>
        <w:tc>
          <w:tcPr>
            <w:tcW w:w="1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$0.62 - $0.78</w:t>
            </w:r>
          </w:p>
        </w:tc>
        <w:tc>
          <w:tcPr>
            <w:tcW w:w="0" w:type="dxa"/>
            <w:vAlign w:val="bottom"/>
          </w:tcPr>
          <w:p>
            <w:pPr>
              <w:spacing w:after="0"/>
              <w:rPr>
                <w:sz w:val="1"/>
                <w:szCs w:val="1"/>
                <w:color w:val="auto"/>
              </w:rPr>
            </w:pPr>
          </w:p>
        </w:tc>
      </w:tr>
      <w:tr>
        <w:trPr>
          <w:trHeight w:val="106"/>
        </w:trPr>
        <w:tc>
          <w:tcPr>
            <w:tcW w:w="6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9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RSU activity: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0" w:type="dxa"/>
            <w:vAlign w:val="bottom"/>
          </w:tcPr>
          <w:p>
            <w:pPr>
              <w:spacing w:after="0"/>
              <w:rPr>
                <w:sz w:val="1"/>
                <w:szCs w:val="1"/>
                <w:color w:val="auto"/>
              </w:rPr>
            </w:pPr>
          </w:p>
        </w:tc>
      </w:tr>
      <w:tr>
        <w:trPr>
          <w:trHeight w:val="158"/>
        </w:trPr>
        <w:tc>
          <w:tcPr>
            <w:tcW w:w="6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8"/>
        </w:trPr>
        <w:tc>
          <w:tcPr>
            <w:tcW w:w="6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4"/>
        </w:trPr>
        <w:tc>
          <w:tcPr>
            <w:tcW w:w="6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61,992,360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340" w:type="dxa"/>
            <w:vAlign w:val="bottom"/>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3,030,928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(2,002,584)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(24,673,352)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38,347,352</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0.97</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04"/>
        </w:trPr>
        <w:tc>
          <w:tcPr>
            <w:tcW w:w="684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340" w:type="dxa"/>
            <w:vAlign w:val="bottom"/>
            <w:tcBorders>
              <w:bottom w:val="single" w:sz="8" w:color="auto"/>
            </w:tcBorders>
            <w:gridSpan w:val="2"/>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gridSpan w:val="2"/>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80" w:type="dxa"/>
            <w:vAlign w:val="bottom"/>
            <w:gridSpan w:val="2"/>
            <w:vMerge w:val="continue"/>
          </w:tcPr>
          <w:p>
            <w:pPr>
              <w:spacing w:after="0"/>
              <w:rPr>
                <w:sz w:val="17"/>
                <w:szCs w:val="17"/>
                <w:color w:val="auto"/>
              </w:rPr>
            </w:pPr>
          </w:p>
        </w:tc>
        <w:tc>
          <w:tcPr>
            <w:tcW w:w="134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12,877,864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(1,006,264)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(15,676,608)</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34,542,344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04"/>
        </w:trPr>
        <w:tc>
          <w:tcPr>
            <w:tcW w:w="684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gridSpan w:val="2"/>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2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Period in which the</w:t>
            </w:r>
          </w:p>
        </w:tc>
        <w:tc>
          <w:tcPr>
            <w:tcW w:w="0" w:type="dxa"/>
            <w:vAlign w:val="bottom"/>
          </w:tcPr>
          <w:p>
            <w:pPr>
              <w:spacing w:after="0"/>
              <w:rPr>
                <w:sz w:val="1"/>
                <w:szCs w:val="1"/>
                <w:color w:val="auto"/>
              </w:rPr>
            </w:pPr>
          </w:p>
        </w:tc>
      </w:tr>
      <w:tr>
        <w:trPr>
          <w:trHeight w:val="158"/>
        </w:trPr>
        <w:tc>
          <w:tcPr>
            <w:tcW w:w="6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remaining vesting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target must be</w:t>
            </w:r>
          </w:p>
        </w:tc>
        <w:tc>
          <w:tcPr>
            <w:tcW w:w="0" w:type="dxa"/>
            <w:vAlign w:val="bottom"/>
          </w:tcPr>
          <w:p>
            <w:pPr>
              <w:spacing w:after="0"/>
              <w:rPr>
                <w:sz w:val="1"/>
                <w:szCs w:val="1"/>
                <w:color w:val="auto"/>
              </w:rPr>
            </w:pPr>
          </w:p>
        </w:tc>
      </w:tr>
      <w:tr>
        <w:trPr>
          <w:trHeight w:val="198"/>
        </w:trPr>
        <w:tc>
          <w:tcPr>
            <w:tcW w:w="6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achieved</w:t>
            </w:r>
          </w:p>
        </w:tc>
        <w:tc>
          <w:tcPr>
            <w:tcW w:w="0" w:type="dxa"/>
            <w:vAlign w:val="bottom"/>
          </w:tcPr>
          <w:p>
            <w:pPr>
              <w:spacing w:after="0"/>
              <w:rPr>
                <w:sz w:val="1"/>
                <w:szCs w:val="1"/>
                <w:color w:val="auto"/>
              </w:rPr>
            </w:pPr>
          </w:p>
        </w:tc>
      </w:tr>
      <w:tr>
        <w:trPr>
          <w:trHeight w:val="24"/>
        </w:trPr>
        <w:tc>
          <w:tcPr>
            <w:tcW w:w="68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subject to time based vesting</w:t>
            </w: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34,028,680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8"/>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subject to milestone based vesting</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513,664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2022 - 2024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and fair value of RSUs that vested in the years ended December 31, 2022 and 2021, was $14.3 million and $20.2 million, respectively.</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December 31, 2022, total compensation cost related to share options and RSUs granted but not yet recognized was $20.5 million. This cost will be amortized to expense over a weighted average remaining period of 1.0 years and will be adjusted for subsequent forfeitures.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83185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0" w:name="page131"/>
    <w:bookmarkEnd w:id="130"/>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Benefit plans</w:t>
      </w:r>
    </w:p>
    <w:p>
      <w:pPr>
        <w:spacing w:after="0" w:line="20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in the U.S. and a defined contribution plan in the U.K. for its employees and executive directors. The assets of the plans are held separately from those of the Company in independently administered funds.</w:t>
      </w:r>
    </w:p>
    <w:p>
      <w:pPr>
        <w:spacing w:after="0" w:line="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retirement plan cost charge represents the contributions payable by the Company to the plans during the year. Defined contribution costs during the years ended December 31, 2022 and 2021 amounted to $319 thousand and $274 thousand,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Taxation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Verona Pharma plc operates in the United Kingdom and Verona Pharma, Inc. in the United States and they are subject to income taxes in those countries. U.K.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tax is charged at 19% and the U.S. Federal Income tax rate is 21%.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(profit)/loss before income taxes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72,316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60,437</w:t>
            </w: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68,448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are as follows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8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tax expense/(credit)</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expense/(credit)</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9"/>
              </w:rPr>
              <w:t>A reconciliation of the U.K. statutory income tax rate to our effective income tax rate is as follows (in percentages):</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tax rate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options exercised</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3"/>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tax valuation allowance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1"/>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deferred tax assets and liabilities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0"/>
        </w:trPr>
        <w:tc>
          <w:tcPr>
            <w:tcW w:w="8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3"/>
        </w:trPr>
        <w:tc>
          <w:tcPr>
            <w:tcW w:w="83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39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Contingent liability </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12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r>
      <w:tr>
        <w:trPr>
          <w:trHeight w:val="37"/>
        </w:trPr>
        <w:tc>
          <w:tcPr>
            <w:tcW w:w="83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26,931</w:t>
            </w:r>
          </w:p>
        </w:tc>
      </w:tr>
      <w:tr>
        <w:trPr>
          <w:trHeight w:val="413"/>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IPR&amp;D asset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exercisable shares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39,155</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(30,252)</w:t>
            </w: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6"/>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Movements in the deferred tax valuation allowance</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at January 1</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30,252</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30,321</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tax rates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Increase/(decrease) in valuation allowance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w:t>
            </w:r>
          </w:p>
        </w:tc>
      </w:tr>
      <w:tr>
        <w:trPr>
          <w:trHeight w:val="241"/>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at December 31</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firstLine="5"/>
        <w:spacing w:after="0"/>
        <w:tabs>
          <w:tab w:leader="none" w:pos="161" w:val="left"/>
        </w:tabs>
        <w:numPr>
          <w:ilvl w:val="0"/>
          <w:numId w:val="5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These relate to the difference in the tax base of the IP R&amp;D asset and assumed contingent liability and the financial reporting base, which is nil under U.S. GAAP.</w:t>
      </w:r>
    </w:p>
    <w:p>
      <w:pPr>
        <w:spacing w:after="0" w:line="2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Management has reviewed cumulative tax losses and projections of future taxable losses and determined that it is not more likely than not that they will be realized. Accordingly, valuation allowances have been provided over deferred tax assets</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At December 31, 2022 and December 31, 2021, the Company had U.K. net operating losses (“NOLs”) of $155.6 million and $104.3 million, respectively. The NOLs can be carried forward indefinitely to be offset against future taxable profits, but this is restricted to an annual £5 million allowance after which there will be a 50% restriction in the profits that can be covered by losses brought forward.</w:t>
      </w:r>
    </w:p>
    <w:p>
      <w:pPr>
        <w:spacing w:after="0" w:line="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files separate income tax returns in the U.K. and the U.S. All necessary income tax filings have been completed for all years up to and including December 31, 2021, and there are no ongoing tax examinations in any jurisdiction. No interest or penalties were recognized in the consolidated statements of operations or consolidated balance sheets. As of December 31, 2022, the Company has no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68580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2" w:name="page133"/>
    <w:bookmarkEnd w:id="132"/>
    <w:p>
      <w:pPr>
        <w:ind w:left="49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Net loss per share</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6"/>
          <w:szCs w:val="16"/>
          <w:color w:val="auto"/>
        </w:rPr>
        <w:t>Net loss per share is calculated on an ordinary share basis. The Company’s ADSs that are listed on the Nasdaq Global Market each represent eight ordinary shares. The following table shows the computation of basic and diluted earnings per share for 2022 and 2021 (net loss in thousands, loss per share in dollars):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0"/>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3"/>
        </w:trPr>
        <w:tc>
          <w:tcPr>
            <w:tcW w:w="83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(55,569)</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available to ordinary shareholders - basic and diluted</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(55,569)</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529,071,526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473,188,457</w:t>
            </w:r>
          </w:p>
        </w:tc>
      </w:tr>
      <w:tr>
        <w:trPr>
          <w:trHeight w:val="21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During the years ended December 31, 2022 and 2021, outstanding share options, RSUs and warrants of 53,818,840 and 63,443,814, respectively, were not included in the computation of diluted earnings per ordinary share, because to do so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Management is currently negotiating a matter with a supplier that has an estimated exposure of approximately $1.5 million. Management does not currently consider it probable that a payment will be made and therefore no accrual is recorded at December 31, 2022. This matter is expected to be resolved within the next 12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 and other shareholder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years ended December 31, 2022 and 2021 there were no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F-25</w:t>
      </w:r>
    </w:p>
    <w:p>
      <w:pPr>
        <w:sectPr>
          <w:pgSz w:w="11900" w:h="16838" w:orient="portrait"/>
          <w:cols w:equalWidth="0" w:num="1">
            <w:col w:w="11240"/>
          </w:cols>
          <w:pgMar w:left="320" w:top="119" w:right="339" w:bottom="1440" w:gutter="0" w:footer="0" w:header="0"/>
        </w:sectPr>
      </w:pPr>
    </w:p>
    <w:bookmarkStart w:id="133" w:name="page134"/>
    <w:bookmarkEnd w:id="133"/>
    <w:p>
      <w:pPr>
        <w:ind w:left="99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81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SUBSIDIARIES OF VERONA PHARMA PLC</w:t>
            </w:r>
          </w:p>
        </w:tc>
      </w:tr>
      <w:tr>
        <w:trPr>
          <w:trHeight w:val="469"/>
        </w:trPr>
        <w:tc>
          <w:tcPr>
            <w:tcW w:w="2740" w:type="dxa"/>
            <w:vAlign w:val="bottom"/>
          </w:tcPr>
          <w:p>
            <w:pPr>
              <w:ind w:left="20"/>
              <w:spacing w:after="0"/>
              <w:rPr>
                <w:sz w:val="20"/>
                <w:szCs w:val="20"/>
                <w:color w:val="auto"/>
              </w:rPr>
            </w:pPr>
            <w:r>
              <w:rPr>
                <w:rFonts w:ascii="Calibri" w:cs="Calibri" w:eastAsia="Calibri" w:hAnsi="Calibri"/>
                <w:sz w:val="19"/>
                <w:szCs w:val="19"/>
                <w:b w:val="1"/>
                <w:bCs w:val="1"/>
                <w:color w:val="auto"/>
              </w:rPr>
              <w:t>Legal Name of Subsidiary</w:t>
            </w:r>
          </w:p>
        </w:tc>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Calibri" w:cs="Calibri" w:eastAsia="Calibri" w:hAnsi="Calibri"/>
                <w:sz w:val="19"/>
                <w:szCs w:val="19"/>
                <w:b w:val="1"/>
                <w:bCs w:val="1"/>
                <w:color w:val="auto"/>
              </w:rPr>
              <w:t>Jurisdicton of Organizaton</w:t>
            </w:r>
          </w:p>
        </w:tc>
      </w:tr>
      <w:tr>
        <w:trPr>
          <w:trHeight w:val="57"/>
        </w:trPr>
        <w:tc>
          <w:tcPr>
            <w:tcW w:w="27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25"/>
        </w:trPr>
        <w:tc>
          <w:tcPr>
            <w:tcW w:w="2740" w:type="dxa"/>
            <w:vAlign w:val="bottom"/>
            <w:shd w:val="clear" w:color="auto" w:fill="CCEEFF"/>
          </w:tcPr>
          <w:p>
            <w:pPr>
              <w:ind w:left="20"/>
              <w:spacing w:after="0" w:line="225" w:lineRule="exact"/>
              <w:rPr>
                <w:sz w:val="20"/>
                <w:szCs w:val="20"/>
                <w:color w:val="auto"/>
              </w:rPr>
            </w:pPr>
            <w:r>
              <w:rPr>
                <w:rFonts w:ascii="Calibri" w:cs="Calibri" w:eastAsia="Calibri" w:hAnsi="Calibri"/>
                <w:sz w:val="19"/>
                <w:szCs w:val="19"/>
                <w:color w:val="auto"/>
              </w:rPr>
              <w:t>Verona Pharma, Inc.</w:t>
            </w: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line="225" w:lineRule="exact"/>
              <w:rPr>
                <w:sz w:val="20"/>
                <w:szCs w:val="20"/>
                <w:color w:val="auto"/>
              </w:rPr>
            </w:pPr>
            <w:r>
              <w:rPr>
                <w:rFonts w:ascii="Calibri" w:cs="Calibri" w:eastAsia="Calibri" w:hAnsi="Calibri"/>
                <w:sz w:val="19"/>
                <w:szCs w:val="19"/>
                <w:color w:val="auto"/>
              </w:rPr>
              <w:t>Delaware</w:t>
            </w:r>
          </w:p>
        </w:tc>
      </w:tr>
      <w:tr>
        <w:trPr>
          <w:trHeight w:val="57"/>
        </w:trPr>
        <w:tc>
          <w:tcPr>
            <w:tcW w:w="2740" w:type="dxa"/>
            <w:vAlign w:val="bottom"/>
            <w:shd w:val="clear" w:color="auto" w:fill="CCEEFF"/>
          </w:tcPr>
          <w:p>
            <w:pPr>
              <w:spacing w:after="0"/>
              <w:rPr>
                <w:sz w:val="4"/>
                <w:szCs w:val="4"/>
                <w:color w:val="auto"/>
              </w:rPr>
            </w:pPr>
          </w:p>
        </w:tc>
        <w:tc>
          <w:tcPr>
            <w:tcW w:w="27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40" w:type="dxa"/>
            <w:vAlign w:val="bottom"/>
            <w:shd w:val="clear" w:color="auto" w:fill="CCEEFF"/>
          </w:tcPr>
          <w:p>
            <w:pPr>
              <w:spacing w:after="0"/>
              <w:rPr>
                <w:sz w:val="4"/>
                <w:szCs w:val="4"/>
                <w:color w:val="auto"/>
              </w:rPr>
            </w:pPr>
          </w:p>
        </w:tc>
      </w:tr>
    </w:tbl>
    <w:p>
      <w:pPr>
        <w:sectPr>
          <w:pgSz w:w="11900" w:h="16838" w:orient="portrait"/>
          <w:cols w:equalWidth="0" w:num="1">
            <w:col w:w="10900"/>
          </w:cols>
          <w:pgMar w:left="760" w:top="1379" w:right="239" w:bottom="1440" w:gutter="0" w:footer="0" w:header="0"/>
        </w:sectPr>
      </w:pPr>
    </w:p>
    <w:bookmarkStart w:id="134" w:name="page135"/>
    <w:bookmarkEnd w:id="134"/>
    <w:p>
      <w:pPr>
        <w:spacing w:after="0" w:line="371" w:lineRule="exact"/>
        <w:rPr>
          <w:sz w:val="20"/>
          <w:szCs w:val="20"/>
          <w:color w:val="auto"/>
        </w:rPr>
      </w:pPr>
    </w:p>
    <w:p>
      <w:pPr>
        <w:jc w:val="center"/>
        <w:ind w:right="-9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spacing w:after="0" w:line="231"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333-268389, 333-248199, 333-237926, 333-217521) and Form S-3 (No. 333-254530) of Verona Pharma plc of our report dated March 7, 2023 relating to the financial statements,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Reading, United Kingdom</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March 7, 2023</w:t>
      </w:r>
    </w:p>
    <w:p>
      <w:pPr>
        <w:sectPr>
          <w:pgSz w:w="11900" w:h="16838" w:orient="portrait"/>
          <w:cols w:equalWidth="0" w:num="1">
            <w:col w:w="11160"/>
          </w:cols>
          <w:pgMar w:left="320" w:top="1440" w:right="4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Zaccardelli, Pharm.D., certify that:</w:t>
      </w:r>
    </w:p>
    <w:p>
      <w:pPr>
        <w:spacing w:after="0" w:line="213" w:lineRule="exact"/>
        <w:rPr>
          <w:sz w:val="20"/>
          <w:szCs w:val="20"/>
          <w:color w:val="auto"/>
        </w:rPr>
      </w:pPr>
    </w:p>
    <w:p>
      <w:pPr>
        <w:ind w:left="180" w:hanging="175"/>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Verona Pharma plc;</w:t>
      </w:r>
    </w:p>
    <w:p>
      <w:pPr>
        <w:spacing w:after="0" w:line="213" w:lineRule="exact"/>
        <w:rPr>
          <w:rFonts w:ascii="Times New Roman" w:cs="Times New Roman" w:eastAsia="Times New Roman" w:hAnsi="Times New Roman"/>
          <w:sz w:val="18"/>
          <w:szCs w:val="18"/>
          <w:color w:val="auto"/>
        </w:rPr>
      </w:pPr>
    </w:p>
    <w:p>
      <w:pPr>
        <w:ind w:left="320" w:right="100" w:hanging="315"/>
        <w:spacing w:after="0" w:line="331" w:lineRule="auto"/>
        <w:tabs>
          <w:tab w:leader="none" w:pos="1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6"/>
          <w:szCs w:val="16"/>
          <w:color w:val="auto"/>
        </w:rPr>
      </w:pPr>
    </w:p>
    <w:p>
      <w:pPr>
        <w:ind w:left="320" w:right="200" w:hanging="315"/>
        <w:spacing w:after="0" w:line="267" w:lineRule="auto"/>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320" w:right="40" w:hanging="315"/>
        <w:spacing w:after="0" w:line="255" w:lineRule="auto"/>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18"/>
          <w:szCs w:val="18"/>
          <w:color w:val="auto"/>
        </w:rPr>
      </w:pPr>
    </w:p>
    <w:p>
      <w:pPr>
        <w:ind w:left="860" w:hanging="426"/>
        <w:spacing w:after="0" w:line="255" w:lineRule="auto"/>
        <w:tabs>
          <w:tab w:leader="none" w:pos="80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860" w:right="140" w:hanging="426"/>
        <w:spacing w:after="0" w:line="255" w:lineRule="auto"/>
        <w:tabs>
          <w:tab w:leader="none" w:pos="81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860" w:right="40" w:hanging="426"/>
        <w:spacing w:after="0" w:line="267" w:lineRule="auto"/>
        <w:tabs>
          <w:tab w:leader="none" w:pos="80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860" w:right="80" w:hanging="426"/>
        <w:spacing w:after="0" w:line="255" w:lineRule="auto"/>
        <w:tabs>
          <w:tab w:leader="none" w:pos="81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ind w:left="480" w:right="620" w:hanging="317"/>
        <w:spacing w:after="0" w:line="267" w:lineRule="auto"/>
        <w:tabs>
          <w:tab w:leader="none" w:pos="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860" w:right="420" w:hanging="426"/>
        <w:spacing w:after="0" w:line="267" w:lineRule="auto"/>
        <w:tabs>
          <w:tab w:leader="none" w:pos="79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860" w:right="20" w:hanging="426"/>
        <w:spacing w:after="0" w:line="267" w:lineRule="auto"/>
        <w:tabs>
          <w:tab w:leader="none" w:pos="80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8" w:lineRule="exact"/>
        <w:rPr>
          <w:sz w:val="20"/>
          <w:szCs w:val="20"/>
          <w:color w:val="auto"/>
        </w:rPr>
      </w:pPr>
    </w:p>
    <w:p>
      <w:pPr>
        <w:ind w:left="20"/>
        <w:spacing w:after="0"/>
        <w:tabs>
          <w:tab w:leader="none" w:pos="4160" w:val="left"/>
          <w:tab w:leader="none" w:pos="692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38735</wp:posOffset>
            </wp:positionV>
            <wp:extent cx="39262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6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6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379" w:right="339" w:bottom="1440" w:gutter="0" w:footer="0" w:header="0"/>
        </w:sectPr>
      </w:pPr>
    </w:p>
    <w:bookmarkStart w:id="136" w:name="page137"/>
    <w:bookmarkEnd w:id="136"/>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Hahn, certify that:</w:t>
      </w:r>
    </w:p>
    <w:p>
      <w:pPr>
        <w:spacing w:after="0" w:line="213" w:lineRule="exact"/>
        <w:rPr>
          <w:sz w:val="20"/>
          <w:szCs w:val="20"/>
          <w:color w:val="auto"/>
        </w:rPr>
      </w:pPr>
    </w:p>
    <w:p>
      <w:pPr>
        <w:ind w:left="500" w:hanging="180"/>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Verona Pharma plc;</w:t>
      </w:r>
    </w:p>
    <w:p>
      <w:pPr>
        <w:spacing w:after="0" w:line="213" w:lineRule="exact"/>
        <w:rPr>
          <w:rFonts w:ascii="Times New Roman" w:cs="Times New Roman" w:eastAsia="Times New Roman" w:hAnsi="Times New Roman"/>
          <w:sz w:val="18"/>
          <w:szCs w:val="18"/>
          <w:color w:val="auto"/>
        </w:rPr>
      </w:pPr>
    </w:p>
    <w:p>
      <w:pPr>
        <w:ind w:left="640" w:right="440" w:hanging="320"/>
        <w:spacing w:after="0" w:line="255"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Times New Roman" w:cs="Times New Roman" w:eastAsia="Times New Roman" w:hAnsi="Times New Roman"/>
          <w:sz w:val="18"/>
          <w:szCs w:val="18"/>
          <w:color w:val="auto"/>
        </w:rPr>
      </w:pPr>
    </w:p>
    <w:p>
      <w:pPr>
        <w:ind w:left="640" w:right="540" w:hanging="320"/>
        <w:spacing w:after="0" w:line="267"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640" w:right="20" w:hanging="320"/>
        <w:spacing w:after="0" w:line="255"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18"/>
          <w:szCs w:val="18"/>
          <w:color w:val="auto"/>
        </w:rPr>
      </w:pPr>
    </w:p>
    <w:p>
      <w:pPr>
        <w:ind w:left="860" w:hanging="426"/>
        <w:spacing w:after="0" w:line="255" w:lineRule="auto"/>
        <w:tabs>
          <w:tab w:leader="none" w:pos="80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860" w:right="140" w:hanging="426"/>
        <w:spacing w:after="0" w:line="255" w:lineRule="auto"/>
        <w:tabs>
          <w:tab w:leader="none" w:pos="81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860" w:right="40" w:hanging="426"/>
        <w:spacing w:after="0" w:line="267" w:lineRule="auto"/>
        <w:tabs>
          <w:tab w:leader="none" w:pos="80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860" w:right="80" w:hanging="426"/>
        <w:spacing w:after="0" w:line="255" w:lineRule="auto"/>
        <w:tabs>
          <w:tab w:leader="none" w:pos="81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ind w:left="640" w:right="460" w:hanging="320"/>
        <w:spacing w:after="0" w:line="267"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860" w:right="420" w:hanging="426"/>
        <w:spacing w:after="0" w:line="267" w:lineRule="auto"/>
        <w:tabs>
          <w:tab w:leader="none" w:pos="7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860" w:right="20" w:hanging="426"/>
        <w:spacing w:after="0" w:line="267" w:lineRule="auto"/>
        <w:tabs>
          <w:tab w:leader="none" w:pos="80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8" w:lineRule="exact"/>
        <w:rPr>
          <w:sz w:val="20"/>
          <w:szCs w:val="20"/>
          <w:color w:val="auto"/>
        </w:rPr>
      </w:pPr>
    </w:p>
    <w:p>
      <w:pPr>
        <w:ind w:left="20"/>
        <w:spacing w:after="0"/>
        <w:tabs>
          <w:tab w:leader="none" w:pos="3120" w:val="left"/>
          <w:tab w:leader="none" w:pos="680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38735</wp:posOffset>
            </wp:positionV>
            <wp:extent cx="47269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4726940" cy="8255"/>
                    </a:xfrm>
                    <a:prstGeom prst="rect">
                      <a:avLst/>
                    </a:prstGeom>
                    <a:noFill/>
                  </pic:spPr>
                </pic:pic>
              </a:graphicData>
            </a:graphic>
          </wp:anchor>
        </w:drawing>
      </w:r>
    </w:p>
    <w:p>
      <w:pPr>
        <w:spacing w:after="0" w:line="62"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67"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5" w:lineRule="exact"/>
        <w:rPr>
          <w:sz w:val="20"/>
          <w:szCs w:val="20"/>
          <w:color w:val="auto"/>
        </w:rPr>
      </w:pPr>
    </w:p>
    <w:p>
      <w:pPr>
        <w:jc w:val="both"/>
        <w:ind w:right="200" w:firstLine="429"/>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Verona Pharma plc (the “Company”) for the period ended December 31, 2022 as filed with the Securities and Exchange Commission on the date hereof (the “Report”), I certify, pursuant to 18 U.S.C. § 1350, as adopted pursuant to § 906 of the Sarbanes-Oxley Act of 2002, that, to the best of my knowledge:</w:t>
      </w:r>
    </w:p>
    <w:p>
      <w:pPr>
        <w:spacing w:after="0" w:line="180" w:lineRule="exact"/>
        <w:rPr>
          <w:sz w:val="20"/>
          <w:szCs w:val="20"/>
          <w:color w:val="auto"/>
        </w:rPr>
      </w:pPr>
    </w:p>
    <w:p>
      <w:pPr>
        <w:ind w:left="800" w:hanging="366"/>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3" w:lineRule="exact"/>
        <w:rPr>
          <w:rFonts w:ascii="Times New Roman" w:cs="Times New Roman" w:eastAsia="Times New Roman" w:hAnsi="Times New Roman"/>
          <w:sz w:val="18"/>
          <w:szCs w:val="18"/>
          <w:color w:val="auto"/>
        </w:rPr>
      </w:pPr>
    </w:p>
    <w:p>
      <w:pPr>
        <w:ind w:left="800" w:hanging="366"/>
        <w:spacing w:after="0"/>
        <w:tabs>
          <w:tab w:leader="none" w:pos="8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20"/>
        <w:spacing w:after="0"/>
        <w:tabs>
          <w:tab w:leader="none" w:pos="4160" w:val="left"/>
          <w:tab w:leader="none" w:pos="692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38735</wp:posOffset>
            </wp:positionV>
            <wp:extent cx="39262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6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6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79" w:right="339" w:bottom="1440" w:gutter="0" w:footer="0" w:header="0"/>
        </w:sectPr>
      </w:pPr>
    </w:p>
    <w:bookmarkStart w:id="138" w:name="page139"/>
    <w:bookmarkEnd w:id="138"/>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5" w:lineRule="exact"/>
        <w:rPr>
          <w:sz w:val="20"/>
          <w:szCs w:val="20"/>
          <w:color w:val="auto"/>
        </w:rPr>
      </w:pPr>
    </w:p>
    <w:p>
      <w:pPr>
        <w:jc w:val="both"/>
        <w:ind w:right="200" w:firstLine="429"/>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Verona Pharma plc (the “Company”) for the period ended December 31, 2022 as filed with the Securities and Exchange Commission on the date hereof (the “Report”), I certify, pursuant to 18 U.S.C. § 1350, as adopted pursuant to § 906 of the Sarbanes-Oxley Act of 2002, that, to the best of my knowledge:</w:t>
      </w:r>
    </w:p>
    <w:p>
      <w:pPr>
        <w:spacing w:after="0" w:line="180" w:lineRule="exact"/>
        <w:rPr>
          <w:sz w:val="20"/>
          <w:szCs w:val="20"/>
          <w:color w:val="auto"/>
        </w:rPr>
      </w:pPr>
    </w:p>
    <w:p>
      <w:pPr>
        <w:ind w:left="800" w:hanging="366"/>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3" w:lineRule="exact"/>
        <w:rPr>
          <w:rFonts w:ascii="Times New Roman" w:cs="Times New Roman" w:eastAsia="Times New Roman" w:hAnsi="Times New Roman"/>
          <w:sz w:val="18"/>
          <w:szCs w:val="18"/>
          <w:color w:val="auto"/>
        </w:rPr>
      </w:pPr>
    </w:p>
    <w:p>
      <w:pPr>
        <w:ind w:left="800" w:hanging="366"/>
        <w:spacing w:after="0"/>
        <w:tabs>
          <w:tab w:leader="none" w:pos="8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20"/>
        <w:spacing w:after="0"/>
        <w:tabs>
          <w:tab w:leader="none" w:pos="3120" w:val="left"/>
          <w:tab w:leader="none" w:pos="6800" w:val="left"/>
        </w:tabs>
        <w:rPr>
          <w:sz w:val="20"/>
          <w:szCs w:val="20"/>
          <w:color w:val="auto"/>
        </w:rPr>
      </w:pPr>
      <w:r>
        <w:rPr>
          <w:rFonts w:ascii="Times New Roman" w:cs="Times New Roman" w:eastAsia="Times New Roman" w:hAnsi="Times New Roman"/>
          <w:sz w:val="18"/>
          <w:szCs w:val="18"/>
          <w:color w:val="auto"/>
        </w:rPr>
        <w:t>Date: March 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38735</wp:posOffset>
            </wp:positionV>
            <wp:extent cx="47269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4726940" cy="8255"/>
                    </a:xfrm>
                    <a:prstGeom prst="rect">
                      <a:avLst/>
                    </a:prstGeom>
                    <a:noFill/>
                  </pic:spPr>
                </pic:pic>
              </a:graphicData>
            </a:graphic>
          </wp:anchor>
        </w:drawing>
      </w:r>
    </w:p>
    <w:p>
      <w:pPr>
        <w:spacing w:after="0" w:line="62"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67"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10"/>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7"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23" Type="http://schemas.openxmlformats.org/officeDocument/2006/relationships/hyperlink" Target="https://www.sec.gov/Archives/edgar/data/1657312/000110465920140541/tm2039594d1_ex1.htm" TargetMode="External"/><Relationship Id="rId124" Type="http://schemas.openxmlformats.org/officeDocument/2006/relationships/hyperlink" Target="https://www.sec.gov/Archives/edgar/data/1657312/000165731218000006/exhibit21depositagreemen.htm" TargetMode="External"/><Relationship Id="rId125" Type="http://schemas.openxmlformats.org/officeDocument/2006/relationships/hyperlink" Target="https://www.sec.gov/Archives/edgar/data/1657312/000104746917002313/a2231519zex-4_3.htm" TargetMode="External"/><Relationship Id="rId126" Type="http://schemas.openxmlformats.org/officeDocument/2006/relationships/hyperlink" Target="https://www.sec.gov/Archives/edgar/data/1657312/000104746917002313/a2231519zex-4_4.htm" TargetMode="External"/><Relationship Id="rId127" Type="http://schemas.openxmlformats.org/officeDocument/2006/relationships/hyperlink" Target="https://www.sec.gov/Archives/edgar/data/1657312/000165731221000004/vrna-descriptionofsecuriti.htm" TargetMode="External"/><Relationship Id="rId128" Type="http://schemas.openxmlformats.org/officeDocument/2006/relationships/hyperlink" Target="https://www.sec.gov/Archives/edgar/data/1657312/000104746917002313/a2231519zex-10_1.htm" TargetMode="External"/><Relationship Id="rId129" Type="http://schemas.openxmlformats.org/officeDocument/2006/relationships/hyperlink" Target="https://www.sec.gov/Archives/edgar/data/1657312/000110465920085620/tm2025101d2_ex2.htm" TargetMode="External"/><Relationship Id="rId130" Type="http://schemas.openxmlformats.org/officeDocument/2006/relationships/hyperlink" Target="https://www.sec.gov/Archives/edgar/data/1657312/000104746917002313/a2231519zex-10_2.htm" TargetMode="External"/><Relationship Id="rId131" Type="http://schemas.openxmlformats.org/officeDocument/2006/relationships/hyperlink" Target="https://www.sec.gov/Archives/edgar/data/1657312/000110465922040140/tm2210807d1_ex10-1.htm" TargetMode="External"/><Relationship Id="rId132" Type="http://schemas.openxmlformats.org/officeDocument/2006/relationships/hyperlink" Target="https://www.sec.gov/Archives/edgar/data/1657312/000165731220000019/ex433reguslease13914316s.htm" TargetMode="External"/><Relationship Id="rId133" Type="http://schemas.openxmlformats.org/officeDocument/2006/relationships/hyperlink" Target="https://www.sec.gov/Archives/edgar/data/1657312/000165731220000019/ex434reguslease14214416s.htm" TargetMode="External"/><Relationship Id="rId134" Type="http://schemas.openxmlformats.org/officeDocument/2006/relationships/hyperlink" Target="https://www.sec.gov/Archives/edgar/data/1657312/000165731220000019/ex435reguslease145a15116.htm" TargetMode="External"/><Relationship Id="rId135" Type="http://schemas.openxmlformats.org/officeDocument/2006/relationships/hyperlink" Target="https://www.sec.gov/Archives/edgar/data/1657312/000165731220000019/ex436regushudsonyardslea.htm" TargetMode="External"/><Relationship Id="rId136" Type="http://schemas.openxmlformats.org/officeDocument/2006/relationships/hyperlink" Target="https://www.sec.gov/Archives/edgar/data/1657312/000165731222000010/reguslease_139142144xend.htm" TargetMode="External"/><Relationship Id="rId138" Type="http://schemas.openxmlformats.org/officeDocument/2006/relationships/hyperlink" Target="https://www.sec.gov/Archives/edgar/data/1657312/000165731222000010/reguslease_145a151xendin.htm" TargetMode="External"/><Relationship Id="rId139" Type="http://schemas.openxmlformats.org/officeDocument/2006/relationships/hyperlink" Target="https://www.sec.gov/Archives/edgar/data/1657312/000165731222000010/veronapharmaincbriercree.htm" TargetMode="External"/><Relationship Id="rId140" Type="http://schemas.openxmlformats.org/officeDocument/2006/relationships/hyperlink" Target="https://www.sec.gov/Archives/edgar/data/1657312/000104746917002313/a2231519zex-10_4.htm" TargetMode="External"/><Relationship Id="rId141" Type="http://schemas.openxmlformats.org/officeDocument/2006/relationships/hyperlink" Target="https://www.sec.gov/Archives/edgar/data/1657312/000104746917002313/a2231519zex-10_5.htm" TargetMode="External"/><Relationship Id="rId142" Type="http://schemas.openxmlformats.org/officeDocument/2006/relationships/hyperlink" Target="https://www.sec.gov/Archives/edgar/data/1657312/000165731218000006/exhibit462017plan.htm" TargetMode="External"/><Relationship Id="rId143" Type="http://schemas.openxmlformats.org/officeDocument/2006/relationships/hyperlink" Target="https://www.sec.gov/Archives/edgar/data/1657312/000165731220000019/a47dzaccarrelliemploymen.htm" TargetMode="External"/><Relationship Id="rId144" Type="http://schemas.openxmlformats.org/officeDocument/2006/relationships/hyperlink" Target="https://www.sec.gov/Archives/edgar/data/1657312/000165731219000007/kathyrickardemploymentag.htm" TargetMode="External"/><Relationship Id="rId145" Type="http://schemas.openxmlformats.org/officeDocument/2006/relationships/hyperlink" Target="https://www.sec.gov/Archives/edgar/data/1657312/000104746917002313/a2231519zex-10_9.htm" TargetMode="External"/><Relationship Id="rId146" Type="http://schemas.openxmlformats.org/officeDocument/2006/relationships/hyperlink" Target="https://www.sec.gov/Archives/edgar/data/1657312/000110465920095810/tm2027314d2_ex10-12.htm" TargetMode="External"/><Relationship Id="rId147" Type="http://schemas.openxmlformats.org/officeDocument/2006/relationships/hyperlink" Target="https://www.sec.gov/Archives/edgar/data/1657312/000104746917002697/a2231786zex-10_111.htm" TargetMode="External"/><Relationship Id="rId148" Type="http://schemas.openxmlformats.org/officeDocument/2006/relationships/hyperlink" Target="https://www.sec.gov/Archives/edgar/data/1657312/000104746917002697/a2231786zex-10_112.htm" TargetMode="External"/><Relationship Id="rId149" Type="http://schemas.openxmlformats.org/officeDocument/2006/relationships/hyperlink" Target="https://www.sec.gov/Archives/edgar/data/1657312/000110465921103493/tm2124824d1_ex10-1.htm" TargetMode="External"/><Relationship Id="rId150" Type="http://schemas.openxmlformats.org/officeDocument/2006/relationships/hyperlink" Target="https://www.sec.gov/Archives/edgar/data/1657312/000104746917002313/a2231519zex-10_12.htm" TargetMode="External"/><Relationship Id="rId151" Type="http://schemas.openxmlformats.org/officeDocument/2006/relationships/hyperlink" Target="https://www.sec.gov/Archives/edgar/data/1657312/000104746917002313/a2231519zex-10_13.htm" TargetMode="External"/><Relationship Id="rId152" Type="http://schemas.openxmlformats.org/officeDocument/2006/relationships/hyperlink" Target="https://www.sec.gov/Archives/edgar/data/1657312/000104746917002313/a2231519zex-10_14.htm" TargetMode="External"/><Relationship Id="rId153" Type="http://schemas.openxmlformats.org/officeDocument/2006/relationships/hyperlink" Target="https://www.sec.gov/Archives/edgar/data/1657312/000110465920085620/tm2025101d2_ex1.htm" TargetMode="External"/><Relationship Id="rId154" Type="http://schemas.openxmlformats.org/officeDocument/2006/relationships/hyperlink" Target="https://www.sec.gov/Archives/edgar/data/1657312/000110465920128643/tm2036424d1_ex1-1.htm" TargetMode="External"/><Relationship Id="rId155" Type="http://schemas.openxmlformats.org/officeDocument/2006/relationships/hyperlink" Target="https://www.sec.gov/Archives/edgar/data/1657312/000165731221000004/non-executicedirectorappoi.htm" TargetMode="External"/><Relationship Id="rId156" Type="http://schemas.openxmlformats.org/officeDocument/2006/relationships/hyperlink" Target="https://www.sec.gov/Archives/edgar/data/1657312/000165731221000018/exhibit101q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2023-03-07T07:53:46Z</dcterms:created>
  <dcterms:modified xsi:type="dcterms:W3CDTF">2023-03-07T07:53:46Z</dcterms:modified>
</cp:coreProperties>
</file>