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5"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-619125</wp:posOffset>
            </wp:positionV>
            <wp:extent cx="57785" cy="632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734060</wp:posOffset>
            </wp:positionV>
            <wp:extent cx="6995160" cy="50279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02793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Hahn Mark W</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 MORE LONDON RIVERSIDE</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Verona Pharma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VRNA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08/01/2025</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ind w:left="-7" w:right="660" w:firstLine="7"/>
        <w:spacing w:after="0" w:line="253"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813"/>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05" w:lineRule="exact"/>
        <w:rPr>
          <w:sz w:val="24"/>
          <w:szCs w:val="24"/>
          <w:color w:val="auto"/>
        </w:rPr>
      </w:pPr>
    </w:p>
    <w:p>
      <w:pPr>
        <w:sectPr>
          <w:pgSz w:w="11900" w:h="16838" w:orient="portrait"/>
          <w:cols w:equalWidth="0" w:num="3">
            <w:col w:w="3180" w:space="720"/>
            <w:col w:w="3107" w:space="720"/>
            <w:col w:w="3353"/>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3540" w:type="dxa"/>
            <w:vAlign w:val="bottom"/>
            <w:gridSpan w:val="6"/>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00" w:type="dxa"/>
            <w:vAlign w:val="bottom"/>
            <w:gridSpan w:val="10"/>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540" w:type="dxa"/>
            <w:vAlign w:val="bottom"/>
            <w:gridSpan w:val="6"/>
            <w:vMerge w:val="continue"/>
          </w:tcPr>
          <w:p>
            <w:pPr>
              <w:spacing w:after="0"/>
              <w:rPr>
                <w:sz w:val="7"/>
                <w:szCs w:val="7"/>
                <w:color w:val="auto"/>
              </w:rPr>
            </w:pPr>
          </w:p>
        </w:tc>
        <w:tc>
          <w:tcPr>
            <w:tcW w:w="38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gridSpan w:val="2"/>
          </w:tcPr>
          <w:p>
            <w:pPr>
              <w:ind w:left="44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X0</w:t>
            </w:r>
          </w:p>
        </w:tc>
        <w:tc>
          <w:tcPr>
            <w:tcW w:w="10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SE1 2RE</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40" w:type="dxa"/>
            <w:vAlign w:val="bottom"/>
            <w:gridSpan w:val="7"/>
          </w:tcPr>
          <w:p>
            <w:pPr>
              <w:ind w:left="120"/>
              <w:spacing w:after="0" w:line="134"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2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60" w:type="dxa"/>
            <w:vAlign w:val="bottom"/>
            <w:tcBorders>
              <w:bottom w:val="single" w:sz="8" w:color="2C2C2C"/>
            </w:tcBorders>
            <w:gridSpan w:val="7"/>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560" w:type="dxa"/>
            <w:vAlign w:val="bottom"/>
            <w:tcBorders>
              <w:bottom w:val="single" w:sz="8" w:color="2C2C2C"/>
            </w:tcBorders>
            <w:gridSpan w:val="3"/>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600"/>
              <w:spacing w:after="0"/>
              <w:rPr>
                <w:sz w:val="20"/>
                <w:szCs w:val="20"/>
                <w:color w:val="auto"/>
              </w:rPr>
            </w:pPr>
            <w:r>
              <w:rPr>
                <w:rFonts w:ascii="Arial" w:cs="Arial" w:eastAsia="Arial" w:hAnsi="Arial"/>
                <w:sz w:val="11"/>
                <w:szCs w:val="11"/>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0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gridSpan w:val="2"/>
          </w:tcPr>
          <w:p>
            <w:pPr>
              <w:ind w:left="10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80" w:type="dxa"/>
            <w:vAlign w:val="bottom"/>
            <w:gridSpan w:val="4"/>
          </w:tcPr>
          <w:p>
            <w:pPr>
              <w:jc w:val="right"/>
              <w:ind w:right="24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60" w:type="dxa"/>
            <w:vAlign w:val="bottom"/>
            <w:gridSpan w:val="3"/>
          </w:tcPr>
          <w:p>
            <w:pPr>
              <w:ind w:left="60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10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7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w w:val="95"/>
              </w:rPr>
              <w:t>Ordinary Shares</w:t>
            </w:r>
            <w:r>
              <w:rPr>
                <w:rFonts w:ascii="Times New Roman" w:cs="Times New Roman" w:eastAsia="Times New Roman" w:hAnsi="Times New Roman"/>
                <w:sz w:val="21"/>
                <w:szCs w:val="21"/>
                <w:color w:val="008000"/>
                <w:w w:val="95"/>
                <w:vertAlign w:val="superscript"/>
              </w:rPr>
              <w:t>(1)</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80"/>
              <w:spacing w:after="0"/>
              <w:rPr>
                <w:sz w:val="20"/>
                <w:szCs w:val="20"/>
                <w:color w:val="auto"/>
              </w:rPr>
            </w:pPr>
            <w:r>
              <w:rPr>
                <w:rFonts w:ascii="Times New Roman" w:cs="Times New Roman" w:eastAsia="Times New Roman" w:hAnsi="Times New Roman"/>
                <w:sz w:val="17"/>
                <w:szCs w:val="17"/>
                <w:color w:val="0000FF"/>
              </w:rPr>
              <w:t>08/01/2025</w:t>
            </w: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255,696</w:t>
            </w:r>
          </w:p>
        </w:tc>
        <w:tc>
          <w:tcPr>
            <w:tcW w:w="5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tcPr>
          <w:p>
            <w:pPr>
              <w:jc w:val="right"/>
              <w:ind w:right="15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181"/>
              <w:spacing w:after="0"/>
              <w:rPr>
                <w:sz w:val="20"/>
                <w:szCs w:val="20"/>
                <w:color w:val="auto"/>
              </w:rPr>
            </w:pPr>
            <w:r>
              <w:rPr>
                <w:rFonts w:ascii="Times New Roman" w:cs="Times New Roman" w:eastAsia="Times New Roman" w:hAnsi="Times New Roman"/>
                <w:sz w:val="17"/>
                <w:szCs w:val="17"/>
                <w:color w:val="0000FF"/>
              </w:rPr>
              <w:t>12,673,880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w w:val="95"/>
              </w:rPr>
              <w:t>Ordinary Shares</w:t>
            </w:r>
            <w:r>
              <w:rPr>
                <w:rFonts w:ascii="Times New Roman" w:cs="Times New Roman" w:eastAsia="Times New Roman" w:hAnsi="Times New Roman"/>
                <w:sz w:val="21"/>
                <w:szCs w:val="21"/>
                <w:color w:val="008000"/>
                <w:w w:val="95"/>
                <w:vertAlign w:val="superscript"/>
              </w:rPr>
              <w:t>(1)</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80"/>
              <w:spacing w:after="0"/>
              <w:rPr>
                <w:sz w:val="20"/>
                <w:szCs w:val="20"/>
                <w:color w:val="auto"/>
              </w:rPr>
            </w:pPr>
            <w:r>
              <w:rPr>
                <w:rFonts w:ascii="Times New Roman" w:cs="Times New Roman" w:eastAsia="Times New Roman" w:hAnsi="Times New Roman"/>
                <w:sz w:val="17"/>
                <w:szCs w:val="17"/>
                <w:color w:val="0000FF"/>
              </w:rPr>
              <w:t>08/01/2025</w:t>
            </w: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208,912</w:t>
            </w:r>
          </w:p>
        </w:tc>
        <w:tc>
          <w:tcPr>
            <w:tcW w:w="5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13.1437</w:t>
            </w:r>
            <w:r>
              <w:rPr>
                <w:rFonts w:ascii="Times New Roman" w:cs="Times New Roman" w:eastAsia="Times New Roman" w:hAnsi="Times New Roman"/>
                <w:sz w:val="21"/>
                <w:szCs w:val="21"/>
                <w:color w:val="008000"/>
                <w:w w:val="93"/>
                <w:vertAlign w:val="superscript"/>
              </w:rPr>
              <w:t>(3)</w:t>
            </w:r>
          </w:p>
        </w:tc>
        <w:tc>
          <w:tcPr>
            <w:tcW w:w="1260" w:type="dxa"/>
            <w:vAlign w:val="bottom"/>
            <w:tcBorders>
              <w:bottom w:val="single" w:sz="8" w:color="2C2C2C"/>
            </w:tcBorders>
            <w:gridSpan w:val="3"/>
          </w:tcPr>
          <w:p>
            <w:pPr>
              <w:jc w:val="center"/>
              <w:ind w:right="101"/>
              <w:spacing w:after="0"/>
              <w:rPr>
                <w:sz w:val="20"/>
                <w:szCs w:val="20"/>
                <w:color w:val="auto"/>
              </w:rPr>
            </w:pPr>
            <w:r>
              <w:rPr>
                <w:rFonts w:ascii="Times New Roman" w:cs="Times New Roman" w:eastAsia="Times New Roman" w:hAnsi="Times New Roman"/>
                <w:sz w:val="17"/>
                <w:szCs w:val="17"/>
                <w:color w:val="0000FF"/>
              </w:rPr>
              <w:t>12,464,968</w:t>
            </w:r>
            <w:r>
              <w:rPr>
                <w:rFonts w:ascii="Times New Roman" w:cs="Times New Roman" w:eastAsia="Times New Roman" w:hAnsi="Times New Roman"/>
                <w:sz w:val="21"/>
                <w:szCs w:val="21"/>
                <w:color w:val="008000"/>
                <w:vertAlign w:val="superscript"/>
              </w:rPr>
              <w:t>(4)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jc w:val="right"/>
              <w:ind w:righ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gridSpan w:val="2"/>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1"/>
                <w:szCs w:val="11"/>
                <w:b w:val="1"/>
                <w:bCs w:val="1"/>
                <w:color w:val="auto"/>
              </w:rPr>
              <w:t>4.</w:t>
            </w:r>
          </w:p>
        </w:tc>
        <w:tc>
          <w:tcPr>
            <w:tcW w:w="3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3"/>
          </w:tcPr>
          <w:p>
            <w:pPr>
              <w:ind w:left="80"/>
              <w:spacing w:after="0"/>
              <w:rPr>
                <w:sz w:val="20"/>
                <w:szCs w:val="20"/>
                <w:color w:val="auto"/>
              </w:rPr>
            </w:pPr>
            <w:r>
              <w:rPr>
                <w:rFonts w:ascii="Arial" w:cs="Arial" w:eastAsia="Arial" w:hAnsi="Arial"/>
                <w:sz w:val="11"/>
                <w:szCs w:val="11"/>
                <w:b w:val="1"/>
                <w:bCs w:val="1"/>
                <w:color w:val="auto"/>
              </w:rPr>
              <w:t>Transaction</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3"/>
          </w:tcPr>
          <w:p>
            <w:pPr>
              <w:ind w:left="80"/>
              <w:spacing w:after="0"/>
              <w:rPr>
                <w:sz w:val="20"/>
                <w:szCs w:val="20"/>
                <w:color w:val="auto"/>
              </w:rPr>
            </w:pPr>
            <w:r>
              <w:rPr>
                <w:rFonts w:ascii="Arial" w:cs="Arial" w:eastAsia="Arial" w:hAnsi="Arial"/>
                <w:sz w:val="11"/>
                <w:szCs w:val="11"/>
                <w:b w:val="1"/>
                <w:bCs w:val="1"/>
                <w:color w:val="auto"/>
              </w:rPr>
              <w:t>Code (Instr.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Underlying</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gridSpan w:val="2"/>
          </w:tcPr>
          <w:p>
            <w:pPr>
              <w:ind w:left="80"/>
              <w:spacing w:after="0"/>
              <w:rPr>
                <w:sz w:val="20"/>
                <w:szCs w:val="20"/>
                <w:color w:val="auto"/>
              </w:rPr>
            </w:pPr>
            <w:r>
              <w:rPr>
                <w:rFonts w:ascii="Arial" w:cs="Arial" w:eastAsia="Arial" w:hAnsi="Arial"/>
                <w:sz w:val="11"/>
                <w:szCs w:val="11"/>
                <w:b w:val="1"/>
                <w:bCs w:val="1"/>
                <w:color w:val="auto"/>
              </w:rPr>
              <w:t>8)</w:t>
            </w:r>
          </w:p>
        </w:tc>
        <w:tc>
          <w:tcPr>
            <w:tcW w:w="32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1"/>
                <w:szCs w:val="11"/>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8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w:t>
            </w:r>
          </w:p>
        </w:tc>
        <w:tc>
          <w:tcPr>
            <w:tcW w:w="320" w:type="dxa"/>
            <w:vAlign w:val="bottom"/>
          </w:tcPr>
          <w:p>
            <w:pPr>
              <w:ind w:left="20"/>
              <w:spacing w:after="0"/>
              <w:rPr>
                <w:sz w:val="20"/>
                <w:szCs w:val="20"/>
                <w:color w:val="auto"/>
              </w:rPr>
            </w:pPr>
            <w:r>
              <w:rPr>
                <w:rFonts w:ascii="Arial" w:cs="Arial" w:eastAsia="Arial" w:hAnsi="Arial"/>
                <w:sz w:val="11"/>
                <w:szCs w:val="11"/>
                <w:b w:val="1"/>
                <w:bCs w:val="1"/>
                <w:color w:val="auto"/>
              </w:rPr>
              <w:t>V</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140" w:type="dxa"/>
            <w:vAlign w:val="bottom"/>
          </w:tcPr>
          <w:p>
            <w:pPr>
              <w:spacing w:after="0"/>
              <w:rPr>
                <w:sz w:val="17"/>
                <w:szCs w:val="17"/>
                <w:color w:val="auto"/>
              </w:rPr>
            </w:pPr>
          </w:p>
        </w:tc>
        <w:tc>
          <w:tcPr>
            <w:tcW w:w="1060" w:type="dxa"/>
            <w:vAlign w:val="bottom"/>
            <w:vMerge w:val="restart"/>
          </w:tcPr>
          <w:p>
            <w:pPr>
              <w:jc w:val="right"/>
              <w:ind w:right="156"/>
              <w:spacing w:after="0"/>
              <w:rPr>
                <w:sz w:val="20"/>
                <w:szCs w:val="20"/>
                <w:color w:val="auto"/>
              </w:rPr>
            </w:pPr>
            <w:r>
              <w:rPr>
                <w:rFonts w:ascii="Times New Roman" w:cs="Times New Roman" w:eastAsia="Times New Roman" w:hAnsi="Times New Roman"/>
                <w:sz w:val="13"/>
                <w:szCs w:val="13"/>
                <w:color w:val="0000FF"/>
              </w:rPr>
              <w:t>08/01/2025</w:t>
            </w: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M</w:t>
            </w:r>
          </w:p>
        </w:tc>
        <w:tc>
          <w:tcPr>
            <w:tcW w:w="32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200,000</w:t>
            </w: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w w:val="97"/>
              </w:rPr>
              <w:t>Ordinary</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200,000</w:t>
            </w:r>
          </w:p>
        </w:tc>
        <w:tc>
          <w:tcPr>
            <w:tcW w:w="60" w:type="dxa"/>
            <w:vAlign w:val="bottom"/>
          </w:tcPr>
          <w:p>
            <w:pPr>
              <w:spacing w:after="0"/>
              <w:rPr>
                <w:sz w:val="17"/>
                <w:szCs w:val="17"/>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800,000</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gridSpan w:val="2"/>
            <w:vMerge w:val="restart"/>
          </w:tcPr>
          <w:p>
            <w:pPr>
              <w:ind w:left="60"/>
              <w:spacing w:after="0" w:line="64" w:lineRule="exact"/>
              <w:rPr>
                <w:sz w:val="20"/>
                <w:szCs w:val="20"/>
                <w:color w:val="auto"/>
              </w:rPr>
            </w:pPr>
            <w:r>
              <w:rPr>
                <w:rFonts w:ascii="Times New Roman" w:cs="Times New Roman" w:eastAsia="Times New Roman" w:hAnsi="Times New Roman"/>
                <w:sz w:val="6"/>
                <w:szCs w:val="6"/>
                <w:color w:val="0000FF"/>
              </w:rPr>
              <w:t>Units</w:t>
            </w:r>
            <w:r>
              <w:rPr>
                <w:rFonts w:ascii="Times New Roman" w:cs="Times New Roman" w:eastAsia="Times New Roman" w:hAnsi="Times New Roman"/>
                <w:sz w:val="7"/>
                <w:szCs w:val="7"/>
                <w:color w:val="008000"/>
                <w:vertAlign w:val="superscript"/>
              </w:rPr>
              <w:t>(5)</w:t>
            </w:r>
          </w:p>
        </w:tc>
        <w:tc>
          <w:tcPr>
            <w:tcW w:w="62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56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560" w:type="dxa"/>
            <w:vAlign w:val="bottom"/>
          </w:tcPr>
          <w:p>
            <w:pPr>
              <w:ind w:left="80"/>
              <w:spacing w:after="0" w:line="31" w:lineRule="exact"/>
              <w:rPr>
                <w:sz w:val="20"/>
                <w:szCs w:val="20"/>
                <w:color w:val="auto"/>
              </w:rPr>
            </w:pPr>
            <w:r>
              <w:rPr>
                <w:rFonts w:ascii="Times New Roman" w:cs="Times New Roman" w:eastAsia="Times New Roman" w:hAnsi="Times New Roman"/>
                <w:sz w:val="2"/>
                <w:szCs w:val="2"/>
                <w:color w:val="0000FF"/>
              </w:rPr>
              <w:t>Shares</w:t>
            </w:r>
            <w:r>
              <w:rPr>
                <w:rFonts w:ascii="Times New Roman" w:cs="Times New Roman" w:eastAsia="Times New Roman" w:hAnsi="Times New Roman"/>
                <w:sz w:val="3"/>
                <w:szCs w:val="3"/>
                <w:color w:val="008000"/>
                <w:vertAlign w:val="superscript"/>
              </w:rPr>
              <w:t>(1)</w:t>
            </w:r>
          </w:p>
        </w:tc>
        <w:tc>
          <w:tcPr>
            <w:tcW w:w="72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8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140" w:type="dxa"/>
            <w:vAlign w:val="bottom"/>
          </w:tcPr>
          <w:p>
            <w:pPr>
              <w:spacing w:after="0"/>
              <w:rPr>
                <w:sz w:val="17"/>
                <w:szCs w:val="17"/>
                <w:color w:val="auto"/>
              </w:rPr>
            </w:pPr>
          </w:p>
        </w:tc>
        <w:tc>
          <w:tcPr>
            <w:tcW w:w="1060" w:type="dxa"/>
            <w:vAlign w:val="bottom"/>
            <w:vMerge w:val="restart"/>
          </w:tcPr>
          <w:p>
            <w:pPr>
              <w:jc w:val="right"/>
              <w:ind w:right="156"/>
              <w:spacing w:after="0"/>
              <w:rPr>
                <w:sz w:val="20"/>
                <w:szCs w:val="20"/>
                <w:color w:val="auto"/>
              </w:rPr>
            </w:pPr>
            <w:r>
              <w:rPr>
                <w:rFonts w:ascii="Times New Roman" w:cs="Times New Roman" w:eastAsia="Times New Roman" w:hAnsi="Times New Roman"/>
                <w:sz w:val="13"/>
                <w:szCs w:val="13"/>
                <w:color w:val="0000FF"/>
              </w:rPr>
              <w:t>08/01/2025</w:t>
            </w: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M</w:t>
            </w:r>
          </w:p>
        </w:tc>
        <w:tc>
          <w:tcPr>
            <w:tcW w:w="32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55,696</w:t>
            </w: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(7)</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w w:val="97"/>
              </w:rPr>
              <w:t>Ordinary</w:t>
            </w:r>
          </w:p>
        </w:tc>
        <w:tc>
          <w:tcPr>
            <w:tcW w:w="720" w:type="dxa"/>
            <w:vAlign w:val="bottom"/>
            <w:vMerge w:val="restart"/>
          </w:tcPr>
          <w:p>
            <w:pPr>
              <w:jc w:val="right"/>
              <w:ind w:right="32"/>
              <w:spacing w:after="0"/>
              <w:rPr>
                <w:sz w:val="20"/>
                <w:szCs w:val="20"/>
                <w:color w:val="auto"/>
              </w:rPr>
            </w:pPr>
            <w:r>
              <w:rPr>
                <w:rFonts w:ascii="Times New Roman" w:cs="Times New Roman" w:eastAsia="Times New Roman" w:hAnsi="Times New Roman"/>
                <w:sz w:val="17"/>
                <w:szCs w:val="17"/>
                <w:color w:val="0000FF"/>
              </w:rPr>
              <w:t>55,696</w:t>
            </w:r>
          </w:p>
        </w:tc>
        <w:tc>
          <w:tcPr>
            <w:tcW w:w="60" w:type="dxa"/>
            <w:vAlign w:val="bottom"/>
          </w:tcPr>
          <w:p>
            <w:pPr>
              <w:spacing w:after="0"/>
              <w:rPr>
                <w:sz w:val="17"/>
                <w:szCs w:val="17"/>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389,792</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gridSpan w:val="2"/>
            <w:vMerge w:val="restart"/>
          </w:tcPr>
          <w:p>
            <w:pPr>
              <w:ind w:left="60"/>
              <w:spacing w:after="0" w:line="64" w:lineRule="exact"/>
              <w:rPr>
                <w:sz w:val="20"/>
                <w:szCs w:val="20"/>
                <w:color w:val="auto"/>
              </w:rPr>
            </w:pPr>
            <w:r>
              <w:rPr>
                <w:rFonts w:ascii="Times New Roman" w:cs="Times New Roman" w:eastAsia="Times New Roman" w:hAnsi="Times New Roman"/>
                <w:sz w:val="6"/>
                <w:szCs w:val="6"/>
                <w:color w:val="0000FF"/>
              </w:rPr>
              <w:t>Units</w:t>
            </w:r>
            <w:r>
              <w:rPr>
                <w:rFonts w:ascii="Times New Roman" w:cs="Times New Roman" w:eastAsia="Times New Roman" w:hAnsi="Times New Roman"/>
                <w:sz w:val="7"/>
                <w:szCs w:val="7"/>
                <w:color w:val="008000"/>
                <w:vertAlign w:val="superscript"/>
              </w:rPr>
              <w:t>(5)</w:t>
            </w:r>
          </w:p>
        </w:tc>
        <w:tc>
          <w:tcPr>
            <w:tcW w:w="62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56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560" w:type="dxa"/>
            <w:vAlign w:val="bottom"/>
          </w:tcPr>
          <w:p>
            <w:pPr>
              <w:ind w:left="80"/>
              <w:spacing w:after="0" w:line="31" w:lineRule="exact"/>
              <w:rPr>
                <w:sz w:val="20"/>
                <w:szCs w:val="20"/>
                <w:color w:val="auto"/>
              </w:rPr>
            </w:pPr>
            <w:r>
              <w:rPr>
                <w:rFonts w:ascii="Times New Roman" w:cs="Times New Roman" w:eastAsia="Times New Roman" w:hAnsi="Times New Roman"/>
                <w:sz w:val="2"/>
                <w:szCs w:val="2"/>
                <w:color w:val="0000FF"/>
              </w:rPr>
              <w:t>Shares</w:t>
            </w:r>
            <w:r>
              <w:rPr>
                <w:rFonts w:ascii="Times New Roman" w:cs="Times New Roman" w:eastAsia="Times New Roman" w:hAnsi="Times New Roman"/>
                <w:sz w:val="3"/>
                <w:szCs w:val="3"/>
                <w:color w:val="008000"/>
                <w:vertAlign w:val="superscript"/>
              </w:rPr>
              <w:t>(1)</w:t>
            </w:r>
          </w:p>
        </w:tc>
        <w:tc>
          <w:tcPr>
            <w:tcW w:w="72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-2124710</wp:posOffset>
            </wp:positionV>
            <wp:extent cx="28575" cy="21297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12979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Reported securities are represented by American Depositary Shares ("ADSs"), each of which represents eight (8) Ordinary Shares of the Issuer.</w:t>
      </w:r>
    </w:p>
    <w:p>
      <w:pPr>
        <w:spacing w:after="0" w:line="41" w:lineRule="exact"/>
        <w:rPr>
          <w:rFonts w:ascii="Times New Roman" w:cs="Times New Roman" w:eastAsia="Times New Roman" w:hAnsi="Times New Roman"/>
          <w:sz w:val="13"/>
          <w:szCs w:val="13"/>
          <w:color w:val="008000"/>
        </w:rPr>
      </w:pPr>
    </w:p>
    <w:p>
      <w:pPr>
        <w:ind w:left="40" w:right="40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in this Form 4 was effected pursuant to a Rule 10b5-1 instruction entered into on May 24, 2022 solely with the intent to cover taxes in connection with the vesting of Restricted Share Units ("RSUs").</w:t>
      </w:r>
    </w:p>
    <w:p>
      <w:pPr>
        <w:spacing w:after="0" w:line="2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the sale price of the ADSs divided by eight (8).</w:t>
      </w:r>
    </w:p>
    <w:p>
      <w:pPr>
        <w:spacing w:after="0" w:line="41" w:lineRule="exact"/>
        <w:rPr>
          <w:rFonts w:ascii="Times New Roman" w:cs="Times New Roman" w:eastAsia="Times New Roman" w:hAnsi="Times New Roman"/>
          <w:sz w:val="13"/>
          <w:szCs w:val="13"/>
          <w:color w:val="008000"/>
        </w:rPr>
      </w:pPr>
    </w:p>
    <w:p>
      <w:pPr>
        <w:ind w:left="40" w:right="14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(i) 2,375,000 Ordinary Shares underlying Restricted Share Units, each of which represents a contingent right to receive one (1) Ordinary Share of the Issuer (which are represented by 296,875 ADSs); and (ii) 10,089,968 Ordinary Shares underlying 1,261,246 ADSs.</w:t>
      </w:r>
    </w:p>
    <w:p>
      <w:pPr>
        <w:spacing w:after="0" w:line="20" w:lineRule="exact"/>
        <w:rPr>
          <w:rFonts w:ascii="Times New Roman" w:cs="Times New Roman" w:eastAsia="Times New Roman" w:hAnsi="Times New Roman"/>
          <w:sz w:val="13"/>
          <w:szCs w:val="13"/>
          <w:color w:val="008000"/>
        </w:rPr>
      </w:pPr>
    </w:p>
    <w:p>
      <w:pPr>
        <w:ind w:left="40" w:right="48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performance-based RSUs covering ADSs, which is presented in terms of the equivalent number of Ordinary Shares underlying the ADSs. Each RSU represents a contingent right to receive one (1) ADS of the Issuer. Each ADS represents eight (8) Ordinary Shares of the Issuer. The RSUs have no expiration date.</w:t>
      </w:r>
    </w:p>
    <w:p>
      <w:pPr>
        <w:spacing w:after="0" w:line="20" w:lineRule="exact"/>
        <w:rPr>
          <w:rFonts w:ascii="Times New Roman" w:cs="Times New Roman" w:eastAsia="Times New Roman" w:hAnsi="Times New Roman"/>
          <w:sz w:val="13"/>
          <w:szCs w:val="13"/>
          <w:color w:val="008000"/>
        </w:rPr>
      </w:pPr>
    </w:p>
    <w:p>
      <w:pPr>
        <w:ind w:left="40" w:right="18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were earned upon the satisfaction of the performance condition in connection with the Issuer's first commercial sale of ensifentrine. Following the satisfaction of the performance condition, the RSUs vest in equal quarterly installments on each of May 1, 2025, August 1, 2025, November 1, 2025, February 1, 2026, May 1, 2026 and August 1, 2026 subject to the Reporting Person's continued service to the Issuer on each vesting date.</w:t>
      </w:r>
    </w:p>
    <w:p>
      <w:pPr>
        <w:spacing w:after="0" w:line="26" w:lineRule="exact"/>
        <w:rPr>
          <w:rFonts w:ascii="Times New Roman" w:cs="Times New Roman" w:eastAsia="Times New Roman" w:hAnsi="Times New Roman"/>
          <w:sz w:val="13"/>
          <w:szCs w:val="13"/>
          <w:color w:val="008000"/>
        </w:rPr>
      </w:pPr>
    </w:p>
    <w:p>
      <w:pPr>
        <w:ind w:left="40" w:right="18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were earned upon the determination by the Board of Directors of the Issuer (the "Determination Date") that certain performance metrics related to Q1 2025 had been achieved. The RSUs vested as to 34% of the total shares on the Determination Date, and vest as to the remainder of the shares in equal quarterly installments over a two year period on each of August 1, November 1, February 1 and May 1, subject to the Reporting Person's continued service to the Issuer on each vesting date.</w:t>
      </w:r>
    </w:p>
    <w:p>
      <w:pPr>
        <w:ind w:left="6600"/>
        <w:spacing w:after="0" w:line="184" w:lineRule="auto"/>
        <w:rPr>
          <w:sz w:val="20"/>
          <w:szCs w:val="20"/>
          <w:color w:val="auto"/>
        </w:rPr>
      </w:pPr>
      <w:r>
        <w:rPr>
          <w:rFonts w:ascii="Times New Roman" w:cs="Times New Roman" w:eastAsia="Times New Roman" w:hAnsi="Times New Roman"/>
          <w:sz w:val="16"/>
          <w:szCs w:val="16"/>
          <w:color w:val="0000FF"/>
        </w:rPr>
        <w:t xml:space="preserve">/s/ Andrew Fisher, Attorney-in-  </w:t>
      </w:r>
      <w:r>
        <w:rPr>
          <w:rFonts w:ascii="Times New Roman" w:cs="Times New Roman" w:eastAsia="Times New Roman" w:hAnsi="Times New Roman"/>
          <w:sz w:val="31"/>
          <w:szCs w:val="31"/>
          <w:color w:val="0000FF"/>
          <w:vertAlign w:val="subscript"/>
        </w:rPr>
        <w:t>08/05/2025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-26035</wp:posOffset>
            </wp:positionV>
            <wp:extent cx="13284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Mark Hahn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-21590</wp:posOffset>
            </wp:positionV>
            <wp:extent cx="8153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1534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-86360</wp:posOffset>
            </wp:positionV>
            <wp:extent cx="4794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9425"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08502" TargetMode="External"/><Relationship Id="rId14"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2025-08-05T19:33:13Z</dcterms:created>
  <dcterms:modified xsi:type="dcterms:W3CDTF">2025-08-05T19:33:13Z</dcterms:modified>
</cp:coreProperties>
</file>