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 *</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nominal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246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t>CUSIP No. 925050106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540" w:type="dxa"/>
            <w:vAlign w:val="bottom"/>
            <w:tcBorders>
              <w:top w:val="single" w:sz="8" w:color="auto"/>
            </w:tcBorders>
          </w:tcPr>
          <w:p>
            <w:pPr>
              <w:jc w:val="center"/>
              <w:ind w:left="200"/>
              <w:spacing w:after="0"/>
              <w:rPr>
                <w:sz w:val="20"/>
                <w:szCs w:val="20"/>
                <w:color w:val="auto"/>
              </w:rPr>
            </w:pPr>
            <w:r>
              <w:rPr>
                <w:rFonts w:ascii="Arial" w:cs="Arial" w:eastAsia="Arial" w:hAnsi="Arial"/>
                <w:sz w:val="22"/>
                <w:szCs w:val="22"/>
                <w:b w:val="1"/>
                <w:bCs w:val="1"/>
                <w:color w:val="auto"/>
                <w:w w:val="97"/>
              </w:rPr>
              <w:t>1</w:t>
            </w:r>
          </w:p>
        </w:tc>
        <w:tc>
          <w:tcPr>
            <w:tcW w:w="300" w:type="dxa"/>
            <w:vAlign w:val="bottom"/>
            <w:tcBorders>
              <w:top w:val="single" w:sz="8" w:color="auto"/>
              <w:right w:val="single" w:sz="8" w:color="auto"/>
            </w:tcBorders>
          </w:tcPr>
          <w:p>
            <w:pPr>
              <w:spacing w:after="0"/>
              <w:rPr>
                <w:sz w:val="24"/>
                <w:szCs w:val="24"/>
                <w:color w:val="auto"/>
              </w:rPr>
            </w:pPr>
          </w:p>
        </w:tc>
        <w:tc>
          <w:tcPr>
            <w:tcW w:w="1040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04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Vivo Ventures VI, LLC</w:t>
            </w:r>
          </w:p>
        </w:tc>
        <w:tc>
          <w:tcPr>
            <w:tcW w:w="0" w:type="dxa"/>
            <w:vAlign w:val="bottom"/>
          </w:tcPr>
          <w:p>
            <w:pPr>
              <w:spacing w:after="0"/>
              <w:rPr>
                <w:sz w:val="1"/>
                <w:szCs w:val="1"/>
                <w:color w:val="auto"/>
              </w:rPr>
            </w:pPr>
          </w:p>
        </w:tc>
      </w:tr>
      <w:tr>
        <w:trPr>
          <w:trHeight w:val="331"/>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2</w:t>
            </w:r>
          </w:p>
        </w:tc>
        <w:tc>
          <w:tcPr>
            <w:tcW w:w="300" w:type="dxa"/>
            <w:vAlign w:val="bottom"/>
            <w:tcBorders>
              <w:right w:val="single" w:sz="8" w:color="auto"/>
            </w:tcBorders>
          </w:tcPr>
          <w:p>
            <w:pPr>
              <w:spacing w:after="0"/>
              <w:rPr>
                <w:sz w:val="24"/>
                <w:szCs w:val="24"/>
                <w:color w:val="auto"/>
              </w:rPr>
            </w:pPr>
          </w:p>
        </w:tc>
        <w:tc>
          <w:tcPr>
            <w:tcW w:w="1040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3</w:t>
            </w:r>
          </w:p>
        </w:tc>
        <w:tc>
          <w:tcPr>
            <w:tcW w:w="300" w:type="dxa"/>
            <w:vAlign w:val="bottom"/>
            <w:tcBorders>
              <w:right w:val="single" w:sz="8" w:color="auto"/>
            </w:tcBorders>
          </w:tcPr>
          <w:p>
            <w:pPr>
              <w:spacing w:after="0"/>
              <w:rPr>
                <w:sz w:val="24"/>
                <w:szCs w:val="24"/>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4</w:t>
            </w:r>
          </w:p>
        </w:tc>
        <w:tc>
          <w:tcPr>
            <w:tcW w:w="300" w:type="dxa"/>
            <w:vAlign w:val="bottom"/>
            <w:tcBorders>
              <w:right w:val="single" w:sz="8" w:color="auto"/>
            </w:tcBorders>
          </w:tcPr>
          <w:p>
            <w:pPr>
              <w:spacing w:after="0"/>
              <w:rPr>
                <w:sz w:val="24"/>
                <w:szCs w:val="24"/>
                <w:color w:val="auto"/>
              </w:rPr>
            </w:pPr>
          </w:p>
        </w:tc>
        <w:tc>
          <w:tcPr>
            <w:tcW w:w="104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3"/>
              </w:rPr>
              <w:t>Delaware</w:t>
            </w: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b w:val="1"/>
                <w:bCs w:val="1"/>
                <w:color w:val="auto"/>
                <w:w w:val="97"/>
              </w:rPr>
              <w:t>5</w:t>
            </w:r>
          </w:p>
        </w:tc>
        <w:tc>
          <w:tcPr>
            <w:tcW w:w="88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08"/>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NUMBER OF</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tcBorders>
          </w:tcPr>
          <w:p>
            <w:pPr>
              <w:ind w:left="80"/>
              <w:spacing w:after="0" w:line="301" w:lineRule="exact"/>
              <w:rPr>
                <w:sz w:val="20"/>
                <w:szCs w:val="20"/>
                <w:color w:val="auto"/>
              </w:rPr>
            </w:pPr>
            <w:r>
              <w:rPr>
                <w:rFonts w:ascii="Arial" w:cs="Arial" w:eastAsia="Arial" w:hAnsi="Arial"/>
                <w:sz w:val="18"/>
                <w:szCs w:val="18"/>
                <w:b w:val="1"/>
                <w:bCs w:val="1"/>
                <w:color w:val="auto"/>
              </w:rPr>
              <w:t xml:space="preserve">2,762,316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4"/>
              </w:rPr>
              <w:t>SHARES</w:t>
            </w:r>
          </w:p>
        </w:tc>
        <w:tc>
          <w:tcPr>
            <w:tcW w:w="60" w:type="dxa"/>
            <w:vAlign w:val="bottom"/>
          </w:tcPr>
          <w:p>
            <w:pPr>
              <w:spacing w:after="0"/>
              <w:rPr>
                <w:sz w:val="17"/>
                <w:szCs w:val="17"/>
                <w:color w:val="auto"/>
              </w:rPr>
            </w:pPr>
          </w:p>
        </w:tc>
        <w:tc>
          <w:tcPr>
            <w:tcW w:w="720" w:type="dxa"/>
            <w:vAlign w:val="bottom"/>
            <w:tcBorders>
              <w:right w:val="single" w:sz="8" w:color="auto"/>
            </w:tcBorders>
            <w:vMerge w:val="restart"/>
          </w:tcPr>
          <w:p>
            <w:pPr>
              <w:jc w:val="right"/>
              <w:ind w:right="472"/>
              <w:spacing w:after="0"/>
              <w:rPr>
                <w:sz w:val="20"/>
                <w:szCs w:val="20"/>
                <w:color w:val="auto"/>
              </w:rPr>
            </w:pPr>
            <w:r>
              <w:rPr>
                <w:rFonts w:ascii="Arial" w:cs="Arial" w:eastAsia="Arial" w:hAnsi="Arial"/>
                <w:sz w:val="22"/>
                <w:szCs w:val="22"/>
                <w:b w:val="1"/>
                <w:bCs w:val="1"/>
                <w:color w:val="auto"/>
                <w:w w:val="97"/>
              </w:rPr>
              <w:t>6</w:t>
            </w:r>
          </w:p>
        </w:tc>
        <w:tc>
          <w:tcPr>
            <w:tcW w:w="88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2"/>
        </w:trPr>
        <w:tc>
          <w:tcPr>
            <w:tcW w:w="16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8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20" w:type="dxa"/>
            <w:vAlign w:val="bottom"/>
            <w:tcBorders>
              <w:right w:val="single" w:sz="8" w:color="auto"/>
            </w:tcBorders>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88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3"/>
        </w:trPr>
        <w:tc>
          <w:tcPr>
            <w:tcW w:w="1620" w:type="dxa"/>
            <w:vAlign w:val="bottom"/>
            <w:tcBorders>
              <w:right w:val="single" w:sz="8" w:color="auto"/>
            </w:tcBorders>
            <w:gridSpan w:val="3"/>
          </w:tcPr>
          <w:p>
            <w:pPr>
              <w:jc w:val="center"/>
              <w:spacing w:after="0" w:line="157" w:lineRule="exact"/>
              <w:rPr>
                <w:sz w:val="20"/>
                <w:szCs w:val="20"/>
                <w:color w:val="auto"/>
              </w:rPr>
            </w:pPr>
            <w:r>
              <w:rPr>
                <w:rFonts w:ascii="Arial" w:cs="Arial" w:eastAsia="Arial" w:hAnsi="Arial"/>
                <w:sz w:val="18"/>
                <w:szCs w:val="18"/>
                <w:color w:val="auto"/>
                <w:w w:val="99"/>
              </w:rPr>
              <w:t>OWNED BY</w:t>
            </w: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108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9"/>
              </w:rPr>
              <w:t>EACH</w:t>
            </w:r>
          </w:p>
        </w:tc>
        <w:tc>
          <w:tcPr>
            <w:tcW w:w="60" w:type="dxa"/>
            <w:vAlign w:val="bottom"/>
          </w:tcPr>
          <w:p>
            <w:pPr>
              <w:spacing w:after="0"/>
              <w:rPr>
                <w:sz w:val="21"/>
                <w:szCs w:val="21"/>
                <w:color w:val="auto"/>
              </w:rPr>
            </w:pPr>
          </w:p>
        </w:tc>
        <w:tc>
          <w:tcPr>
            <w:tcW w:w="720" w:type="dxa"/>
            <w:vAlign w:val="bottom"/>
            <w:tcBorders>
              <w:right w:val="single" w:sz="8" w:color="auto"/>
            </w:tcBorders>
          </w:tcPr>
          <w:p>
            <w:pPr>
              <w:jc w:val="right"/>
              <w:ind w:right="472"/>
              <w:spacing w:after="0" w:line="245" w:lineRule="exact"/>
              <w:rPr>
                <w:sz w:val="20"/>
                <w:szCs w:val="20"/>
                <w:color w:val="auto"/>
              </w:rPr>
            </w:pPr>
            <w:r>
              <w:rPr>
                <w:rFonts w:ascii="Arial" w:cs="Arial" w:eastAsia="Arial" w:hAnsi="Arial"/>
                <w:sz w:val="22"/>
                <w:szCs w:val="22"/>
                <w:b w:val="1"/>
                <w:bCs w:val="1"/>
                <w:color w:val="auto"/>
                <w:w w:val="97"/>
              </w:rPr>
              <w:t>7</w:t>
            </w:r>
          </w:p>
        </w:tc>
        <w:tc>
          <w:tcPr>
            <w:tcW w:w="884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0"/>
        </w:trPr>
        <w:tc>
          <w:tcPr>
            <w:tcW w:w="1620" w:type="dxa"/>
            <w:vAlign w:val="bottom"/>
            <w:tcBorders>
              <w:right w:val="single" w:sz="8" w:color="auto"/>
            </w:tcBorders>
            <w:gridSpan w:val="3"/>
          </w:tcPr>
          <w:p>
            <w:pPr>
              <w:jc w:val="center"/>
              <w:spacing w:after="0" w:line="200" w:lineRule="exact"/>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88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 xml:space="preserve">2,762,316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97"/>
        </w:trPr>
        <w:tc>
          <w:tcPr>
            <w:tcW w:w="1620" w:type="dxa"/>
            <w:vAlign w:val="bottom"/>
            <w:tcBorders>
              <w:right w:val="single" w:sz="8" w:color="auto"/>
            </w:tcBorders>
            <w:gridSpan w:val="3"/>
          </w:tcPr>
          <w:p>
            <w:pPr>
              <w:jc w:val="center"/>
              <w:spacing w:after="0" w:line="190" w:lineRule="exact"/>
              <w:rPr>
                <w:sz w:val="20"/>
                <w:szCs w:val="20"/>
                <w:color w:val="auto"/>
              </w:rPr>
            </w:pPr>
            <w:r>
              <w:rPr>
                <w:rFonts w:ascii="Arial" w:cs="Arial" w:eastAsia="Arial" w:hAnsi="Arial"/>
                <w:sz w:val="18"/>
                <w:szCs w:val="18"/>
                <w:color w:val="auto"/>
                <w:w w:val="92"/>
              </w:rPr>
              <w:t>PERSON</w:t>
            </w: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540" w:type="dxa"/>
            <w:vAlign w:val="bottom"/>
          </w:tcPr>
          <w:p>
            <w:pPr>
              <w:spacing w:after="0"/>
              <w:rPr>
                <w:sz w:val="24"/>
                <w:szCs w:val="24"/>
                <w:color w:val="auto"/>
              </w:rPr>
            </w:pPr>
          </w:p>
        </w:tc>
        <w:tc>
          <w:tcPr>
            <w:tcW w:w="108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9"/>
              </w:rPr>
              <w:t>WITH</w:t>
            </w: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b w:val="1"/>
                <w:bCs w:val="1"/>
                <w:color w:val="auto"/>
                <w:w w:val="97"/>
              </w:rPr>
              <w:t>8</w:t>
            </w:r>
          </w:p>
        </w:tc>
        <w:tc>
          <w:tcPr>
            <w:tcW w:w="8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8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8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9</w:t>
            </w:r>
          </w:p>
        </w:tc>
        <w:tc>
          <w:tcPr>
            <w:tcW w:w="300" w:type="dxa"/>
            <w:vAlign w:val="bottom"/>
            <w:tcBorders>
              <w:right w:val="single" w:sz="8" w:color="auto"/>
            </w:tcBorders>
          </w:tcPr>
          <w:p>
            <w:pPr>
              <w:spacing w:after="0"/>
              <w:rPr>
                <w:sz w:val="24"/>
                <w:szCs w:val="24"/>
                <w:color w:val="auto"/>
              </w:rPr>
            </w:pPr>
          </w:p>
        </w:tc>
        <w:tc>
          <w:tcPr>
            <w:tcW w:w="1040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07"/>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0"/>
              <w:spacing w:after="0" w:line="301" w:lineRule="exact"/>
              <w:rPr>
                <w:sz w:val="20"/>
                <w:szCs w:val="20"/>
                <w:color w:val="auto"/>
              </w:rPr>
            </w:pPr>
            <w:r>
              <w:rPr>
                <w:rFonts w:ascii="Arial" w:cs="Arial" w:eastAsia="Arial" w:hAnsi="Arial"/>
                <w:sz w:val="18"/>
                <w:szCs w:val="18"/>
                <w:b w:val="1"/>
                <w:bCs w:val="1"/>
                <w:color w:val="auto"/>
              </w:rPr>
              <w:t xml:space="preserve">2,762,316 </w:t>
            </w:r>
            <w:r>
              <w:rPr>
                <w:rFonts w:ascii="Arial" w:cs="Arial" w:eastAsia="Arial" w:hAnsi="Arial"/>
                <w:sz w:val="29"/>
                <w:szCs w:val="29"/>
                <w:b w:val="1"/>
                <w:bCs w:val="1"/>
                <w:color w:val="auto"/>
                <w:vertAlign w:val="superscript"/>
              </w:rPr>
              <w:t>(1)</w:t>
            </w: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81"/>
              </w:rPr>
              <w:t>10</w:t>
            </w:r>
          </w:p>
        </w:tc>
        <w:tc>
          <w:tcPr>
            <w:tcW w:w="300" w:type="dxa"/>
            <w:vAlign w:val="bottom"/>
            <w:tcBorders>
              <w:right w:val="single" w:sz="8" w:color="auto"/>
            </w:tcBorders>
          </w:tcPr>
          <w:p>
            <w:pPr>
              <w:spacing w:after="0"/>
              <w:rPr>
                <w:sz w:val="24"/>
                <w:szCs w:val="24"/>
                <w:color w:val="auto"/>
              </w:rPr>
            </w:pPr>
          </w:p>
        </w:tc>
        <w:tc>
          <w:tcPr>
            <w:tcW w:w="1040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81"/>
              </w:rPr>
              <w:t>11</w:t>
            </w:r>
          </w:p>
        </w:tc>
        <w:tc>
          <w:tcPr>
            <w:tcW w:w="300" w:type="dxa"/>
            <w:vAlign w:val="bottom"/>
            <w:tcBorders>
              <w:right w:val="single" w:sz="8" w:color="auto"/>
            </w:tcBorders>
          </w:tcPr>
          <w:p>
            <w:pPr>
              <w:spacing w:after="0"/>
              <w:rPr>
                <w:sz w:val="24"/>
                <w:szCs w:val="24"/>
                <w:color w:val="auto"/>
              </w:rPr>
            </w:pPr>
          </w:p>
        </w:tc>
        <w:tc>
          <w:tcPr>
            <w:tcW w:w="104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07"/>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80"/>
              <w:spacing w:after="0" w:line="301" w:lineRule="exact"/>
              <w:rPr>
                <w:sz w:val="20"/>
                <w:szCs w:val="20"/>
                <w:color w:val="auto"/>
              </w:rPr>
            </w:pPr>
            <w:r>
              <w:rPr>
                <w:rFonts w:ascii="Arial" w:cs="Arial" w:eastAsia="Arial" w:hAnsi="Arial"/>
                <w:sz w:val="18"/>
                <w:szCs w:val="18"/>
                <w:b w:val="1"/>
                <w:bCs w:val="1"/>
                <w:color w:val="auto"/>
                <w:w w:val="88"/>
              </w:rPr>
              <w:t xml:space="preserve">0.7 % </w:t>
            </w:r>
            <w:r>
              <w:rPr>
                <w:rFonts w:ascii="Arial" w:cs="Arial" w:eastAsia="Arial" w:hAnsi="Arial"/>
                <w:sz w:val="29"/>
                <w:szCs w:val="29"/>
                <w:b w:val="1"/>
                <w:bCs w:val="1"/>
                <w:color w:val="auto"/>
                <w:w w:val="88"/>
                <w:vertAlign w:val="superscript"/>
              </w:rPr>
              <w:t>(2)</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81"/>
              </w:rPr>
              <w:t>12</w:t>
            </w:r>
          </w:p>
        </w:tc>
        <w:tc>
          <w:tcPr>
            <w:tcW w:w="300" w:type="dxa"/>
            <w:vAlign w:val="bottom"/>
            <w:tcBorders>
              <w:right w:val="single" w:sz="8" w:color="auto"/>
            </w:tcBorders>
          </w:tcPr>
          <w:p>
            <w:pPr>
              <w:spacing w:after="0"/>
              <w:rPr>
                <w:sz w:val="24"/>
                <w:szCs w:val="24"/>
                <w:color w:val="auto"/>
              </w:rPr>
            </w:pPr>
          </w:p>
        </w:tc>
        <w:tc>
          <w:tcPr>
            <w:tcW w:w="1040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OO</w:t>
            </w: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80" w:hanging="332"/>
        <w:spacing w:after="0" w:line="218"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Consists of Ordinary Shares of Verona Pharma plc (the “Issuer”) beneficially owned by the reporting person, including warrants to purchase Ordinary Shares, and American Depository Shares (ADS) that each represents eight Ordinary Shares. These securities are held of record by Vivo Ventures Fund VI, L.P. and Vivo Ventures VI Affiliates Fund, L.P. Vivo Ventures VI, LLC is the general partner of both Vivo Ventures Fund VI, L.P. and Vivo Ventures VI Affiliates Fund, L.P.</w:t>
      </w:r>
    </w:p>
    <w:p>
      <w:pPr>
        <w:spacing w:after="0" w:line="74"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Based on 414,278,294 Ordinary Shares outstanding, as reported in the Issuer’s Form 6-K filed with the SEC on July 22, 2020.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246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t>CUSIP No. 925050106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540" w:type="dxa"/>
            <w:vAlign w:val="bottom"/>
            <w:tcBorders>
              <w:top w:val="single" w:sz="8" w:color="auto"/>
            </w:tcBorders>
          </w:tcPr>
          <w:p>
            <w:pPr>
              <w:jc w:val="center"/>
              <w:ind w:left="200"/>
              <w:spacing w:after="0"/>
              <w:rPr>
                <w:sz w:val="20"/>
                <w:szCs w:val="20"/>
                <w:color w:val="auto"/>
              </w:rPr>
            </w:pPr>
            <w:r>
              <w:rPr>
                <w:rFonts w:ascii="Arial" w:cs="Arial" w:eastAsia="Arial" w:hAnsi="Arial"/>
                <w:sz w:val="22"/>
                <w:szCs w:val="22"/>
                <w:b w:val="1"/>
                <w:bCs w:val="1"/>
                <w:color w:val="auto"/>
                <w:w w:val="97"/>
              </w:rPr>
              <w:t>1</w:t>
            </w:r>
          </w:p>
        </w:tc>
        <w:tc>
          <w:tcPr>
            <w:tcW w:w="300" w:type="dxa"/>
            <w:vAlign w:val="bottom"/>
            <w:tcBorders>
              <w:top w:val="single" w:sz="8" w:color="auto"/>
              <w:right w:val="single" w:sz="8" w:color="auto"/>
            </w:tcBorders>
          </w:tcPr>
          <w:p>
            <w:pPr>
              <w:spacing w:after="0"/>
              <w:rPr>
                <w:sz w:val="24"/>
                <w:szCs w:val="24"/>
                <w:color w:val="auto"/>
              </w:rPr>
            </w:pPr>
          </w:p>
        </w:tc>
        <w:tc>
          <w:tcPr>
            <w:tcW w:w="1040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04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Vivo Ventures VII, LLC</w:t>
            </w:r>
          </w:p>
        </w:tc>
        <w:tc>
          <w:tcPr>
            <w:tcW w:w="0" w:type="dxa"/>
            <w:vAlign w:val="bottom"/>
          </w:tcPr>
          <w:p>
            <w:pPr>
              <w:spacing w:after="0"/>
              <w:rPr>
                <w:sz w:val="1"/>
                <w:szCs w:val="1"/>
                <w:color w:val="auto"/>
              </w:rPr>
            </w:pPr>
          </w:p>
        </w:tc>
      </w:tr>
      <w:tr>
        <w:trPr>
          <w:trHeight w:val="331"/>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2</w:t>
            </w:r>
          </w:p>
        </w:tc>
        <w:tc>
          <w:tcPr>
            <w:tcW w:w="300" w:type="dxa"/>
            <w:vAlign w:val="bottom"/>
            <w:tcBorders>
              <w:right w:val="single" w:sz="8" w:color="auto"/>
            </w:tcBorders>
          </w:tcPr>
          <w:p>
            <w:pPr>
              <w:spacing w:after="0"/>
              <w:rPr>
                <w:sz w:val="24"/>
                <w:szCs w:val="24"/>
                <w:color w:val="auto"/>
              </w:rPr>
            </w:pPr>
          </w:p>
        </w:tc>
        <w:tc>
          <w:tcPr>
            <w:tcW w:w="1040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3</w:t>
            </w:r>
          </w:p>
        </w:tc>
        <w:tc>
          <w:tcPr>
            <w:tcW w:w="300" w:type="dxa"/>
            <w:vAlign w:val="bottom"/>
            <w:tcBorders>
              <w:right w:val="single" w:sz="8" w:color="auto"/>
            </w:tcBorders>
          </w:tcPr>
          <w:p>
            <w:pPr>
              <w:spacing w:after="0"/>
              <w:rPr>
                <w:sz w:val="24"/>
                <w:szCs w:val="24"/>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4</w:t>
            </w:r>
          </w:p>
        </w:tc>
        <w:tc>
          <w:tcPr>
            <w:tcW w:w="300" w:type="dxa"/>
            <w:vAlign w:val="bottom"/>
            <w:tcBorders>
              <w:right w:val="single" w:sz="8" w:color="auto"/>
            </w:tcBorders>
          </w:tcPr>
          <w:p>
            <w:pPr>
              <w:spacing w:after="0"/>
              <w:rPr>
                <w:sz w:val="24"/>
                <w:szCs w:val="24"/>
                <w:color w:val="auto"/>
              </w:rPr>
            </w:pPr>
          </w:p>
        </w:tc>
        <w:tc>
          <w:tcPr>
            <w:tcW w:w="104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3"/>
              </w:rPr>
              <w:t>Delaware</w:t>
            </w: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b w:val="1"/>
                <w:bCs w:val="1"/>
                <w:color w:val="auto"/>
                <w:w w:val="97"/>
              </w:rPr>
              <w:t>5</w:t>
            </w:r>
          </w:p>
        </w:tc>
        <w:tc>
          <w:tcPr>
            <w:tcW w:w="88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08"/>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NUMBER OF</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tcBorders>
          </w:tcPr>
          <w:p>
            <w:pPr>
              <w:ind w:left="80"/>
              <w:spacing w:after="0" w:line="301" w:lineRule="exact"/>
              <w:rPr>
                <w:sz w:val="20"/>
                <w:szCs w:val="20"/>
                <w:color w:val="auto"/>
              </w:rPr>
            </w:pPr>
            <w:r>
              <w:rPr>
                <w:rFonts w:ascii="Arial" w:cs="Arial" w:eastAsia="Arial" w:hAnsi="Arial"/>
                <w:sz w:val="18"/>
                <w:szCs w:val="18"/>
                <w:b w:val="1"/>
                <w:bCs w:val="1"/>
                <w:color w:val="auto"/>
              </w:rPr>
              <w:t xml:space="preserve">23,493,716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4"/>
              </w:rPr>
              <w:t>SHARES</w:t>
            </w:r>
          </w:p>
        </w:tc>
        <w:tc>
          <w:tcPr>
            <w:tcW w:w="60" w:type="dxa"/>
            <w:vAlign w:val="bottom"/>
          </w:tcPr>
          <w:p>
            <w:pPr>
              <w:spacing w:after="0"/>
              <w:rPr>
                <w:sz w:val="17"/>
                <w:szCs w:val="17"/>
                <w:color w:val="auto"/>
              </w:rPr>
            </w:pPr>
          </w:p>
        </w:tc>
        <w:tc>
          <w:tcPr>
            <w:tcW w:w="720" w:type="dxa"/>
            <w:vAlign w:val="bottom"/>
            <w:tcBorders>
              <w:right w:val="single" w:sz="8" w:color="auto"/>
            </w:tcBorders>
            <w:vMerge w:val="restart"/>
          </w:tcPr>
          <w:p>
            <w:pPr>
              <w:jc w:val="right"/>
              <w:ind w:right="472"/>
              <w:spacing w:after="0"/>
              <w:rPr>
                <w:sz w:val="20"/>
                <w:szCs w:val="20"/>
                <w:color w:val="auto"/>
              </w:rPr>
            </w:pPr>
            <w:r>
              <w:rPr>
                <w:rFonts w:ascii="Arial" w:cs="Arial" w:eastAsia="Arial" w:hAnsi="Arial"/>
                <w:sz w:val="22"/>
                <w:szCs w:val="22"/>
                <w:b w:val="1"/>
                <w:bCs w:val="1"/>
                <w:color w:val="auto"/>
                <w:w w:val="97"/>
              </w:rPr>
              <w:t>6</w:t>
            </w:r>
          </w:p>
        </w:tc>
        <w:tc>
          <w:tcPr>
            <w:tcW w:w="88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2"/>
        </w:trPr>
        <w:tc>
          <w:tcPr>
            <w:tcW w:w="16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8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20" w:type="dxa"/>
            <w:vAlign w:val="bottom"/>
            <w:tcBorders>
              <w:right w:val="single" w:sz="8" w:color="auto"/>
            </w:tcBorders>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88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3"/>
        </w:trPr>
        <w:tc>
          <w:tcPr>
            <w:tcW w:w="1620" w:type="dxa"/>
            <w:vAlign w:val="bottom"/>
            <w:tcBorders>
              <w:right w:val="single" w:sz="8" w:color="auto"/>
            </w:tcBorders>
            <w:gridSpan w:val="3"/>
          </w:tcPr>
          <w:p>
            <w:pPr>
              <w:jc w:val="center"/>
              <w:spacing w:after="0" w:line="157" w:lineRule="exact"/>
              <w:rPr>
                <w:sz w:val="20"/>
                <w:szCs w:val="20"/>
                <w:color w:val="auto"/>
              </w:rPr>
            </w:pPr>
            <w:r>
              <w:rPr>
                <w:rFonts w:ascii="Arial" w:cs="Arial" w:eastAsia="Arial" w:hAnsi="Arial"/>
                <w:sz w:val="18"/>
                <w:szCs w:val="18"/>
                <w:color w:val="auto"/>
                <w:w w:val="99"/>
              </w:rPr>
              <w:t>OWNED BY</w:t>
            </w: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108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9"/>
              </w:rPr>
              <w:t>EACH</w:t>
            </w:r>
          </w:p>
        </w:tc>
        <w:tc>
          <w:tcPr>
            <w:tcW w:w="60" w:type="dxa"/>
            <w:vAlign w:val="bottom"/>
          </w:tcPr>
          <w:p>
            <w:pPr>
              <w:spacing w:after="0"/>
              <w:rPr>
                <w:sz w:val="21"/>
                <w:szCs w:val="21"/>
                <w:color w:val="auto"/>
              </w:rPr>
            </w:pPr>
          </w:p>
        </w:tc>
        <w:tc>
          <w:tcPr>
            <w:tcW w:w="720" w:type="dxa"/>
            <w:vAlign w:val="bottom"/>
            <w:tcBorders>
              <w:right w:val="single" w:sz="8" w:color="auto"/>
            </w:tcBorders>
          </w:tcPr>
          <w:p>
            <w:pPr>
              <w:jc w:val="right"/>
              <w:ind w:right="472"/>
              <w:spacing w:after="0" w:line="245" w:lineRule="exact"/>
              <w:rPr>
                <w:sz w:val="20"/>
                <w:szCs w:val="20"/>
                <w:color w:val="auto"/>
              </w:rPr>
            </w:pPr>
            <w:r>
              <w:rPr>
                <w:rFonts w:ascii="Arial" w:cs="Arial" w:eastAsia="Arial" w:hAnsi="Arial"/>
                <w:sz w:val="22"/>
                <w:szCs w:val="22"/>
                <w:b w:val="1"/>
                <w:bCs w:val="1"/>
                <w:color w:val="auto"/>
                <w:w w:val="97"/>
              </w:rPr>
              <w:t>7</w:t>
            </w:r>
          </w:p>
        </w:tc>
        <w:tc>
          <w:tcPr>
            <w:tcW w:w="884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0"/>
        </w:trPr>
        <w:tc>
          <w:tcPr>
            <w:tcW w:w="1620" w:type="dxa"/>
            <w:vAlign w:val="bottom"/>
            <w:tcBorders>
              <w:right w:val="single" w:sz="8" w:color="auto"/>
            </w:tcBorders>
            <w:gridSpan w:val="3"/>
          </w:tcPr>
          <w:p>
            <w:pPr>
              <w:jc w:val="center"/>
              <w:spacing w:after="0" w:line="200" w:lineRule="exact"/>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88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 xml:space="preserve">23,493,716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97"/>
        </w:trPr>
        <w:tc>
          <w:tcPr>
            <w:tcW w:w="1620" w:type="dxa"/>
            <w:vAlign w:val="bottom"/>
            <w:tcBorders>
              <w:right w:val="single" w:sz="8" w:color="auto"/>
            </w:tcBorders>
            <w:gridSpan w:val="3"/>
          </w:tcPr>
          <w:p>
            <w:pPr>
              <w:jc w:val="center"/>
              <w:spacing w:after="0" w:line="190" w:lineRule="exact"/>
              <w:rPr>
                <w:sz w:val="20"/>
                <w:szCs w:val="20"/>
                <w:color w:val="auto"/>
              </w:rPr>
            </w:pPr>
            <w:r>
              <w:rPr>
                <w:rFonts w:ascii="Arial" w:cs="Arial" w:eastAsia="Arial" w:hAnsi="Arial"/>
                <w:sz w:val="18"/>
                <w:szCs w:val="18"/>
                <w:color w:val="auto"/>
                <w:w w:val="92"/>
              </w:rPr>
              <w:t>PERSON</w:t>
            </w: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540" w:type="dxa"/>
            <w:vAlign w:val="bottom"/>
          </w:tcPr>
          <w:p>
            <w:pPr>
              <w:spacing w:after="0"/>
              <w:rPr>
                <w:sz w:val="24"/>
                <w:szCs w:val="24"/>
                <w:color w:val="auto"/>
              </w:rPr>
            </w:pPr>
          </w:p>
        </w:tc>
        <w:tc>
          <w:tcPr>
            <w:tcW w:w="108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9"/>
              </w:rPr>
              <w:t>WITH</w:t>
            </w: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b w:val="1"/>
                <w:bCs w:val="1"/>
                <w:color w:val="auto"/>
                <w:w w:val="97"/>
              </w:rPr>
              <w:t>8</w:t>
            </w:r>
          </w:p>
        </w:tc>
        <w:tc>
          <w:tcPr>
            <w:tcW w:w="8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8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8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9</w:t>
            </w:r>
          </w:p>
        </w:tc>
        <w:tc>
          <w:tcPr>
            <w:tcW w:w="300" w:type="dxa"/>
            <w:vAlign w:val="bottom"/>
            <w:tcBorders>
              <w:right w:val="single" w:sz="8" w:color="auto"/>
            </w:tcBorders>
          </w:tcPr>
          <w:p>
            <w:pPr>
              <w:spacing w:after="0"/>
              <w:rPr>
                <w:sz w:val="24"/>
                <w:szCs w:val="24"/>
                <w:color w:val="auto"/>
              </w:rPr>
            </w:pPr>
          </w:p>
        </w:tc>
        <w:tc>
          <w:tcPr>
            <w:tcW w:w="1040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07"/>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0"/>
              <w:spacing w:after="0" w:line="301" w:lineRule="exact"/>
              <w:rPr>
                <w:sz w:val="20"/>
                <w:szCs w:val="20"/>
                <w:color w:val="auto"/>
              </w:rPr>
            </w:pPr>
            <w:r>
              <w:rPr>
                <w:rFonts w:ascii="Arial" w:cs="Arial" w:eastAsia="Arial" w:hAnsi="Arial"/>
                <w:sz w:val="18"/>
                <w:szCs w:val="18"/>
                <w:b w:val="1"/>
                <w:bCs w:val="1"/>
                <w:color w:val="auto"/>
              </w:rPr>
              <w:t xml:space="preserve">23,493,716 </w:t>
            </w:r>
            <w:r>
              <w:rPr>
                <w:rFonts w:ascii="Arial" w:cs="Arial" w:eastAsia="Arial" w:hAnsi="Arial"/>
                <w:sz w:val="29"/>
                <w:szCs w:val="29"/>
                <w:b w:val="1"/>
                <w:bCs w:val="1"/>
                <w:color w:val="auto"/>
                <w:vertAlign w:val="superscript"/>
              </w:rPr>
              <w:t>(1)</w:t>
            </w: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81"/>
              </w:rPr>
              <w:t>10</w:t>
            </w:r>
          </w:p>
        </w:tc>
        <w:tc>
          <w:tcPr>
            <w:tcW w:w="300" w:type="dxa"/>
            <w:vAlign w:val="bottom"/>
            <w:tcBorders>
              <w:right w:val="single" w:sz="8" w:color="auto"/>
            </w:tcBorders>
          </w:tcPr>
          <w:p>
            <w:pPr>
              <w:spacing w:after="0"/>
              <w:rPr>
                <w:sz w:val="24"/>
                <w:szCs w:val="24"/>
                <w:color w:val="auto"/>
              </w:rPr>
            </w:pPr>
          </w:p>
        </w:tc>
        <w:tc>
          <w:tcPr>
            <w:tcW w:w="1040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81"/>
              </w:rPr>
              <w:t>11</w:t>
            </w:r>
          </w:p>
        </w:tc>
        <w:tc>
          <w:tcPr>
            <w:tcW w:w="300" w:type="dxa"/>
            <w:vAlign w:val="bottom"/>
            <w:tcBorders>
              <w:right w:val="single" w:sz="8" w:color="auto"/>
            </w:tcBorders>
          </w:tcPr>
          <w:p>
            <w:pPr>
              <w:spacing w:after="0"/>
              <w:rPr>
                <w:sz w:val="24"/>
                <w:szCs w:val="24"/>
                <w:color w:val="auto"/>
              </w:rPr>
            </w:pPr>
          </w:p>
        </w:tc>
        <w:tc>
          <w:tcPr>
            <w:tcW w:w="104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07"/>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80"/>
              <w:spacing w:after="0" w:line="301" w:lineRule="exact"/>
              <w:rPr>
                <w:sz w:val="20"/>
                <w:szCs w:val="20"/>
                <w:color w:val="auto"/>
              </w:rPr>
            </w:pPr>
            <w:r>
              <w:rPr>
                <w:rFonts w:ascii="Arial" w:cs="Arial" w:eastAsia="Arial" w:hAnsi="Arial"/>
                <w:sz w:val="18"/>
                <w:szCs w:val="18"/>
                <w:b w:val="1"/>
                <w:bCs w:val="1"/>
                <w:color w:val="auto"/>
                <w:w w:val="88"/>
              </w:rPr>
              <w:t xml:space="preserve">5.7 % </w:t>
            </w:r>
            <w:r>
              <w:rPr>
                <w:rFonts w:ascii="Arial" w:cs="Arial" w:eastAsia="Arial" w:hAnsi="Arial"/>
                <w:sz w:val="29"/>
                <w:szCs w:val="29"/>
                <w:b w:val="1"/>
                <w:bCs w:val="1"/>
                <w:color w:val="auto"/>
                <w:w w:val="88"/>
                <w:vertAlign w:val="superscript"/>
              </w:rPr>
              <w:t>(2)</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81"/>
              </w:rPr>
              <w:t>12</w:t>
            </w:r>
          </w:p>
        </w:tc>
        <w:tc>
          <w:tcPr>
            <w:tcW w:w="300" w:type="dxa"/>
            <w:vAlign w:val="bottom"/>
            <w:tcBorders>
              <w:right w:val="single" w:sz="8" w:color="auto"/>
            </w:tcBorders>
          </w:tcPr>
          <w:p>
            <w:pPr>
              <w:spacing w:after="0"/>
              <w:rPr>
                <w:sz w:val="24"/>
                <w:szCs w:val="24"/>
                <w:color w:val="auto"/>
              </w:rPr>
            </w:pPr>
          </w:p>
        </w:tc>
        <w:tc>
          <w:tcPr>
            <w:tcW w:w="1040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OO</w:t>
            </w: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hanging="332"/>
        <w:spacing w:after="0" w:line="218" w:lineRule="auto"/>
        <w:tabs>
          <w:tab w:leader="none" w:pos="3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Consists of Ordinary Shares of the Issuer beneficially owned by the reporting person, including warrants to purchase Ordinary Shares, and American Depository Shares (ADS) that each represents eight Ordinary Shares. These securities are held of record by Vivo Ventures Fund VII, L.P., Vivo Ventures VII Affiliates Fund, L.P. and Vivo Ventures Fund Cayman VII, L.P. Vivo Ventures VII, LLC is the general partner of Vivo Ventures Fund VII, L.P., Vivo Ventures VII Affiliates Fund, L.P. and Vivo Ventures Fund Cayman VII, L.P.</w:t>
      </w:r>
    </w:p>
    <w:p>
      <w:pPr>
        <w:spacing w:after="0" w:line="74"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Based on 414,278,294 Ordinary Shares outstanding, as reported in the Issuer’s Form 6-K filed with the SEC on July 22, 2020.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Verona Pharma plc</w:t>
      </w:r>
    </w:p>
    <w:p>
      <w:pPr>
        <w:spacing w:after="0" w:line="22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 More London Riverside, London SE1 2RE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Ventures VI, LLC and Vivo Ventures VII, LLC</w:t>
      </w:r>
    </w:p>
    <w:p>
      <w:pPr>
        <w:spacing w:after="0" w:line="22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Ventures VI, LLC and Vivo Ventures VII, LLC are both Delaware limited liability companies.</w:t>
      </w:r>
    </w:p>
    <w:p>
      <w:pPr>
        <w:spacing w:after="0" w:line="22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972"/>
        <w:spacing w:after="0" w:line="277" w:lineRule="auto"/>
        <w:rPr>
          <w:sz w:val="20"/>
          <w:szCs w:val="20"/>
          <w:color w:val="auto"/>
        </w:rPr>
      </w:pPr>
      <w:r>
        <w:rPr>
          <w:rFonts w:ascii="Arial" w:cs="Arial" w:eastAsia="Arial" w:hAnsi="Arial"/>
          <w:sz w:val="18"/>
          <w:szCs w:val="18"/>
          <w:color w:val="auto"/>
        </w:rPr>
        <w:t>Ordinary Shares and American Depositary Shares (ADS). For purposes of calculating the percentages in this Amendment No. 1 to Schedule 13G, each ADS represents beneficial ownership of eight Ordinary Shares.</w:t>
      </w:r>
    </w:p>
    <w:p>
      <w:pPr>
        <w:spacing w:after="0" w:line="166" w:lineRule="exact"/>
        <w:rPr>
          <w:sz w:val="20"/>
          <w:szCs w:val="20"/>
          <w:color w:val="auto"/>
        </w:rPr>
      </w:pPr>
    </w:p>
    <w:p>
      <w:pPr>
        <w:ind w:left="980" w:right="8940" w:hanging="324"/>
        <w:spacing w:after="0" w:line="530" w:lineRule="auto"/>
        <w:tabs>
          <w:tab w:leader="none" w:pos="98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CUSIP 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w:t>
      </w:r>
      <w:r>
        <w:rPr>
          <w:rFonts w:ascii="Arial" w:cs="Arial" w:eastAsia="Arial" w:hAnsi="Arial"/>
          <w:sz w:val="17"/>
          <w:szCs w:val="17"/>
          <w:color w:val="auto"/>
        </w:rPr>
        <w:t>925050106</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w:t>
      </w:r>
      <w:r>
        <w:rPr>
          <w:sz w:val="20"/>
          <w:szCs w:val="20"/>
          <w:color w:val="auto"/>
        </w:rPr>
        <w:tab/>
      </w:r>
      <w:r>
        <w:rPr>
          <w:rFonts w:ascii="Arial" w:cs="Arial" w:eastAsia="Arial" w:hAnsi="Arial"/>
          <w:sz w:val="17"/>
          <w:szCs w:val="17"/>
          <w:b w:val="1"/>
          <w:bCs w:val="1"/>
          <w:color w:val="auto"/>
        </w:rPr>
        <w:t>I</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TATEMENT IS</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ILED</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URSUANT TO</w:t>
      </w:r>
      <w:r>
        <w:rPr>
          <w:rFonts w:ascii="Arial" w:cs="Arial" w:eastAsia="Arial" w:hAnsi="Arial"/>
          <w:sz w:val="17"/>
          <w:szCs w:val="17"/>
          <w:b w:val="1"/>
          <w:bCs w:val="1"/>
          <w:color w:val="auto"/>
        </w:rPr>
        <w:t xml:space="preserve"> §§ 240.13d-1(b),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240.13d-2(b)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(c), C</w:t>
      </w:r>
      <w:r>
        <w:rPr>
          <w:rFonts w:ascii="Arial" w:cs="Arial" w:eastAsia="Arial" w:hAnsi="Arial"/>
          <w:sz w:val="11"/>
          <w:szCs w:val="11"/>
          <w:b w:val="1"/>
          <w:bCs w:val="1"/>
          <w:color w:val="auto"/>
        </w:rPr>
        <w:t>HECK</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HETHER THE</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ERSON</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ILING IS A</w:t>
      </w:r>
      <w:r>
        <w:rPr>
          <w:rFonts w:ascii="Arial" w:cs="Arial" w:eastAsia="Arial" w:hAnsi="Arial"/>
          <w:sz w:val="17"/>
          <w:szCs w:val="17"/>
          <w:b w:val="1"/>
          <w:bCs w:val="1"/>
          <w:color w:val="auto"/>
        </w:rPr>
        <w:t>:</w:t>
      </w:r>
    </w:p>
    <w:p>
      <w:pPr>
        <w:spacing w:after="0" w:line="196" w:lineRule="exact"/>
        <w:rPr>
          <w:sz w:val="20"/>
          <w:szCs w:val="20"/>
          <w:color w:val="auto"/>
        </w:rPr>
      </w:pPr>
    </w:p>
    <w:p>
      <w:pPr>
        <w:ind w:left="1420" w:hanging="440"/>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240.13d-1(b)(l)(ii)(G);</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880" w:hanging="900"/>
        <w:spacing w:after="0" w:line="239" w:lineRule="exact"/>
        <w:tabs>
          <w:tab w:leader="none" w:pos="143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240.13d-1(b)(l)(ii)(K).</w:t>
      </w:r>
    </w:p>
    <w:p>
      <w:pPr>
        <w:spacing w:after="0" w:line="25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________________</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972"/>
        <w:spacing w:after="0" w:line="301" w:lineRule="auto"/>
        <w:rPr>
          <w:sz w:val="20"/>
          <w:szCs w:val="20"/>
          <w:color w:val="auto"/>
        </w:rPr>
      </w:pPr>
      <w:r>
        <w:rPr>
          <w:rFonts w:ascii="Arial" w:cs="Arial" w:eastAsia="Arial" w:hAnsi="Arial"/>
          <w:sz w:val="16"/>
          <w:szCs w:val="16"/>
          <w:color w:val="auto"/>
        </w:rPr>
        <w:t>Vivo Ventures VI, LLC beneficially owns 2,388,728 Ordinary Shares and warrant to purchase 373,588 Ordinary Shares. These securities are held of record by Vivo Ventures Fund VI, L.P. and Vivo Ventures VI Affiliates. Vivo Ventures VI, LLC is the general partner of both Vivo Ventures Fund VI, L.P. and Vivo Ventures VI Affiliates Fund, L.P. The voting members of Vivo Ventures VI, LLC are Frank Kung, Albert Cha and Edgar Engleman, none of whom has individual voting or investment power with respect to these securities and each of whom disclaims beneficial ownership of such securities.</w:t>
      </w:r>
    </w:p>
    <w:p>
      <w:pPr>
        <w:spacing w:after="0" w:line="157" w:lineRule="exact"/>
        <w:rPr>
          <w:sz w:val="20"/>
          <w:szCs w:val="20"/>
          <w:color w:val="auto"/>
        </w:rPr>
      </w:pPr>
    </w:p>
    <w:p>
      <w:pPr>
        <w:ind w:firstLine="972"/>
        <w:spacing w:after="0" w:line="275" w:lineRule="auto"/>
        <w:rPr>
          <w:sz w:val="20"/>
          <w:szCs w:val="20"/>
          <w:color w:val="auto"/>
        </w:rPr>
      </w:pPr>
      <w:r>
        <w:rPr>
          <w:rFonts w:ascii="Arial" w:cs="Arial" w:eastAsia="Arial" w:hAnsi="Arial"/>
          <w:sz w:val="17"/>
          <w:szCs w:val="17"/>
          <w:color w:val="auto"/>
        </w:rPr>
        <w:t>Vivo Ventures VII, LLC beneficially owns 21,999,365 Ordinary Shares and warrant to purchase 1,494,351 Ordinary Shares. The securities are held of record by Vivo Ventures Fund VII, L.P., Vivo Ventures VII Affiliates Fund, L.P. and Vivo Ventures Fund Cayman VII, L.P. Vivo Ventures VII, LLC is the general partner of Vivo Ventures Fund VII, L.P., Vivo Ventures VII Affiliates Fund, L.P. and Vivo Ventures Fund Cayman VII, L.P. The voting members of Vivo Ventures VII, LLC are Frank Kung, Albert Cha, Edgar Engleman, Chen Yu and Shan Fu, none of whom has individual voting or investment power with respect to these securities and each of whom disclaims beneficial ownership of such securities.</w:t>
      </w:r>
    </w:p>
    <w:p>
      <w:pPr>
        <w:spacing w:after="0" w:line="17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Ventures VI, LLC: 5.7%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Ventures VII, LLC: 0.7%</w:t>
      </w:r>
    </w:p>
    <w:p>
      <w:pPr>
        <w:spacing w:after="0" w:line="22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980" w:right="7060"/>
        <w:spacing w:after="0" w:line="500" w:lineRule="auto"/>
        <w:tabs>
          <w:tab w:leader="none" w:pos="13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Vivo Ventures VI, LLC: 2,762,316</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Vivo Ventures VII, LLC: 23,493,716</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right="6160"/>
        <w:spacing w:after="0" w:line="500" w:lineRule="auto"/>
        <w:tabs>
          <w:tab w:leader="none" w:pos="13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Vivo Ventures VI, LLC: 2,762,316</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Vivo Ventures VII, LLC: 23,493,716</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w:t>
      </w:r>
      <w:r>
        <w:rPr>
          <w:rFonts w:ascii="Arial" w:cs="Arial" w:eastAsia="Arial" w:hAnsi="Arial"/>
          <w:sz w:val="18"/>
          <w:szCs w:val="18"/>
          <w:b w:val="1"/>
          <w:bCs w:val="1"/>
          <w:color w:val="auto"/>
        </w:rPr>
        <w:t xml:space="preserve"> A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120" w:hanging="971"/>
        <w:spacing w:after="0" w:line="298" w:lineRule="auto"/>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 xml:space="preserve">OR </w:t>
      </w:r>
      <w:r>
        <w:rPr>
          <w:rFonts w:ascii="Arial" w:cs="Arial" w:eastAsia="Arial" w:hAnsi="Arial"/>
          <w:sz w:val="17"/>
          <w:szCs w:val="17"/>
          <w:b w:val="1"/>
          <w:bCs w:val="1"/>
          <w:color w:val="auto"/>
        </w:rPr>
        <w:t>C</w:t>
      </w:r>
      <w:r>
        <w:rPr>
          <w:rFonts w:ascii="Arial" w:cs="Arial" w:eastAsia="Arial" w:hAnsi="Arial"/>
          <w:sz w:val="12"/>
          <w:szCs w:val="12"/>
          <w:b w:val="1"/>
          <w:bCs w:val="1"/>
          <w:color w:val="auto"/>
        </w:rPr>
        <w:t xml:space="preserve">ONTROL </w:t>
      </w:r>
      <w:r>
        <w:rPr>
          <w:rFonts w:ascii="Arial" w:cs="Arial" w:eastAsia="Arial" w:hAnsi="Arial"/>
          <w:sz w:val="17"/>
          <w:szCs w:val="17"/>
          <w:b w:val="1"/>
          <w:bCs w:val="1"/>
          <w:color w:val="auto"/>
        </w:rPr>
        <w:t>P</w:t>
      </w:r>
      <w:r>
        <w:rPr>
          <w:rFonts w:ascii="Arial" w:cs="Arial" w:eastAsia="Arial" w:hAnsi="Arial"/>
          <w:sz w:val="12"/>
          <w:szCs w:val="12"/>
          <w:b w:val="1"/>
          <w:bCs w:val="1"/>
          <w:color w:val="auto"/>
        </w:rPr>
        <w:t>ERSON</w:t>
      </w:r>
      <w:r>
        <w:rPr>
          <w:rFonts w:ascii="Arial" w:cs="Arial" w:eastAsia="Arial" w:hAnsi="Arial"/>
          <w:sz w:val="17"/>
          <w:szCs w:val="17"/>
          <w:b w:val="1"/>
          <w:bCs w:val="1"/>
          <w:color w:val="auto"/>
        </w:rPr>
        <w:t>.</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w:t>
      </w:r>
      <w:r>
        <w:rPr>
          <w:sz w:val="20"/>
          <w:szCs w:val="20"/>
          <w:color w:val="auto"/>
        </w:rPr>
        <w:tab/>
      </w:r>
      <w:r>
        <w:rPr>
          <w:rFonts w:ascii="Arial" w:cs="Arial" w:eastAsia="Arial" w:hAnsi="Arial"/>
          <w:sz w:val="18"/>
          <w:szCs w:val="18"/>
          <w:b w:val="1"/>
          <w:bCs w:val="1"/>
          <w:color w:val="auto"/>
        </w:rPr>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w:t>
      </w:r>
      <w:r>
        <w:rPr>
          <w:sz w:val="20"/>
          <w:szCs w:val="20"/>
          <w:color w:val="auto"/>
        </w:rPr>
        <w:tab/>
      </w: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ind w:firstLine="972"/>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81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Ventures VI,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July 24, 2020</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Ventures VII,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July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lowerLetter"/>
      <w:start w:val="3"/>
    </w:lvl>
  </w:abstractNum>
  <w:abstractNum w:abstractNumId="9">
    <w:nsid w:val="140E0F76"/>
    <w:multiLevelType w:val="hybridMultilevel"/>
    <w:lvl w:ilvl="0">
      <w:lvlJc w:val="left"/>
      <w:lvlText w:val="(%1)"/>
      <w:numFmt w:val="lowerLetter"/>
      <w:start w:val="4"/>
    </w:lvl>
  </w:abstractNum>
  <w:abstractNum w:abstractNumId="10">
    <w:nsid w:val="3352255A"/>
    <w:multiLevelType w:val="hybridMultilevel"/>
    <w:lvl w:ilvl="0">
      <w:lvlJc w:val="left"/>
      <w:lvlText w:val="(%1)"/>
      <w:numFmt w:val="lowerLetter"/>
      <w:start w:val="5"/>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2020-07-24T15:31:35Z</dcterms:created>
  <dcterms:modified xsi:type="dcterms:W3CDTF">2020-07-24T15:31:35Z</dcterms:modified>
</cp:coreProperties>
</file>