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343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4352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6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Rickard Kathleen A.</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8"/>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14" w:lineRule="exact"/>
        <w:rPr>
          <w:sz w:val="24"/>
          <w:szCs w:val="24"/>
          <w:color w:val="auto"/>
        </w:rPr>
      </w:pPr>
    </w:p>
    <w:p>
      <w:pPr>
        <w:sectPr>
          <w:pgSz w:w="11900" w:h="16838" w:orient="portrait"/>
          <w:cols w:equalWidth="0" w:num="3">
            <w:col w:w="3180" w:space="720"/>
            <w:col w:w="3112" w:space="720"/>
            <w:col w:w="3348"/>
          </w:cols>
          <w:pgMar w:left="460" w:top="218" w:right="359" w:bottom="642"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37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w w:val="89"/>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86"/>
              </w:rPr>
              <w:t>X0</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(1)</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7"/>
              <w:spacing w:after="0"/>
              <w:rPr>
                <w:sz w:val="20"/>
                <w:szCs w:val="20"/>
                <w:color w:val="auto"/>
              </w:rPr>
            </w:pPr>
            <w:r>
              <w:rPr>
                <w:rFonts w:ascii="Times New Roman" w:cs="Times New Roman" w:eastAsia="Times New Roman" w:hAnsi="Times New Roman"/>
                <w:sz w:val="17"/>
                <w:szCs w:val="17"/>
                <w:color w:val="0000FF"/>
              </w:rPr>
              <w:t>70,888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21"/>
              <w:spacing w:after="0"/>
              <w:rPr>
                <w:sz w:val="20"/>
                <w:szCs w:val="20"/>
                <w:color w:val="auto"/>
              </w:rPr>
            </w:pPr>
            <w:r>
              <w:rPr>
                <w:rFonts w:ascii="Times New Roman" w:cs="Times New Roman" w:eastAsia="Times New Roman" w:hAnsi="Times New Roman"/>
                <w:sz w:val="17"/>
                <w:szCs w:val="17"/>
                <w:color w:val="0000FF"/>
              </w:rPr>
              <w:t>2,665,808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(1)</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97"/>
              <w:spacing w:after="0"/>
              <w:rPr>
                <w:sz w:val="20"/>
                <w:szCs w:val="20"/>
                <w:color w:val="auto"/>
              </w:rPr>
            </w:pPr>
            <w:r>
              <w:rPr>
                <w:rFonts w:ascii="Times New Roman" w:cs="Times New Roman" w:eastAsia="Times New Roman" w:hAnsi="Times New Roman"/>
                <w:sz w:val="17"/>
                <w:szCs w:val="17"/>
                <w:color w:val="0000FF"/>
              </w:rPr>
              <w:t>58,336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jc w:val="center"/>
              <w:ind w:right="141"/>
              <w:spacing w:after="0"/>
              <w:rPr>
                <w:sz w:val="20"/>
                <w:szCs w:val="20"/>
                <w:color w:val="auto"/>
              </w:rPr>
            </w:pPr>
            <w:r>
              <w:rPr>
                <w:rFonts w:ascii="Times New Roman" w:cs="Times New Roman" w:eastAsia="Times New Roman" w:hAnsi="Times New Roman"/>
                <w:sz w:val="17"/>
                <w:szCs w:val="17"/>
                <w:color w:val="0000FF"/>
              </w:rPr>
              <w:t>2,607,472</w:t>
            </w:r>
            <w:r>
              <w:rPr>
                <w:rFonts w:ascii="Times New Roman" w:cs="Times New Roman" w:eastAsia="Times New Roman" w:hAnsi="Times New Roman"/>
                <w:sz w:val="21"/>
                <w:szCs w:val="21"/>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4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7"/>
                <w:szCs w:val="17"/>
                <w:color w:val="auto"/>
              </w:rPr>
            </w:pPr>
          </w:p>
        </w:tc>
        <w:tc>
          <w:tcPr>
            <w:tcW w:w="98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50,000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200,000</w:t>
            </w:r>
          </w:p>
        </w:tc>
        <w:tc>
          <w:tcPr>
            <w:tcW w:w="26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gridSpan w:val="2"/>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7"/>
                <w:szCs w:val="17"/>
                <w:color w:val="auto"/>
              </w:rPr>
            </w:pPr>
          </w:p>
        </w:tc>
        <w:tc>
          <w:tcPr>
            <w:tcW w:w="98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20,888</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20,888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146,168</w:t>
            </w:r>
          </w:p>
        </w:tc>
        <w:tc>
          <w:tcPr>
            <w:tcW w:w="26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gridSpan w:val="2"/>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-2400300</wp:posOffset>
            </wp:positionV>
            <wp:extent cx="29210" cy="2405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053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entered into on May 14, 2021, solely with the intent to cover taxes in connection with the vesting of Restricted Share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647,480 Ordinary Shares underlying Restricted Share Units, each of which represents a contingent right to receive one (1) Ordinary Share of the Issuer (which are represented by 74,685 ADSs); and (ii) 1,959,988 Ordinary Shares underlying 251,249 ADSs.</w:t>
      </w:r>
    </w:p>
    <w:p>
      <w:pPr>
        <w:spacing w:after="0" w:line="17"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performance-based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earned upon the satisfaction of the performance condition in connection with the Issuer's first commercial sale of ensifentrine. Following the satisfaction of the performance condition, the RSUs vest in equal quarterly installments on each of May 1, 2025, August 1, 2025, November 1, 2025, February 1, 2026, May 1, 2026 and August 1, 2026 subject to the Reporting Person's continued service to the Issuer on each vesting date.</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earned upon the determination by the Board of Directors of the Issuer (the "Determination Date") that certain performance metrics related to Q1 2025 had been achieved. The RSUs vested as to 34% of the total shares on the Determination Date, and vest as to the remainder of the shares in equal quarterly installments over a two year period on each of August 1, November 1, February 1 and May 1, subject to the Reporting Person's continued service to the Issuer on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2"/>
          <w:szCs w:val="32"/>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Kathleen A. Rickard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217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6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688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2025-08-05T19:33:17Z</dcterms:created>
  <dcterms:modified xsi:type="dcterms:W3CDTF">2025-08-05T19:33:17Z</dcterms:modified>
</cp:coreProperties>
</file>