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4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4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43"/>
        <w:spacing w:after="0"/>
        <w:rPr>
          <w:sz w:val="20"/>
          <w:szCs w:val="20"/>
          <w:color w:val="auto"/>
        </w:rPr>
      </w:pPr>
      <w:r>
        <w:rPr>
          <w:rFonts w:ascii="Arial" w:cs="Arial" w:eastAsia="Arial" w:hAnsi="Arial"/>
          <w:sz w:val="40"/>
          <w:szCs w:val="40"/>
          <w:b w:val="1"/>
          <w:bCs w:val="1"/>
          <w:color w:val="auto"/>
        </w:rPr>
        <w:t>Verona Pharma plc</w:t>
      </w:r>
    </w:p>
    <w:p>
      <w:pPr>
        <w:spacing w:after="0" w:line="3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Ordinary shares, nominal value £0.05 per share</w:t>
      </w:r>
    </w:p>
    <w:p>
      <w:pPr>
        <w:spacing w:after="0" w:line="21"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925050106**</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August 9, 2022</w:t>
      </w:r>
    </w:p>
    <w:p>
      <w:pPr>
        <w:spacing w:after="0" w:line="21"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right="40" w:hanging="424"/>
        <w:spacing w:after="0" w:line="274"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left="424"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CUSIP number is for the American Depositary Shares that trade on the NASDAQ Global Market, each representing eight ordinary shares. No CUSIP number has been assigned to the ordinary shares.</w:t>
      </w:r>
    </w:p>
    <w:p>
      <w:pPr>
        <w:spacing w:after="0" w:line="185" w:lineRule="exact"/>
        <w:rPr>
          <w:sz w:val="24"/>
          <w:szCs w:val="24"/>
          <w:color w:val="auto"/>
        </w:rPr>
      </w:pPr>
    </w:p>
    <w:p>
      <w:pPr>
        <w:jc w:val="both"/>
        <w:ind w:left="4" w:right="4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as amended (the “Act”) or otherwise subject to the liabilities of the section of the Act but shall be subject to all other provisions of that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517" w:right="47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171" w:lineRule="exact"/>
        <w:rPr>
          <w:sz w:val="20"/>
          <w:szCs w:val="20"/>
          <w:color w:val="auto"/>
        </w:rPr>
      </w:pPr>
    </w:p>
    <w:p>
      <w:pPr>
        <w:ind w:left="644" w:right="7460" w:hanging="397"/>
        <w:spacing w:after="0" w:line="406"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 AI Biotechnology LLC</w:t>
      </w:r>
    </w:p>
    <w:p>
      <w:pPr>
        <w:spacing w:after="0" w:line="1" w:lineRule="exact"/>
        <w:rPr>
          <w:rFonts w:ascii="Arial" w:cs="Arial" w:eastAsia="Arial" w:hAnsi="Arial"/>
          <w:sz w:val="18"/>
          <w:szCs w:val="18"/>
          <w:color w:val="auto"/>
        </w:rPr>
      </w:pP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520" w:hanging="417"/>
        <w:spacing w:after="0" w:line="406" w:lineRule="auto"/>
        <w:tabs>
          <w:tab w:leader="none" w:pos="66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State of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51,111,648</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51,111,648</w:t>
      </w:r>
    </w:p>
    <w:p>
      <w:pPr>
        <w:spacing w:after="0" w:line="36" w:lineRule="exact"/>
        <w:rPr>
          <w:sz w:val="20"/>
          <w:szCs w:val="20"/>
          <w:color w:val="auto"/>
        </w:rPr>
      </w:pPr>
    </w:p>
    <w:p>
      <w:pPr>
        <w:ind w:left="664" w:right="3660" w:hanging="417"/>
        <w:spacing w:after="0" w:line="406" w:lineRule="auto"/>
        <w:tabs>
          <w:tab w:leader="none" w:pos="654"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51,111,648</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10.48%</w:t>
      </w:r>
      <w:r>
        <w:rPr>
          <w:rFonts w:ascii="Arial" w:cs="Arial" w:eastAsia="Arial" w:hAnsi="Arial"/>
          <w:sz w:val="26"/>
          <w:szCs w:val="26"/>
          <w:color w:val="auto"/>
          <w:vertAlign w:val="superscript"/>
        </w:rPr>
        <w:t>(1)</w:t>
      </w:r>
    </w:p>
    <w:p>
      <w:pPr>
        <w:ind w:left="664" w:right="5860" w:hanging="507"/>
        <w:spacing w:after="0" w:line="538"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 w:lineRule="exact"/>
        <w:rPr>
          <w:rFonts w:ascii="Arial" w:cs="Arial" w:eastAsia="Arial" w:hAnsi="Arial"/>
          <w:sz w:val="18"/>
          <w:szCs w:val="18"/>
          <w:color w:val="auto"/>
        </w:rPr>
      </w:pPr>
    </w:p>
    <w:p>
      <w:pPr>
        <w:ind w:left="424" w:right="44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487,633,374 of the Issuer’s ordinary shares outstanding as of August 3, 2022, as reported in the Issuer’s Form 10-Q filed with the Securities and Exchange Commission (the “SEC”) on August 9, 2022.</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4"/>
          </w:cols>
          <w:pgMar w:left="436" w:top="274" w:right="5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925050106</w:t>
      </w:r>
    </w:p>
    <w:p>
      <w:pPr>
        <w:spacing w:after="0" w:line="171" w:lineRule="exact"/>
        <w:rPr>
          <w:sz w:val="20"/>
          <w:szCs w:val="20"/>
          <w:color w:val="auto"/>
        </w:rPr>
      </w:pPr>
    </w:p>
    <w:p>
      <w:pPr>
        <w:ind w:left="644" w:right="7460" w:hanging="397"/>
        <w:spacing w:after="0" w:line="457" w:lineRule="auto"/>
        <w:tabs>
          <w:tab w:leader="none" w:pos="654"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NAMES OF REPORTING PERSONS Access Industries Holdings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520" w:hanging="417"/>
        <w:spacing w:after="0" w:line="406" w:lineRule="auto"/>
        <w:tabs>
          <w:tab w:leader="none" w:pos="6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State of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51,111,648</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51,111,648</w:t>
      </w:r>
    </w:p>
    <w:p>
      <w:pPr>
        <w:spacing w:after="0" w:line="36" w:lineRule="exact"/>
        <w:rPr>
          <w:sz w:val="20"/>
          <w:szCs w:val="20"/>
          <w:color w:val="auto"/>
        </w:rPr>
      </w:pPr>
    </w:p>
    <w:p>
      <w:pPr>
        <w:ind w:left="664" w:right="3660" w:hanging="417"/>
        <w:spacing w:after="0" w:line="406" w:lineRule="auto"/>
        <w:tabs>
          <w:tab w:leader="none" w:pos="6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51,111,648</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10.48%</w:t>
      </w:r>
      <w:r>
        <w:rPr>
          <w:rFonts w:ascii="Arial" w:cs="Arial" w:eastAsia="Arial" w:hAnsi="Arial"/>
          <w:sz w:val="26"/>
          <w:szCs w:val="26"/>
          <w:color w:val="auto"/>
          <w:vertAlign w:val="superscript"/>
        </w:rPr>
        <w:t>(1)</w:t>
      </w:r>
    </w:p>
    <w:p>
      <w:pPr>
        <w:ind w:left="664" w:right="5860" w:hanging="507"/>
        <w:spacing w:after="0" w:line="538"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487,633,374 of the Issuer’s ordinary shares outstanding as of August 3, 2022, as reported in the Issuer’s Form 10-Q filed with the SEC on August 9, 2022.</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4"/>
          </w:cols>
          <w:pgMar w:left="436" w:top="274"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171" w:lineRule="exact"/>
        <w:rPr>
          <w:sz w:val="20"/>
          <w:szCs w:val="20"/>
          <w:color w:val="auto"/>
        </w:rPr>
      </w:pPr>
    </w:p>
    <w:p>
      <w:pPr>
        <w:ind w:left="644" w:right="7460" w:hanging="397"/>
        <w:spacing w:after="0" w:line="457" w:lineRule="auto"/>
        <w:tabs>
          <w:tab w:leader="none" w:pos="654"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NAMES OF REPORTING PERSONS Access Industries Management,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520" w:hanging="417"/>
        <w:spacing w:after="0" w:line="406"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State of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51,111,648</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51,111,648</w:t>
      </w:r>
    </w:p>
    <w:p>
      <w:pPr>
        <w:spacing w:after="0" w:line="36" w:lineRule="exact"/>
        <w:rPr>
          <w:sz w:val="20"/>
          <w:szCs w:val="20"/>
          <w:color w:val="auto"/>
        </w:rPr>
      </w:pPr>
    </w:p>
    <w:p>
      <w:pPr>
        <w:ind w:left="664" w:right="3660" w:hanging="417"/>
        <w:spacing w:after="0" w:line="406"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51,111,648</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10.48%</w:t>
      </w:r>
      <w:r>
        <w:rPr>
          <w:rFonts w:ascii="Arial" w:cs="Arial" w:eastAsia="Arial" w:hAnsi="Arial"/>
          <w:sz w:val="26"/>
          <w:szCs w:val="26"/>
          <w:color w:val="auto"/>
          <w:vertAlign w:val="superscript"/>
        </w:rPr>
        <w:t>(1)</w:t>
      </w:r>
    </w:p>
    <w:p>
      <w:pPr>
        <w:ind w:left="664" w:right="5860" w:hanging="507"/>
        <w:spacing w:after="0" w:line="538" w:lineRule="auto"/>
        <w:tabs>
          <w:tab w:leader="none" w:pos="6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487,633,374 of the Issuer’s ordinary shares outstanding as of August 3, 2022, as reported in the Issuer’s Form 10-Q filed with the SEC on August 9, 2022.</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4"/>
          </w:cols>
          <w:pgMar w:left="436" w:top="274" w:right="5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171" w:lineRule="exact"/>
        <w:rPr>
          <w:sz w:val="20"/>
          <w:szCs w:val="20"/>
          <w:color w:val="auto"/>
        </w:rPr>
      </w:pPr>
    </w:p>
    <w:p>
      <w:pPr>
        <w:ind w:left="664" w:right="7460" w:hanging="417"/>
        <w:spacing w:after="0" w:line="406" w:lineRule="auto"/>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 Len Blavatnik</w:t>
      </w:r>
    </w:p>
    <w:p>
      <w:pPr>
        <w:spacing w:after="0" w:line="1" w:lineRule="exact"/>
        <w:rPr>
          <w:rFonts w:ascii="Arial" w:cs="Arial" w:eastAsia="Arial" w:hAnsi="Arial"/>
          <w:sz w:val="18"/>
          <w:szCs w:val="18"/>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520" w:hanging="417"/>
        <w:spacing w:after="0" w:line="406" w:lineRule="auto"/>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51,111,648</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51,111,648</w:t>
      </w:r>
    </w:p>
    <w:p>
      <w:pPr>
        <w:spacing w:after="0" w:line="36" w:lineRule="exact"/>
        <w:rPr>
          <w:sz w:val="20"/>
          <w:szCs w:val="20"/>
          <w:color w:val="auto"/>
        </w:rPr>
      </w:pPr>
    </w:p>
    <w:p>
      <w:pPr>
        <w:ind w:left="664" w:right="3660" w:hanging="417"/>
        <w:spacing w:after="0" w:line="406" w:lineRule="auto"/>
        <w:tabs>
          <w:tab w:leader="none" w:pos="6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51,111,648</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10.48%</w:t>
      </w:r>
      <w:r>
        <w:rPr>
          <w:rFonts w:ascii="Arial" w:cs="Arial" w:eastAsia="Arial" w:hAnsi="Arial"/>
          <w:sz w:val="26"/>
          <w:szCs w:val="26"/>
          <w:color w:val="auto"/>
          <w:vertAlign w:val="superscript"/>
        </w:rPr>
        <w:t>(1)</w:t>
      </w:r>
    </w:p>
    <w:p>
      <w:pPr>
        <w:ind w:left="664" w:right="5860" w:hanging="507"/>
        <w:spacing w:after="0" w:line="538" w:lineRule="auto"/>
        <w:tabs>
          <w:tab w:leader="none" w:pos="661" w:val="left"/>
        </w:tabs>
        <w:numPr>
          <w:ilvl w:val="1"/>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1"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487,633,374 of the Issuer’s ordinary shares outstanding as of August 3, 2022, as reported in the Issuer’s Form 10-Q filed with the SEC on August 9, 2022.</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4"/>
          </w:cols>
          <w:pgMar w:left="436" w:top="274"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1" w:lineRule="exact"/>
        <w:rPr>
          <w:sz w:val="20"/>
          <w:szCs w:val="20"/>
          <w:color w:val="auto"/>
        </w:rPr>
      </w:pPr>
    </w:p>
    <w:p>
      <w:pPr>
        <w:ind w:left="960" w:hanging="532"/>
        <w:spacing w:after="0"/>
        <w:tabs>
          <w:tab w:leader="none" w:pos="9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Verona Pharma plc (the “Issuer”).</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980" w:right="80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3 More London Riverside London SE1 2RE United Kingdom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60" w:hanging="532"/>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This filing is being made on behalf of (collectively, the “Access Filers”):</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AI Biotechnology LLC</w:t>
      </w:r>
    </w:p>
    <w:p>
      <w:pPr>
        <w:spacing w:after="0" w:line="23" w:lineRule="exact"/>
        <w:rPr>
          <w:rFonts w:ascii="Arial" w:cs="Arial" w:eastAsia="Arial" w:hAnsi="Arial"/>
          <w:sz w:val="18"/>
          <w:szCs w:val="18"/>
          <w:b w:val="1"/>
          <w:bCs w:val="1"/>
          <w:color w:val="auto"/>
        </w:rPr>
      </w:pPr>
    </w:p>
    <w:p>
      <w:pPr>
        <w:ind w:left="980" w:right="72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Access Industries Holdings LLC Access Industries Management, LLC Len Blavatnik</w:t>
      </w:r>
    </w:p>
    <w:p>
      <w:pPr>
        <w:spacing w:after="0" w:line="91" w:lineRule="exact"/>
        <w:rPr>
          <w:rFonts w:ascii="Arial" w:cs="Arial" w:eastAsia="Arial" w:hAnsi="Arial"/>
          <w:sz w:val="18"/>
          <w:szCs w:val="18"/>
          <w:b w:val="1"/>
          <w:bCs w:val="1"/>
          <w:color w:val="auto"/>
        </w:rPr>
      </w:pPr>
    </w:p>
    <w:p>
      <w:pPr>
        <w:ind w:left="960" w:hanging="532"/>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21" w:lineRule="exact"/>
        <w:rPr>
          <w:rFonts w:ascii="Arial" w:cs="Arial" w:eastAsia="Arial" w:hAnsi="Arial"/>
          <w:sz w:val="18"/>
          <w:szCs w:val="18"/>
          <w:b w:val="1"/>
          <w:bCs w:val="1"/>
          <w:color w:val="auto"/>
        </w:rPr>
      </w:pPr>
    </w:p>
    <w:p>
      <w:pPr>
        <w:ind w:left="98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principal business office of each reporting person is c/o Access Industries, Inc., 40 West 57th Street, 28th Floor, New York, NY 10019.</w:t>
      </w:r>
    </w:p>
    <w:p>
      <w:pPr>
        <w:spacing w:after="0" w:line="71" w:lineRule="exact"/>
        <w:rPr>
          <w:rFonts w:ascii="Arial" w:cs="Arial" w:eastAsia="Arial" w:hAnsi="Arial"/>
          <w:sz w:val="18"/>
          <w:szCs w:val="18"/>
          <w:b w:val="1"/>
          <w:bCs w:val="1"/>
          <w:color w:val="auto"/>
        </w:rPr>
      </w:pPr>
    </w:p>
    <w:p>
      <w:pPr>
        <w:ind w:left="960" w:hanging="532"/>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of AI Biotechnology LLC, Access Industries Holdings LLC and Access Industries Management, LLC is a limited liability company organized under the laws of the State of Delaware.</w:t>
      </w:r>
    </w:p>
    <w:p>
      <w:pPr>
        <w:spacing w:after="0" w:line="62"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Mr. Blavatnik is a citizen of the United States of America.</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Ordinary shares, nominal value £0.05 per share (“Ordinary Shares”).</w:t>
      </w:r>
    </w:p>
    <w:p>
      <w:pPr>
        <w:spacing w:after="0" w:line="126" w:lineRule="exact"/>
        <w:rPr>
          <w:rFonts w:ascii="Arial" w:cs="Arial" w:eastAsia="Arial" w:hAnsi="Arial"/>
          <w:sz w:val="18"/>
          <w:szCs w:val="18"/>
          <w:b w:val="1"/>
          <w:bCs w:val="1"/>
          <w:color w:val="auto"/>
        </w:rPr>
      </w:pPr>
    </w:p>
    <w:p>
      <w:pPr>
        <w:ind w:left="980" w:right="8640" w:hanging="552"/>
        <w:spacing w:after="0" w:line="445" w:lineRule="auto"/>
        <w:tabs>
          <w:tab w:leader="none" w:pos="961"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925050106</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331" w:lineRule="exact"/>
        <w:rPr>
          <w:sz w:val="20"/>
          <w:szCs w:val="20"/>
          <w:color w:val="auto"/>
        </w:rPr>
      </w:pPr>
    </w:p>
    <w:p>
      <w:pPr>
        <w:ind w:left="1320" w:hanging="325"/>
        <w:spacing w:after="0" w:line="207" w:lineRule="exact"/>
        <w:tabs>
          <w:tab w:leader="none" w:pos="13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325"/>
        <w:spacing w:after="0" w:line="207" w:lineRule="exact"/>
        <w:tabs>
          <w:tab w:leader="none" w:pos="13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325"/>
        <w:spacing w:after="0" w:line="207" w:lineRule="exact"/>
        <w:tabs>
          <w:tab w:leader="none" w:pos="13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325"/>
        <w:spacing w:after="0" w:line="207" w:lineRule="exact"/>
        <w:tabs>
          <w:tab w:leader="none" w:pos="13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325"/>
        <w:spacing w:after="0" w:line="207" w:lineRule="exact"/>
        <w:tabs>
          <w:tab w:leader="none" w:pos="13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 (1)(ii)(E);</w:t>
      </w:r>
    </w:p>
    <w:p>
      <w:pPr>
        <w:spacing w:after="0" w:line="117" w:lineRule="exact"/>
        <w:rPr>
          <w:rFonts w:ascii="Arial" w:cs="Arial" w:eastAsia="Arial" w:hAnsi="Arial"/>
          <w:sz w:val="18"/>
          <w:szCs w:val="18"/>
          <w:color w:val="auto"/>
        </w:rPr>
      </w:pPr>
    </w:p>
    <w:p>
      <w:pPr>
        <w:ind w:left="1320" w:hanging="325"/>
        <w:spacing w:after="0" w:line="207" w:lineRule="exact"/>
        <w:tabs>
          <w:tab w:leader="none" w:pos="13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 (1)(ii)(F);</w:t>
      </w:r>
    </w:p>
    <w:p>
      <w:pPr>
        <w:spacing w:after="0" w:line="200" w:lineRule="exact"/>
        <w:rPr>
          <w:sz w:val="20"/>
          <w:szCs w:val="20"/>
          <w:color w:val="auto"/>
        </w:rPr>
      </w:pP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40" w:top="274" w:right="559" w:bottom="1440" w:gutter="0" w:footer="0" w:header="0"/>
        </w:sectPr>
      </w:pPr>
    </w:p>
    <w:bookmarkStart w:id="6" w:name="page7"/>
    <w:bookmarkEnd w:id="6"/>
    <w:p>
      <w:pPr>
        <w:ind w:left="1320" w:hanging="325"/>
        <w:spacing w:after="0" w:line="207" w:lineRule="exact"/>
        <w:tabs>
          <w:tab w:leader="none" w:pos="1320"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color w:val="auto"/>
        </w:rPr>
        <w:t xml:space="preserve"> A parent holding company or control person in accordance with §240.13d-1(b) (1)(ii)(G);</w:t>
      </w:r>
    </w:p>
    <w:p>
      <w:pPr>
        <w:spacing w:after="0" w:line="117" w:lineRule="exact"/>
        <w:rPr>
          <w:rFonts w:ascii="Arial" w:cs="Arial" w:eastAsia="Arial" w:hAnsi="Arial"/>
          <w:sz w:val="18"/>
          <w:szCs w:val="18"/>
          <w:color w:val="auto"/>
        </w:rPr>
      </w:pPr>
    </w:p>
    <w:p>
      <w:pPr>
        <w:ind w:left="1320" w:hanging="325"/>
        <w:spacing w:after="0" w:line="207" w:lineRule="exact"/>
        <w:tabs>
          <w:tab w:leader="none" w:pos="1320"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600" w:right="180" w:hanging="605"/>
        <w:spacing w:after="0" w:line="239" w:lineRule="exact"/>
        <w:tabs>
          <w:tab w:leader="none" w:pos="1317"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320" w:hanging="325"/>
        <w:spacing w:after="0" w:line="207" w:lineRule="exact"/>
        <w:tabs>
          <w:tab w:leader="none" w:pos="1320"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1320" w:hanging="325"/>
        <w:spacing w:after="0" w:line="207" w:lineRule="exact"/>
        <w:tabs>
          <w:tab w:leader="none" w:pos="1320"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(a-c)</w:t>
      </w:r>
    </w:p>
    <w:p>
      <w:pPr>
        <w:spacing w:after="0" w:line="121" w:lineRule="exact"/>
        <w:rPr>
          <w:sz w:val="20"/>
          <w:szCs w:val="20"/>
          <w:color w:val="auto"/>
        </w:rPr>
      </w:pPr>
    </w:p>
    <w:p>
      <w:pPr>
        <w:ind w:left="980" w:right="80"/>
        <w:spacing w:after="0" w:line="263" w:lineRule="auto"/>
        <w:rPr>
          <w:sz w:val="20"/>
          <w:szCs w:val="20"/>
          <w:color w:val="auto"/>
        </w:rPr>
      </w:pPr>
      <w:r>
        <w:rPr>
          <w:rFonts w:ascii="Arial" w:cs="Arial" w:eastAsia="Arial" w:hAnsi="Arial"/>
          <w:sz w:val="18"/>
          <w:szCs w:val="18"/>
          <w:color w:val="auto"/>
        </w:rPr>
        <w:t>The ownership information presented below represents beneficial ownership of the Ordinary Shares of the Issuer based on 487,633,374 of the Issuer’s Ordinary Shares outstanding as of August 3, 2022, as reported in the Issuer’s Form 10-Q filed with the SEC on August 9,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jc w:val="right"/>
              <w:ind w:right="79"/>
              <w:spacing w:after="0"/>
              <w:rPr>
                <w:sz w:val="20"/>
                <w:szCs w:val="20"/>
                <w:color w:val="auto"/>
              </w:rPr>
            </w:pPr>
            <w:r>
              <w:rPr>
                <w:rFonts w:ascii="Arial" w:cs="Arial" w:eastAsia="Arial" w:hAnsi="Arial"/>
                <w:sz w:val="14"/>
                <w:szCs w:val="14"/>
                <w:b w:val="1"/>
                <w:bCs w:val="1"/>
                <w:color w:val="auto"/>
              </w:rPr>
              <w:t>Sole power to</w:t>
            </w:r>
          </w:p>
        </w:tc>
        <w:tc>
          <w:tcPr>
            <w:tcW w:w="130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Shared power to</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Sole power to</w:t>
            </w:r>
          </w:p>
        </w:tc>
        <w:tc>
          <w:tcPr>
            <w:tcW w:w="138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Shared power to</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6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Amount beneficially</w:t>
            </w:r>
          </w:p>
        </w:tc>
        <w:tc>
          <w:tcPr>
            <w:tcW w:w="1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vote or to</w:t>
            </w:r>
          </w:p>
        </w:tc>
        <w:tc>
          <w:tcPr>
            <w:tcW w:w="1300" w:type="dxa"/>
            <w:vAlign w:val="bottom"/>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dispose or to</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1660" w:type="dxa"/>
            <w:vAlign w:val="bottom"/>
            <w:vMerge w:val="continue"/>
          </w:tcPr>
          <w:p>
            <w:pPr>
              <w:spacing w:after="0"/>
              <w:rPr>
                <w:sz w:val="12"/>
                <w:szCs w:val="12"/>
                <w:color w:val="auto"/>
              </w:rPr>
            </w:pPr>
          </w:p>
        </w:tc>
        <w:tc>
          <w:tcPr>
            <w:tcW w:w="14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9"/>
              </w:rPr>
              <w:t>Percent of class: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130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vote or to direct</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dispose or to direct</w:t>
            </w:r>
          </w:p>
        </w:tc>
        <w:tc>
          <w:tcPr>
            <w:tcW w:w="0" w:type="dxa"/>
            <w:vAlign w:val="bottom"/>
          </w:tcPr>
          <w:p>
            <w:pPr>
              <w:spacing w:after="0"/>
              <w:rPr>
                <w:sz w:val="1"/>
                <w:szCs w:val="1"/>
                <w:color w:val="auto"/>
              </w:rPr>
            </w:pPr>
          </w:p>
        </w:tc>
      </w:tr>
      <w:tr>
        <w:trPr>
          <w:trHeight w:val="171"/>
        </w:trPr>
        <w:tc>
          <w:tcPr>
            <w:tcW w:w="2960" w:type="dxa"/>
            <w:vAlign w:val="bottom"/>
            <w:vMerge w:val="continue"/>
          </w:tcPr>
          <w:p>
            <w:pPr>
              <w:spacing w:after="0"/>
              <w:rPr>
                <w:sz w:val="14"/>
                <w:szCs w:val="14"/>
                <w:color w:val="auto"/>
              </w:rPr>
            </w:pPr>
          </w:p>
        </w:tc>
        <w:tc>
          <w:tcPr>
            <w:tcW w:w="1660" w:type="dxa"/>
            <w:vAlign w:val="bottom"/>
          </w:tcPr>
          <w:p>
            <w:pPr>
              <w:jc w:val="right"/>
              <w:ind w:right="456"/>
              <w:spacing w:after="0"/>
              <w:rPr>
                <w:sz w:val="20"/>
                <w:szCs w:val="20"/>
                <w:color w:val="auto"/>
              </w:rPr>
            </w:pPr>
            <w:r>
              <w:rPr>
                <w:rFonts w:ascii="Arial" w:cs="Arial" w:eastAsia="Arial" w:hAnsi="Arial"/>
                <w:sz w:val="14"/>
                <w:szCs w:val="14"/>
                <w:b w:val="1"/>
                <w:bCs w:val="1"/>
                <w:color w:val="auto"/>
              </w:rPr>
              <w:t>owned:</w:t>
            </w:r>
          </w:p>
        </w:tc>
        <w:tc>
          <w:tcPr>
            <w:tcW w:w="1420" w:type="dxa"/>
            <w:vAlign w:val="bottom"/>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vote:</w:t>
            </w:r>
          </w:p>
        </w:tc>
        <w:tc>
          <w:tcPr>
            <w:tcW w:w="1300" w:type="dxa"/>
            <w:vAlign w:val="bottom"/>
          </w:tcPr>
          <w:p>
            <w:pPr>
              <w:jc w:val="right"/>
              <w:ind w:right="338"/>
              <w:spacing w:after="0"/>
              <w:rPr>
                <w:sz w:val="20"/>
                <w:szCs w:val="20"/>
                <w:color w:val="auto"/>
              </w:rPr>
            </w:pPr>
            <w:r>
              <w:rPr>
                <w:rFonts w:ascii="Arial" w:cs="Arial" w:eastAsia="Arial" w:hAnsi="Arial"/>
                <w:sz w:val="14"/>
                <w:szCs w:val="14"/>
                <w:b w:val="1"/>
                <w:bCs w:val="1"/>
                <w:color w:val="auto"/>
              </w:rPr>
              <w:t>the vote</w:t>
            </w:r>
          </w:p>
        </w:tc>
        <w:tc>
          <w:tcPr>
            <w:tcW w:w="1180" w:type="dxa"/>
            <w:vAlign w:val="bottom"/>
          </w:tcPr>
          <w:p>
            <w:pPr>
              <w:jc w:val="right"/>
              <w:ind w:right="79"/>
              <w:spacing w:after="0"/>
              <w:rPr>
                <w:sz w:val="20"/>
                <w:szCs w:val="20"/>
                <w:color w:val="auto"/>
              </w:rPr>
            </w:pPr>
            <w:r>
              <w:rPr>
                <w:rFonts w:ascii="Arial" w:cs="Arial" w:eastAsia="Arial" w:hAnsi="Arial"/>
                <w:sz w:val="14"/>
                <w:szCs w:val="14"/>
                <w:b w:val="1"/>
                <w:bCs w:val="1"/>
                <w:color w:val="auto"/>
              </w:rPr>
              <w:t>disposition of:</w:t>
            </w:r>
          </w:p>
        </w:tc>
        <w:tc>
          <w:tcPr>
            <w:tcW w:w="1380" w:type="dxa"/>
            <w:vAlign w:val="bottom"/>
          </w:tcPr>
          <w:p>
            <w:pPr>
              <w:jc w:val="right"/>
              <w:ind w:right="18"/>
              <w:spacing w:after="0"/>
              <w:rPr>
                <w:sz w:val="20"/>
                <w:szCs w:val="20"/>
                <w:color w:val="auto"/>
              </w:rPr>
            </w:pPr>
            <w:r>
              <w:rPr>
                <w:rFonts w:ascii="Arial" w:cs="Arial" w:eastAsia="Arial" w:hAnsi="Arial"/>
                <w:sz w:val="14"/>
                <w:szCs w:val="14"/>
                <w:b w:val="1"/>
                <w:bCs w:val="1"/>
                <w:color w:val="auto"/>
              </w:rPr>
              <w:t>the disposition of:</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AI Biotechnology LLC</w:t>
            </w:r>
          </w:p>
        </w:tc>
        <w:tc>
          <w:tcPr>
            <w:tcW w:w="1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51,111,648</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10.48%</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51,111,648</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51,111,648</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Access Industries Holdings LLC</w:t>
            </w:r>
          </w:p>
        </w:tc>
        <w:tc>
          <w:tcPr>
            <w:tcW w:w="1660" w:type="dxa"/>
            <w:vAlign w:val="bottom"/>
          </w:tcPr>
          <w:p>
            <w:pPr>
              <w:jc w:val="right"/>
              <w:ind w:right="56"/>
              <w:spacing w:after="0"/>
              <w:rPr>
                <w:sz w:val="20"/>
                <w:szCs w:val="20"/>
                <w:color w:val="auto"/>
              </w:rPr>
            </w:pPr>
            <w:r>
              <w:rPr>
                <w:rFonts w:ascii="Arial" w:cs="Arial" w:eastAsia="Arial" w:hAnsi="Arial"/>
                <w:sz w:val="18"/>
                <w:szCs w:val="18"/>
                <w:color w:val="auto"/>
              </w:rPr>
              <w:t>51,111,648</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10.48%</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58"/>
              <w:spacing w:after="0"/>
              <w:rPr>
                <w:sz w:val="20"/>
                <w:szCs w:val="20"/>
                <w:color w:val="auto"/>
              </w:rPr>
            </w:pPr>
            <w:r>
              <w:rPr>
                <w:rFonts w:ascii="Arial" w:cs="Arial" w:eastAsia="Arial" w:hAnsi="Arial"/>
                <w:sz w:val="18"/>
                <w:szCs w:val="18"/>
                <w:color w:val="auto"/>
              </w:rPr>
              <w:t>51,111,648</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0</w:t>
            </w:r>
          </w:p>
        </w:tc>
        <w:tc>
          <w:tcPr>
            <w:tcW w:w="1380" w:type="dxa"/>
            <w:vAlign w:val="bottom"/>
          </w:tcPr>
          <w:p>
            <w:pPr>
              <w:jc w:val="right"/>
              <w:spacing w:after="0"/>
              <w:rPr>
                <w:sz w:val="20"/>
                <w:szCs w:val="20"/>
                <w:color w:val="auto"/>
              </w:rPr>
            </w:pPr>
            <w:r>
              <w:rPr>
                <w:rFonts w:ascii="Arial" w:cs="Arial" w:eastAsia="Arial" w:hAnsi="Arial"/>
                <w:sz w:val="18"/>
                <w:szCs w:val="18"/>
                <w:color w:val="auto"/>
              </w:rPr>
              <w:t>51,111,648</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9"/>
              </w:rPr>
              <w:t>Access Industries Management, LLC</w:t>
            </w:r>
          </w:p>
        </w:tc>
        <w:tc>
          <w:tcPr>
            <w:tcW w:w="1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51,111,648</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10.48%</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51,111,648</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51,111,648</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Len Blavatnik</w:t>
            </w:r>
          </w:p>
        </w:tc>
        <w:tc>
          <w:tcPr>
            <w:tcW w:w="1660" w:type="dxa"/>
            <w:vAlign w:val="bottom"/>
          </w:tcPr>
          <w:p>
            <w:pPr>
              <w:jc w:val="right"/>
              <w:ind w:right="56"/>
              <w:spacing w:after="0"/>
              <w:rPr>
                <w:sz w:val="20"/>
                <w:szCs w:val="20"/>
                <w:color w:val="auto"/>
              </w:rPr>
            </w:pPr>
            <w:r>
              <w:rPr>
                <w:rFonts w:ascii="Arial" w:cs="Arial" w:eastAsia="Arial" w:hAnsi="Arial"/>
                <w:sz w:val="18"/>
                <w:szCs w:val="18"/>
                <w:color w:val="auto"/>
              </w:rPr>
              <w:t>51,111,648</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10.48%</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58"/>
              <w:spacing w:after="0"/>
              <w:rPr>
                <w:sz w:val="20"/>
                <w:szCs w:val="20"/>
                <w:color w:val="auto"/>
              </w:rPr>
            </w:pPr>
            <w:r>
              <w:rPr>
                <w:rFonts w:ascii="Arial" w:cs="Arial" w:eastAsia="Arial" w:hAnsi="Arial"/>
                <w:sz w:val="18"/>
                <w:szCs w:val="18"/>
                <w:color w:val="auto"/>
              </w:rPr>
              <w:t>51,111,648</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0</w:t>
            </w:r>
          </w:p>
        </w:tc>
        <w:tc>
          <w:tcPr>
            <w:tcW w:w="1380" w:type="dxa"/>
            <w:vAlign w:val="bottom"/>
          </w:tcPr>
          <w:p>
            <w:pPr>
              <w:jc w:val="right"/>
              <w:spacing w:after="0"/>
              <w:rPr>
                <w:sz w:val="20"/>
                <w:szCs w:val="20"/>
                <w:color w:val="auto"/>
              </w:rPr>
            </w:pPr>
            <w:r>
              <w:rPr>
                <w:rFonts w:ascii="Arial" w:cs="Arial" w:eastAsia="Arial" w:hAnsi="Arial"/>
                <w:sz w:val="18"/>
                <w:szCs w:val="18"/>
                <w:color w:val="auto"/>
              </w:rPr>
              <w:t>51,111,648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980" w:right="40"/>
        <w:spacing w:after="0" w:line="259" w:lineRule="auto"/>
        <w:rPr>
          <w:sz w:val="20"/>
          <w:szCs w:val="20"/>
          <w:color w:val="auto"/>
        </w:rPr>
      </w:pPr>
      <w:r>
        <w:rPr>
          <w:rFonts w:ascii="Arial" w:cs="Arial" w:eastAsia="Arial" w:hAnsi="Arial"/>
          <w:sz w:val="18"/>
          <w:szCs w:val="18"/>
          <w:color w:val="auto"/>
        </w:rPr>
        <w:t>Each of Access Industries Holdings LLC, Access Industries Management, LLC and Len Blavatnik may be deemed to beneficially own the Issuer’s Ordinary Shares beneficially owned by AI Biotechnology LLC, a subsidiary in a multi-tier corporate structure of which Access Industries Holdings LLC is the parent holding company and is ultimately managed by Access Industries Management, LLC and controlled by Mr. Blavatnik.</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80" w:right="4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72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349" w:right="439"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0"/>
          </w:cols>
          <w:pgMar w:left="440" w:top="270" w:right="639" w:bottom="1440" w:gutter="0" w:footer="0" w:header="0"/>
        </w:sectPr>
      </w:pPr>
    </w:p>
    <w:bookmarkStart w:id="8" w:name="page9"/>
    <w:bookmarkEnd w:id="8"/>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10,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AI BIOTECHNOLOGY LLC</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By: Access Industries Management, LLC, its Manager</w:t>
      </w:r>
    </w:p>
    <w:p>
      <w:pPr>
        <w:spacing w:after="0" w:line="23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ACCESS INDUSTRIES HOLDINGS LLC</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By: Access Industries Management, LLC, its Manager</w:t>
      </w:r>
    </w:p>
    <w:p>
      <w:pPr>
        <w:spacing w:after="0" w:line="23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ACCESS INDUSTRIES MANAGEMENT, LLC</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Len Blavatnik</w:t>
      </w:r>
    </w:p>
    <w:p>
      <w:pPr>
        <w:spacing w:after="0" w:line="252" w:lineRule="exact"/>
        <w:rPr>
          <w:sz w:val="20"/>
          <w:szCs w:val="20"/>
          <w:color w:val="auto"/>
        </w:rPr>
      </w:pPr>
    </w:p>
    <w:p>
      <w:pPr>
        <w:ind w:left="424" w:right="20" w:hanging="424"/>
        <w:spacing w:after="0" w:line="308" w:lineRule="auto"/>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undersigned, by signing his name hereto, executes this Schedule 13G pursuant to the Power of Attorney executed on behalf of Mr. Blavatnik (filed as Exhibit 99.2 to his Schedule 13G related to the common stock of Pandion Therapeutics, Inc. filed on July 24, 2020).</w:t>
      </w:r>
    </w:p>
    <w:p>
      <w:pPr>
        <w:spacing w:after="0" w:line="17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Attorney-in-Fact</w:t>
      </w:r>
    </w:p>
    <w:p>
      <w:pPr>
        <w:spacing w:after="0" w:line="14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4"/>
          </w:cols>
          <w:pgMar w:left="436" w:top="270" w:right="559" w:bottom="1440" w:gutter="0" w:footer="0" w:header="0"/>
        </w:sectPr>
      </w:pPr>
    </w:p>
    <w:bookmarkStart w:id="9" w:name="page10"/>
    <w:bookmarkEnd w:id="9"/>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JOINT FILING AGREEMENT</w:t>
      </w:r>
    </w:p>
    <w:p>
      <w:pPr>
        <w:spacing w:after="0" w:line="229"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undersigned agree that this Schedule 13G dated August 10, 2022 relating to the Ordinary shares, nominal value £0.05 per share, of Verona Pharma plc, shall be filed on behalf of the undersigned.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10,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AI BIOTECHNOLOGY LLC</w:t>
      </w:r>
    </w:p>
    <w:p>
      <w:pPr>
        <w:spacing w:after="0" w:line="131"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By: Access Industries Management, LLC, its Manager</w:t>
      </w:r>
    </w:p>
    <w:p>
      <w:pPr>
        <w:spacing w:after="0" w:line="23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ACCESS INDUSTRIES HOLDINGS LLC</w:t>
      </w:r>
    </w:p>
    <w:p>
      <w:pPr>
        <w:spacing w:after="0" w:line="131"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By: Access Industries Management, LLC, its Manager</w:t>
      </w:r>
    </w:p>
    <w:p>
      <w:pPr>
        <w:spacing w:after="0" w:line="23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ACCESS INDUSTRIES MANAGEMENT, LLC</w:t>
      </w:r>
    </w:p>
    <w:p>
      <w:pPr>
        <w:spacing w:after="0" w:line="13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Len Blavatnik</w:t>
      </w:r>
    </w:p>
    <w:p>
      <w:pPr>
        <w:spacing w:after="0" w:line="238" w:lineRule="exact"/>
        <w:rPr>
          <w:sz w:val="20"/>
          <w:szCs w:val="20"/>
          <w:color w:val="auto"/>
        </w:rPr>
      </w:pPr>
    </w:p>
    <w:p>
      <w:pPr>
        <w:jc w:val="both"/>
        <w:ind w:left="424" w:right="400" w:hanging="424"/>
        <w:spacing w:after="0" w:line="342" w:lineRule="auto"/>
        <w:tabs>
          <w:tab w:leader="none" w:pos="4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undersigned, by signing his name hereto, executes this Joint Filing Agreement pursuant to the Power of Attorney executed on behalf of Mr. Blavatnik (filed as Exhibit 99.2 to his Schedule 13G related to the common stock of Pandion Therapeutics, Inc. filed on July 24, 2020).</w:t>
      </w:r>
    </w:p>
    <w:p>
      <w:pPr>
        <w:spacing w:after="0" w:line="151"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Attorney-in-Fact</w:t>
      </w:r>
    </w:p>
    <w:p>
      <w:pPr>
        <w:spacing w:after="0" w:line="143"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10</w:t>
      </w:r>
    </w:p>
    <w:sectPr>
      <w:pgSz w:w="11900" w:h="16838" w:orient="portrait"/>
      <w:cols w:equalWidth="0" w:num="1">
        <w:col w:w="10884"/>
      </w:cols>
      <w:pgMar w:left="436"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3"/>
    </w:lvl>
    <w:lvl w:ilvl="1">
      <w:lvlJc w:val="left"/>
      <w:lvlText w:val="%2."/>
      <w:numFmt w:val="decimal"/>
      <w:start w:val="5"/>
    </w:lvl>
  </w:abstractNum>
  <w:abstractNum w:abstractNumId="7">
    <w:nsid w:val="519B500D"/>
    <w:multiLevelType w:val="hybridMultilevel"/>
    <w:lvl w:ilvl="0">
      <w:lvlJc w:val="left"/>
      <w:lvlText w:val="%1"/>
      <w:numFmt w:val="decimal"/>
      <w:start w:val="1"/>
    </w:lvl>
    <w:lvl w:ilvl="1">
      <w:lvlJc w:val="left"/>
      <w:lvlText w:val="%2."/>
      <w:numFmt w:val="decimal"/>
      <w:start w:val="9"/>
    </w:lvl>
  </w:abstractNum>
  <w:abstractNum w:abstractNumId="8">
    <w:nsid w:val="431BD7B7"/>
    <w:multiLevelType w:val="hybridMultilevel"/>
    <w:lvl w:ilvl="0">
      <w:lvlJc w:val="left"/>
      <w:lvlText w:val="(%1)"/>
      <w:numFmt w:val="decimal"/>
      <w:start w:val="1"/>
    </w:lvl>
    <w:lvl w:ilvl="1">
      <w:lvlJc w:val="left"/>
      <w:lvlText w:val="%2"/>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3"/>
    </w:lvl>
    <w:lvl w:ilvl="1">
      <w:lvlJc w:val="left"/>
      <w:lvlText w:val="%2."/>
      <w:numFmt w:val="decimal"/>
      <w:start w:val="5"/>
    </w:lvl>
  </w:abstractNum>
  <w:abstractNum w:abstractNumId="11">
    <w:nsid w:val="257130A3"/>
    <w:multiLevelType w:val="hybridMultilevel"/>
    <w:lvl w:ilvl="0">
      <w:lvlJc w:val="left"/>
      <w:lvlText w:val="%1"/>
      <w:numFmt w:val="decimal"/>
      <w:start w:val="1"/>
    </w:lvl>
    <w:lvl w:ilvl="1">
      <w:lvlJc w:val="left"/>
      <w:lvlText w:val="%2."/>
      <w:numFmt w:val="decimal"/>
      <w:start w:val="9"/>
    </w:lvl>
  </w:abstractNum>
  <w:abstractNum w:abstractNumId="12">
    <w:nsid w:val="62BBD95A"/>
    <w:multiLevelType w:val="hybridMultilevel"/>
    <w:lvl w:ilvl="0">
      <w:lvlJc w:val="left"/>
      <w:lvlText w:val="(%1)"/>
      <w:numFmt w:val="decimal"/>
      <w:start w:val="1"/>
    </w:lvl>
    <w:lvl w:ilvl="1">
      <w:lvlJc w:val="left"/>
      <w:lvlText w:val="%2"/>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3"/>
    </w:lvl>
    <w:lvl w:ilvl="1">
      <w:lvlJc w:val="left"/>
      <w:lvlText w:val="%2."/>
      <w:numFmt w:val="decimal"/>
      <w:start w:val="5"/>
    </w:lvl>
  </w:abstractNum>
  <w:abstractNum w:abstractNumId="15">
    <w:nsid w:val="333AB105"/>
    <w:multiLevelType w:val="hybridMultilevel"/>
    <w:lvl w:ilvl="0">
      <w:lvlJc w:val="left"/>
      <w:lvlText w:val="%1"/>
      <w:numFmt w:val="decimal"/>
      <w:start w:val="1"/>
    </w:lvl>
    <w:lvl w:ilvl="1">
      <w:lvlJc w:val="left"/>
      <w:lvlText w:val="%2."/>
      <w:numFmt w:val="decimal"/>
      <w:start w:val="9"/>
    </w:lvl>
  </w:abstractNum>
  <w:abstractNum w:abstractNumId="16">
    <w:nsid w:val="721DA317"/>
    <w:multiLevelType w:val="hybridMultilevel"/>
    <w:lvl w:ilvl="0">
      <w:lvlJc w:val="left"/>
      <w:lvlText w:val="(%1)"/>
      <w:numFmt w:val="decimal"/>
      <w:start w:val="1"/>
    </w:lvl>
    <w:lvl w:ilvl="1">
      <w:lvlJc w:val="left"/>
      <w:lvlText w:val="%2"/>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3"/>
    </w:lvl>
    <w:lvl w:ilvl="1">
      <w:lvlJc w:val="left"/>
      <w:lvlText w:val="%2."/>
      <w:numFmt w:val="decimal"/>
      <w:start w:val="5"/>
    </w:lvl>
  </w:abstractNum>
  <w:abstractNum w:abstractNumId="19">
    <w:nsid w:val="6763845E"/>
    <w:multiLevelType w:val="hybridMultilevel"/>
    <w:lvl w:ilvl="0">
      <w:lvlJc w:val="left"/>
      <w:lvlText w:val="%1"/>
      <w:numFmt w:val="decimal"/>
      <w:start w:val="1"/>
    </w:lvl>
    <w:lvl w:ilvl="1">
      <w:lvlJc w:val="left"/>
      <w:lvlText w:val="%2."/>
      <w:numFmt w:val="decimal"/>
      <w:start w:val="9"/>
    </w:lvl>
  </w:abstractNum>
  <w:abstractNum w:abstractNumId="20">
    <w:nsid w:val="75A2A8D4"/>
    <w:multiLevelType w:val="hybridMultilevel"/>
    <w:lvl w:ilvl="0">
      <w:lvlJc w:val="left"/>
      <w:lvlText w:val="(%1)"/>
      <w:numFmt w:val="decimal"/>
      <w:start w:val="1"/>
    </w:lvl>
    <w:lvl w:ilvl="1">
      <w:lvlJc w:val="left"/>
      <w:lvlText w:val="%2"/>
      <w:numFmt w:val="decimal"/>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lowerLetter"/>
      <w:start w:val="7"/>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2022-08-10T16:56:41Z</dcterms:created>
  <dcterms:modified xsi:type="dcterms:W3CDTF">2022-08-10T16:56:41Z</dcterms:modified>
</cp:coreProperties>
</file>