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835025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20-F</w:t>
      </w:r>
    </w:p>
    <w:p>
      <w:pPr>
        <w:spacing w:after="0" w:line="4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5400" w:right="2720" w:hanging="5378"/>
        <w:spacing w:after="0" w:line="314" w:lineRule="auto"/>
        <w:tabs>
          <w:tab w:leader="none" w:pos="45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fiscal year ended December 31, 2017</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5" w:lineRule="exact"/>
        <w:rPr>
          <w:sz w:val="24"/>
          <w:szCs w:val="24"/>
          <w:color w:val="auto"/>
        </w:rPr>
      </w:pPr>
    </w:p>
    <w:p>
      <w:pPr>
        <w:ind w:left="4000"/>
        <w:spacing w:after="0"/>
        <w:tabs>
          <w:tab w:leader="none" w:pos="65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3686175</wp:posOffset>
            </wp:positionH>
            <wp:positionV relativeFrom="paragraph">
              <wp:posOffset>-3175</wp:posOffset>
            </wp:positionV>
            <wp:extent cx="1031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55" w:lineRule="exact"/>
        <w:rPr>
          <w:sz w:val="24"/>
          <w:szCs w:val="24"/>
          <w:color w:val="auto"/>
        </w:rPr>
      </w:pPr>
    </w:p>
    <w:p>
      <w:pPr>
        <w:jc w:val="right"/>
        <w:ind w:right="4560"/>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4339590</wp:posOffset>
            </wp:positionH>
            <wp:positionV relativeFrom="paragraph">
              <wp:posOffset>-3175</wp:posOffset>
            </wp:positionV>
            <wp:extent cx="466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725" cy="8890"/>
                    </a:xfrm>
                    <a:prstGeom prst="rect">
                      <a:avLst/>
                    </a:prstGeom>
                    <a:noFill/>
                  </pic:spPr>
                </pic:pic>
              </a:graphicData>
            </a:graphic>
          </wp:anchor>
        </w:drawing>
      </w:r>
    </w:p>
    <w:p>
      <w:pPr>
        <w:spacing w:after="0" w:line="33" w:lineRule="exact"/>
        <w:rPr>
          <w:sz w:val="24"/>
          <w:szCs w:val="24"/>
          <w:color w:val="auto"/>
        </w:rPr>
      </w:pPr>
    </w:p>
    <w:p>
      <w:pPr>
        <w:jc w:val="right"/>
        <w:ind w:right="4600"/>
        <w:spacing w:after="0"/>
        <w:rPr>
          <w:sz w:val="20"/>
          <w:szCs w:val="20"/>
          <w:color w:val="auto"/>
        </w:rPr>
      </w:pPr>
      <w:r>
        <w:rPr>
          <w:rFonts w:ascii="Arial" w:cs="Arial" w:eastAsia="Arial" w:hAnsi="Arial"/>
          <w:sz w:val="13"/>
          <w:szCs w:val="13"/>
          <w:b w:val="1"/>
          <w:bCs w:val="1"/>
          <w:color w:val="auto"/>
        </w:rPr>
        <w:t>Commission file number 001-38067</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VERONA PHARMA PLC</w:t>
      </w:r>
    </w:p>
    <w:p>
      <w:pPr>
        <w:spacing w:after="0" w:line="16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6"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(Translation of Registrant's Name into English)</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United Kingdom</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(Jurisdiction of incorporation or organization)</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3 More London Riverside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London SE1 2RE</w:t>
      </w:r>
    </w:p>
    <w:p>
      <w:pPr>
        <w:jc w:val="center"/>
        <w:ind w:right="-59"/>
        <w:spacing w:after="0"/>
        <w:rPr>
          <w:sz w:val="20"/>
          <w:szCs w:val="20"/>
          <w:color w:val="auto"/>
        </w:rPr>
      </w:pPr>
      <w:r>
        <w:rPr>
          <w:rFonts w:ascii="Arial" w:cs="Arial" w:eastAsia="Arial" w:hAnsi="Arial"/>
          <w:sz w:val="13"/>
          <w:szCs w:val="13"/>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Jan-Anders Karlsson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Chief Executive Officer</w:t>
      </w:r>
    </w:p>
    <w:p>
      <w:pPr>
        <w:jc w:val="center"/>
        <w:ind w:right="-59"/>
        <w:spacing w:after="0"/>
        <w:rPr>
          <w:sz w:val="20"/>
          <w:szCs w:val="20"/>
          <w:color w:val="auto"/>
        </w:rPr>
      </w:pPr>
      <w:r>
        <w:rPr>
          <w:rFonts w:ascii="Arial" w:cs="Arial" w:eastAsia="Arial" w:hAnsi="Arial"/>
          <w:sz w:val="13"/>
          <w:szCs w:val="13"/>
          <w:b w:val="1"/>
          <w:bCs w:val="1"/>
          <w:color w:val="auto"/>
        </w:rPr>
        <w:t>Verona Pharma plc</w:t>
      </w:r>
    </w:p>
    <w:p>
      <w:pPr>
        <w:jc w:val="center"/>
        <w:ind w:right="-59"/>
        <w:spacing w:after="0"/>
        <w:rPr>
          <w:sz w:val="20"/>
          <w:szCs w:val="20"/>
          <w:color w:val="auto"/>
        </w:rPr>
      </w:pPr>
      <w:r>
        <w:rPr>
          <w:rFonts w:ascii="Arial" w:cs="Arial" w:eastAsia="Arial" w:hAnsi="Arial"/>
          <w:sz w:val="13"/>
          <w:szCs w:val="13"/>
          <w:b w:val="1"/>
          <w:bCs w:val="1"/>
          <w:color w:val="auto"/>
        </w:rPr>
        <w:t>3 More London Riverside</w:t>
      </w:r>
    </w:p>
    <w:p>
      <w:pPr>
        <w:jc w:val="center"/>
        <w:ind w:right="-59"/>
        <w:spacing w:after="0"/>
        <w:rPr>
          <w:sz w:val="20"/>
          <w:szCs w:val="20"/>
          <w:color w:val="auto"/>
        </w:rPr>
      </w:pPr>
      <w:r>
        <w:rPr>
          <w:rFonts w:ascii="Arial" w:cs="Arial" w:eastAsia="Arial" w:hAnsi="Arial"/>
          <w:sz w:val="13"/>
          <w:szCs w:val="13"/>
          <w:b w:val="1"/>
          <w:bCs w:val="1"/>
          <w:color w:val="auto"/>
        </w:rPr>
        <w:t>London SE1 2RE</w:t>
      </w:r>
    </w:p>
    <w:p>
      <w:pPr>
        <w:jc w:val="center"/>
        <w:ind w:right="-59"/>
        <w:spacing w:after="0"/>
        <w:rPr>
          <w:sz w:val="20"/>
          <w:szCs w:val="20"/>
          <w:color w:val="auto"/>
        </w:rPr>
      </w:pPr>
      <w:r>
        <w:rPr>
          <w:rFonts w:ascii="Arial" w:cs="Arial" w:eastAsia="Arial" w:hAnsi="Arial"/>
          <w:sz w:val="13"/>
          <w:szCs w:val="13"/>
          <w:b w:val="1"/>
          <w:bCs w:val="1"/>
          <w:color w:val="auto"/>
        </w:rPr>
        <w:t>United Kingdom</w:t>
      </w:r>
    </w:p>
    <w:p>
      <w:pPr>
        <w:jc w:val="center"/>
        <w:ind w:right="-59"/>
        <w:spacing w:after="0"/>
        <w:rPr>
          <w:sz w:val="20"/>
          <w:szCs w:val="20"/>
          <w:color w:val="auto"/>
        </w:rPr>
      </w:pPr>
      <w:r>
        <w:rPr>
          <w:rFonts w:ascii="Arial" w:cs="Arial" w:eastAsia="Arial" w:hAnsi="Arial"/>
          <w:sz w:val="13"/>
          <w:szCs w:val="13"/>
          <w:b w:val="1"/>
          <w:bCs w:val="1"/>
          <w:color w:val="auto"/>
        </w:rPr>
        <w:t>Tel: +44 303 283 4200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(Name, Telephone, E-mail and/or Facsimile number and Address of Company Contact Person)</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p>
      <w:pPr>
        <w:spacing w:after="0" w:line="208" w:lineRule="exact"/>
        <w:rPr>
          <w:sz w:val="24"/>
          <w:szCs w:val="24"/>
          <w:color w:val="auto"/>
        </w:rPr>
      </w:pPr>
    </w:p>
    <w:tbl>
      <w:tblPr>
        <w:tblLayout w:type="fixed"/>
        <w:tblInd w:w="1760" w:type="dxa"/>
        <w:tblCellMar>
          <w:top w:w="0" w:type="dxa"/>
          <w:left w:w="0" w:type="dxa"/>
          <w:bottom w:w="0" w:type="dxa"/>
          <w:right w:w="0" w:type="dxa"/>
        </w:tblCellMar>
      </w:tblPr>
      <w:tr>
        <w:trPr>
          <w:trHeight w:val="155"/>
        </w:trPr>
        <w:tc>
          <w:tcPr>
            <w:tcW w:w="3940" w:type="dxa"/>
            <w:vAlign w:val="bottom"/>
          </w:tcPr>
          <w:p>
            <w:pPr>
              <w:jc w:val="center"/>
              <w:ind w:right="1679"/>
              <w:spacing w:after="0"/>
              <w:rPr>
                <w:sz w:val="20"/>
                <w:szCs w:val="20"/>
                <w:color w:val="auto"/>
              </w:rPr>
            </w:pPr>
            <w:r>
              <w:rPr>
                <w:rFonts w:ascii="Arial" w:cs="Arial" w:eastAsia="Arial" w:hAnsi="Arial"/>
                <w:sz w:val="11"/>
                <w:szCs w:val="11"/>
                <w:b w:val="1"/>
                <w:bCs w:val="1"/>
                <w:color w:val="auto"/>
                <w:w w:val="97"/>
              </w:rPr>
              <w:t>Title of each class</w:t>
            </w:r>
          </w:p>
        </w:tc>
        <w:tc>
          <w:tcPr>
            <w:tcW w:w="4020" w:type="dxa"/>
            <w:vAlign w:val="bottom"/>
          </w:tcPr>
          <w:p>
            <w:pPr>
              <w:jc w:val="center"/>
              <w:ind w:left="1661"/>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284"/>
        </w:trPr>
        <w:tc>
          <w:tcPr>
            <w:tcW w:w="3940" w:type="dxa"/>
            <w:vAlign w:val="bottom"/>
          </w:tcPr>
          <w:p>
            <w:pPr>
              <w:jc w:val="center"/>
              <w:ind w:right="1679"/>
              <w:spacing w:after="0"/>
              <w:rPr>
                <w:sz w:val="20"/>
                <w:szCs w:val="20"/>
                <w:color w:val="auto"/>
              </w:rPr>
            </w:pPr>
            <w:r>
              <w:rPr>
                <w:rFonts w:ascii="Arial" w:cs="Arial" w:eastAsia="Arial" w:hAnsi="Arial"/>
                <w:sz w:val="13"/>
                <w:szCs w:val="13"/>
                <w:b w:val="1"/>
                <w:bCs w:val="1"/>
                <w:color w:val="auto"/>
                <w:w w:val="97"/>
              </w:rPr>
              <w:t>American Depositary Shares,</w:t>
            </w:r>
          </w:p>
        </w:tc>
        <w:tc>
          <w:tcPr>
            <w:tcW w:w="4020" w:type="dxa"/>
            <w:vAlign w:val="bottom"/>
          </w:tcPr>
          <w:p>
            <w:pPr>
              <w:spacing w:after="0"/>
              <w:rPr>
                <w:sz w:val="24"/>
                <w:szCs w:val="24"/>
                <w:color w:val="auto"/>
              </w:rPr>
            </w:pPr>
          </w:p>
        </w:tc>
      </w:tr>
      <w:tr>
        <w:trPr>
          <w:trHeight w:val="135"/>
        </w:trPr>
        <w:tc>
          <w:tcPr>
            <w:tcW w:w="3940" w:type="dxa"/>
            <w:vAlign w:val="bottom"/>
          </w:tcPr>
          <w:p>
            <w:pPr>
              <w:jc w:val="center"/>
              <w:ind w:right="1679"/>
              <w:spacing w:after="0" w:line="135" w:lineRule="exact"/>
              <w:rPr>
                <w:sz w:val="20"/>
                <w:szCs w:val="20"/>
                <w:color w:val="auto"/>
              </w:rPr>
            </w:pPr>
            <w:r>
              <w:rPr>
                <w:rFonts w:ascii="Arial" w:cs="Arial" w:eastAsia="Arial" w:hAnsi="Arial"/>
                <w:sz w:val="13"/>
                <w:szCs w:val="13"/>
                <w:b w:val="1"/>
                <w:bCs w:val="1"/>
                <w:color w:val="auto"/>
                <w:w w:val="96"/>
              </w:rPr>
              <w:t>each representing 8 ordinary shares,</w:t>
            </w:r>
          </w:p>
        </w:tc>
        <w:tc>
          <w:tcPr>
            <w:tcW w:w="4020" w:type="dxa"/>
            <w:vAlign w:val="bottom"/>
          </w:tcPr>
          <w:p>
            <w:pPr>
              <w:spacing w:after="0"/>
              <w:rPr>
                <w:sz w:val="11"/>
                <w:szCs w:val="11"/>
                <w:color w:val="auto"/>
              </w:rPr>
            </w:pPr>
          </w:p>
        </w:tc>
      </w:tr>
      <w:tr>
        <w:trPr>
          <w:trHeight w:val="168"/>
        </w:trPr>
        <w:tc>
          <w:tcPr>
            <w:tcW w:w="3940" w:type="dxa"/>
            <w:vAlign w:val="bottom"/>
          </w:tcPr>
          <w:p>
            <w:pPr>
              <w:jc w:val="center"/>
              <w:ind w:right="1679"/>
              <w:spacing w:after="0"/>
              <w:rPr>
                <w:sz w:val="20"/>
                <w:szCs w:val="20"/>
                <w:color w:val="auto"/>
              </w:rPr>
            </w:pPr>
            <w:r>
              <w:rPr>
                <w:rFonts w:ascii="Arial" w:cs="Arial" w:eastAsia="Arial" w:hAnsi="Arial"/>
                <w:sz w:val="13"/>
                <w:szCs w:val="13"/>
                <w:b w:val="1"/>
                <w:bCs w:val="1"/>
                <w:color w:val="auto"/>
                <w:w w:val="97"/>
              </w:rPr>
              <w:t>nominal value £0.05 per share</w:t>
            </w:r>
          </w:p>
        </w:tc>
        <w:tc>
          <w:tcPr>
            <w:tcW w:w="4020" w:type="dxa"/>
            <w:vAlign w:val="bottom"/>
          </w:tcPr>
          <w:p>
            <w:pPr>
              <w:jc w:val="center"/>
              <w:ind w:left="1661"/>
              <w:spacing w:after="0"/>
              <w:rPr>
                <w:sz w:val="20"/>
                <w:szCs w:val="20"/>
                <w:color w:val="auto"/>
              </w:rPr>
            </w:pPr>
            <w:r>
              <w:rPr>
                <w:rFonts w:ascii="Arial" w:cs="Arial" w:eastAsia="Arial" w:hAnsi="Arial"/>
                <w:sz w:val="13"/>
                <w:szCs w:val="13"/>
                <w:b w:val="1"/>
                <w:bCs w:val="1"/>
                <w:color w:val="auto"/>
                <w:w w:val="97"/>
              </w:rPr>
              <w:t>The Nasdaq Stock Market LLC</w:t>
            </w:r>
          </w:p>
        </w:tc>
      </w:tr>
    </w:tbl>
    <w:p>
      <w:pPr>
        <w:spacing w:after="0" w:line="48" w:lineRule="exact"/>
        <w:rPr>
          <w:sz w:val="24"/>
          <w:szCs w:val="24"/>
          <w:color w:val="auto"/>
        </w:rPr>
      </w:pPr>
    </w:p>
    <w:p>
      <w:pPr>
        <w:ind w:left="3240"/>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 None</w:t>
      </w:r>
    </w:p>
    <w:p>
      <w:pPr>
        <w:spacing w:after="0" w:line="53"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 None</w:t>
      </w:r>
    </w:p>
    <w:p>
      <w:pPr>
        <w:spacing w:after="0" w:line="6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37" w:lineRule="exact"/>
        <w:rPr>
          <w:sz w:val="24"/>
          <w:szCs w:val="24"/>
          <w:color w:val="auto"/>
        </w:rPr>
      </w:pPr>
    </w:p>
    <w:p>
      <w:pPr>
        <w:ind w:left="3160"/>
        <w:spacing w:after="0"/>
        <w:rPr>
          <w:sz w:val="20"/>
          <w:szCs w:val="20"/>
          <w:color w:val="auto"/>
        </w:rPr>
      </w:pPr>
      <w:r>
        <w:rPr>
          <w:rFonts w:ascii="Arial" w:cs="Arial" w:eastAsia="Arial" w:hAnsi="Arial"/>
          <w:sz w:val="13"/>
          <w:szCs w:val="13"/>
          <w:b w:val="1"/>
          <w:bCs w:val="1"/>
          <w:color w:val="auto"/>
        </w:rPr>
        <w:t>Ordinary shares, nominal value £0.05 per share: 105,017,400 as of December 31, 2017</w:t>
      </w:r>
    </w:p>
    <w:p>
      <w:pPr>
        <w:spacing w:after="0" w:line="144" w:lineRule="exact"/>
        <w:rPr>
          <w:sz w:val="24"/>
          <w:szCs w:val="24"/>
          <w:color w:val="auto"/>
        </w:rPr>
      </w:pPr>
    </w:p>
    <w:p>
      <w:pPr>
        <w:spacing w:after="0" w:line="150" w:lineRule="exact"/>
        <w:tabs>
          <w:tab w:leader="none" w:pos="664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49" w:lineRule="exact"/>
        <w:rPr>
          <w:sz w:val="24"/>
          <w:szCs w:val="24"/>
          <w:color w:val="auto"/>
        </w:rPr>
      </w:pPr>
    </w:p>
    <w:p>
      <w:pPr>
        <w:spacing w:after="0" w:line="150" w:lineRule="exact"/>
        <w:tabs>
          <w:tab w:leader="none" w:pos="10400" w:val="left"/>
        </w:tabs>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36" w:lineRule="exact"/>
        <w:rPr>
          <w:sz w:val="24"/>
          <w:szCs w:val="24"/>
          <w:color w:val="auto"/>
        </w:rPr>
      </w:pPr>
    </w:p>
    <w:p>
      <w:pPr>
        <w:ind w:right="6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0"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ectPr>
          <w:pgSz w:w="11900" w:h="16838" w:orient="portrait"/>
          <w:cols w:equalWidth="0" w:num="1">
            <w:col w:w="11360"/>
          </w:cols>
          <w:pgMar w:left="240" w:top="1440" w:right="299" w:bottom="1440" w:gutter="0" w:footer="0" w:header="0"/>
        </w:sectPr>
      </w:pPr>
    </w:p>
    <w:bookmarkStart w:id="1" w:name="page2"/>
    <w:bookmarkEnd w:id="1"/>
    <w:p>
      <w:pPr>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ind w:left="2280"/>
        <w:spacing w:after="0" w:line="150" w:lineRule="exact"/>
        <w:tabs>
          <w:tab w:leader="none" w:pos="4120" w:val="left"/>
          <w:tab w:leader="none" w:pos="5660" w:val="left"/>
          <w:tab w:leader="none" w:pos="7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50" w:lineRule="exact"/>
        <w:rPr>
          <w:sz w:val="20"/>
          <w:szCs w:val="20"/>
          <w:color w:val="auto"/>
        </w:rPr>
      </w:pPr>
    </w:p>
    <w:p>
      <w:pPr>
        <w:ind w:right="420"/>
        <w:spacing w:after="0" w:line="15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0" w:lineRule="exact"/>
        <w:rPr>
          <w:sz w:val="20"/>
          <w:szCs w:val="20"/>
          <w:color w:val="auto"/>
        </w:rPr>
      </w:pPr>
    </w:p>
    <w:p>
      <w:pPr>
        <w:ind w:right="720" w:firstLine="8"/>
        <w:spacing w:after="0" w:line="285" w:lineRule="auto"/>
        <w:tabs>
          <w:tab w:leader="none" w:pos="105"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6520" w:type="dxa"/>
            <w:vAlign w:val="bottom"/>
          </w:tcPr>
          <w:p>
            <w:pPr>
              <w:jc w:val="center"/>
              <w:ind w:right="537"/>
              <w:spacing w:after="0"/>
              <w:rPr>
                <w:sz w:val="20"/>
                <w:szCs w:val="20"/>
                <w:color w:val="auto"/>
              </w:rPr>
            </w:pPr>
            <w:r>
              <w:rPr>
                <w:rFonts w:ascii="Arial" w:cs="Arial" w:eastAsia="Arial" w:hAnsi="Arial"/>
                <w:sz w:val="13"/>
                <w:szCs w:val="13"/>
                <w:color w:val="auto"/>
                <w:w w:val="97"/>
              </w:rPr>
              <w:t>International Financial Reporting Standards as issued</w:t>
            </w:r>
          </w:p>
        </w:tc>
        <w:tc>
          <w:tcPr>
            <w:tcW w:w="1260" w:type="dxa"/>
            <w:vAlign w:val="bottom"/>
          </w:tcPr>
          <w:p>
            <w:pPr>
              <w:spacing w:after="0"/>
              <w:rPr>
                <w:sz w:val="13"/>
                <w:szCs w:val="13"/>
                <w:color w:val="auto"/>
              </w:rPr>
            </w:pPr>
          </w:p>
        </w:tc>
      </w:tr>
      <w:tr>
        <w:trPr>
          <w:trHeight w:val="212"/>
        </w:trPr>
        <w:tc>
          <w:tcPr>
            <w:tcW w:w="2960" w:type="dxa"/>
            <w:vAlign w:val="bottom"/>
          </w:tcPr>
          <w:p>
            <w:pPr>
              <w:ind w:left="700"/>
              <w:spacing w:after="0" w:line="150" w:lineRule="exact"/>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p>
        </w:tc>
        <w:tc>
          <w:tcPr>
            <w:tcW w:w="6520" w:type="dxa"/>
            <w:vAlign w:val="bottom"/>
          </w:tcPr>
          <w:p>
            <w:pPr>
              <w:jc w:val="center"/>
              <w:ind w:right="537"/>
              <w:spacing w:after="0" w:line="150" w:lineRule="exact"/>
              <w:rPr>
                <w:sz w:val="20"/>
                <w:szCs w:val="20"/>
                <w:color w:val="auto"/>
              </w:rPr>
            </w:pPr>
            <w:r>
              <w:rPr>
                <w:rFonts w:ascii="Arial" w:cs="Arial" w:eastAsia="Arial" w:hAnsi="Arial"/>
                <w:sz w:val="13"/>
                <w:szCs w:val="13"/>
                <w:color w:val="auto"/>
                <w:w w:val="97"/>
              </w:rPr>
              <w:t xml:space="preserve">by the International Accounting Standards Board </w:t>
            </w:r>
            <w:r>
              <w:rPr>
                <w:rFonts w:ascii="MS PGothic" w:cs="MS PGothic" w:eastAsia="MS PGothic" w:hAnsi="MS PGothic"/>
                <w:sz w:val="13"/>
                <w:szCs w:val="13"/>
                <w:color w:val="auto"/>
                <w:w w:val="97"/>
              </w:rPr>
              <w:t>☒</w:t>
            </w:r>
          </w:p>
        </w:tc>
        <w:tc>
          <w:tcPr>
            <w:tcW w:w="1260" w:type="dxa"/>
            <w:vAlign w:val="bottom"/>
          </w:tcPr>
          <w:p>
            <w:pPr>
              <w:ind w:left="760"/>
              <w:spacing w:after="0" w:line="150" w:lineRule="exact"/>
              <w:rPr>
                <w:sz w:val="20"/>
                <w:szCs w:val="20"/>
                <w:color w:val="auto"/>
              </w:rPr>
            </w:pPr>
            <w:r>
              <w:rPr>
                <w:rFonts w:ascii="Arial" w:cs="Arial" w:eastAsia="Arial" w:hAnsi="Arial"/>
                <w:sz w:val="13"/>
                <w:szCs w:val="13"/>
                <w:color w:val="auto"/>
                <w:w w:val="97"/>
              </w:rPr>
              <w:t xml:space="preserve">Other </w:t>
            </w:r>
            <w:r>
              <w:rPr>
                <w:rFonts w:ascii="MS PGothic" w:cs="MS PGothic" w:eastAsia="MS PGothic" w:hAnsi="MS PGothic"/>
                <w:sz w:val="13"/>
                <w:szCs w:val="13"/>
                <w:color w:val="auto"/>
                <w:w w:val="97"/>
              </w:rPr>
              <w:t>☐</w:t>
            </w:r>
          </w:p>
        </w:tc>
      </w:tr>
      <w:tr>
        <w:trPr>
          <w:trHeight w:val="216"/>
        </w:trPr>
        <w:tc>
          <w:tcPr>
            <w:tcW w:w="948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If “Other” has been checked in response to the previous question, indicate by check mark which financial statement item the registrant has elected to follow.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Item 17</w:t>
            </w:r>
          </w:p>
        </w:tc>
        <w:tc>
          <w:tcPr>
            <w:tcW w:w="1260" w:type="dxa"/>
            <w:vAlign w:val="bottom"/>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Item 18</w:t>
            </w:r>
          </w:p>
        </w:tc>
      </w:tr>
      <w:tr>
        <w:trPr>
          <w:trHeight w:val="203"/>
        </w:trPr>
        <w:tc>
          <w:tcPr>
            <w:tcW w:w="948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1260" w:type="dxa"/>
            <w:vAlign w:val="bottom"/>
          </w:tcPr>
          <w:p>
            <w:pPr>
              <w:spacing w:after="0"/>
              <w:rPr>
                <w:sz w:val="17"/>
                <w:szCs w:val="17"/>
                <w:color w:val="auto"/>
              </w:rPr>
            </w:pPr>
          </w:p>
        </w:tc>
      </w:tr>
    </w:tbl>
    <w:p>
      <w:pPr>
        <w:sectPr>
          <w:pgSz w:w="11900" w:h="16838" w:orient="portrait"/>
          <w:cols w:equalWidth="0" w:num="1">
            <w:col w:w="11380"/>
          </w:cols>
          <w:pgMar w:left="240" w:top="404" w:right="2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97"/>
        </w:trPr>
        <w:tc>
          <w:tcPr>
            <w:tcW w:w="560" w:type="dxa"/>
            <w:vAlign w:val="bottom"/>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8340" w:type="dxa"/>
            <w:vAlign w:val="bottom"/>
            <w:gridSpan w:val="22"/>
          </w:tcPr>
          <w:p>
            <w:pPr>
              <w:spacing w:after="0"/>
              <w:rPr>
                <w:sz w:val="24"/>
                <w:szCs w:val="24"/>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Identity of Directors, Senior Management and Advisors</w:t>
              </w:r>
            </w:hyperlink>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3700" w:type="dxa"/>
            <w:vAlign w:val="bottom"/>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Item 2 Offer Statistics and Expected Timetable</w:t>
              </w:r>
            </w:hyperlink>
          </w:p>
        </w:tc>
        <w:tc>
          <w:tcPr>
            <w:tcW w:w="1180" w:type="dxa"/>
            <w:vAlign w:val="bottom"/>
            <w:gridSpan w:val="5"/>
          </w:tcPr>
          <w:p>
            <w:pPr>
              <w:spacing w:after="0"/>
              <w:rPr>
                <w:sz w:val="20"/>
                <w:szCs w:val="20"/>
                <w:color w:val="auto"/>
              </w:rPr>
            </w:pPr>
          </w:p>
        </w:tc>
        <w:tc>
          <w:tcPr>
            <w:tcW w:w="4020" w:type="dxa"/>
            <w:vAlign w:val="bottom"/>
            <w:gridSpan w:val="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37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3 Key Information</w:t>
              </w:r>
            </w:hyperlink>
          </w:p>
        </w:tc>
        <w:tc>
          <w:tcPr>
            <w:tcW w:w="5200" w:type="dxa"/>
            <w:vAlign w:val="bottom"/>
            <w:gridSpan w:val="10"/>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780" w:type="dxa"/>
            <w:vAlign w:val="bottom"/>
            <w:gridSpan w:val="10"/>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Item 4 Information on the company</w:t>
              </w:r>
            </w:hyperlink>
          </w:p>
        </w:tc>
        <w:tc>
          <w:tcPr>
            <w:tcW w:w="6120" w:type="dxa"/>
            <w:vAlign w:val="bottom"/>
            <w:gridSpan w:val="13"/>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020" w:type="dxa"/>
            <w:vAlign w:val="bottom"/>
            <w:gridSpan w:val="11"/>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Item 4.A. Unresolved Staff Comments</w:t>
              </w:r>
            </w:hyperlink>
          </w:p>
        </w:tc>
        <w:tc>
          <w:tcPr>
            <w:tcW w:w="5880" w:type="dxa"/>
            <w:vAlign w:val="bottom"/>
            <w:gridSpan w:val="1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Item 5 Operating and Financial Review and Prospects</w:t>
              </w:r>
            </w:hyperlink>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Item 6 Directors, Senior Management and Employees</w:t>
              </w:r>
            </w:hyperlink>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7 Major Shareholders and Related Party Transactions</w:t>
              </w:r>
            </w:hyperlink>
          </w:p>
        </w:tc>
        <w:tc>
          <w:tcPr>
            <w:tcW w:w="246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220" w:type="dxa"/>
            <w:vAlign w:val="bottom"/>
            <w:gridSpan w:val="7"/>
          </w:tcPr>
          <w:p>
            <w:pPr>
              <w:spacing w:after="0"/>
              <w:rPr>
                <w:rFonts w:ascii="Arial" w:cs="Arial" w:eastAsia="Arial" w:hAnsi="Arial"/>
                <w:sz w:val="18"/>
                <w:szCs w:val="18"/>
                <w:color w:val="0000EE"/>
                <w:w w:val="99"/>
              </w:rPr>
            </w:pPr>
            <w:hyperlink w:anchor="page118">
              <w:r>
                <w:rPr>
                  <w:rFonts w:ascii="Arial" w:cs="Arial" w:eastAsia="Arial" w:hAnsi="Arial"/>
                  <w:sz w:val="18"/>
                  <w:szCs w:val="18"/>
                  <w:color w:val="0000EE"/>
                  <w:w w:val="99"/>
                </w:rPr>
                <w:t>Item 8 Financial Information</w:t>
              </w:r>
            </w:hyperlink>
          </w:p>
        </w:tc>
        <w:tc>
          <w:tcPr>
            <w:tcW w:w="2460" w:type="dxa"/>
            <w:vAlign w:val="bottom"/>
            <w:gridSpan w:val="10"/>
          </w:tcPr>
          <w:p>
            <w:pPr>
              <w:spacing w:after="0"/>
              <w:rPr>
                <w:sz w:val="20"/>
                <w:szCs w:val="20"/>
                <w:color w:val="auto"/>
              </w:rPr>
            </w:pPr>
          </w:p>
        </w:tc>
        <w:tc>
          <w:tcPr>
            <w:tcW w:w="4220" w:type="dxa"/>
            <w:vAlign w:val="bottom"/>
            <w:gridSpan w:val="6"/>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9 The Offer and Listing</w:t>
              </w:r>
            </w:hyperlink>
          </w:p>
        </w:tc>
        <w:tc>
          <w:tcPr>
            <w:tcW w:w="246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10 Additional Information</w:t>
              </w:r>
            </w:hyperlink>
          </w:p>
        </w:tc>
        <w:tc>
          <w:tcPr>
            <w:tcW w:w="2460" w:type="dxa"/>
            <w:vAlign w:val="bottom"/>
            <w:gridSpan w:val="4"/>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5360" w:type="dxa"/>
            <w:vAlign w:val="bottom"/>
            <w:gridSpan w:val="19"/>
          </w:tcPr>
          <w:p>
            <w:pPr>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Item 11 Quantitative and Qualitative Disclosures About Market Risk</w:t>
              </w:r>
            </w:hyperlink>
          </w:p>
        </w:tc>
        <w:tc>
          <w:tcPr>
            <w:tcW w:w="3540" w:type="dxa"/>
            <w:vAlign w:val="bottom"/>
            <w:gridSpan w:val="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4880" w:type="dxa"/>
            <w:vAlign w:val="bottom"/>
            <w:gridSpan w:val="18"/>
          </w:tcPr>
          <w:p>
            <w:pPr>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Item 12 Description of Securities Other than Equity Securities</w:t>
              </w:r>
            </w:hyperlink>
          </w:p>
        </w:tc>
        <w:tc>
          <w:tcPr>
            <w:tcW w:w="480" w:type="dxa"/>
            <w:vAlign w:val="bottom"/>
          </w:tcPr>
          <w:p>
            <w:pPr>
              <w:spacing w:after="0"/>
              <w:rPr>
                <w:sz w:val="20"/>
                <w:szCs w:val="20"/>
                <w:color w:val="auto"/>
              </w:rPr>
            </w:pPr>
          </w:p>
        </w:tc>
        <w:tc>
          <w:tcPr>
            <w:tcW w:w="3540" w:type="dxa"/>
            <w:vAlign w:val="bottom"/>
            <w:gridSpan w:val="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880" w:type="dxa"/>
            <w:vAlign w:val="bottom"/>
            <w:gridSpan w:val="18"/>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PART II</w:t>
              </w:r>
            </w:hyperlink>
          </w:p>
        </w:tc>
        <w:tc>
          <w:tcPr>
            <w:tcW w:w="4020" w:type="dxa"/>
            <w:vAlign w:val="bottom"/>
            <w:gridSpan w:val="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4580" w:type="dxa"/>
            <w:vAlign w:val="bottom"/>
            <w:gridSpan w:val="16"/>
          </w:tcPr>
          <w:p>
            <w:pPr>
              <w:spacing w:after="0"/>
              <w:rPr>
                <w:rFonts w:ascii="Arial" w:cs="Arial" w:eastAsia="Arial" w:hAnsi="Arial"/>
                <w:sz w:val="18"/>
                <w:szCs w:val="18"/>
                <w:color w:val="0000EE"/>
                <w:w w:val="99"/>
              </w:rPr>
            </w:pPr>
            <w:hyperlink w:anchor="page130">
              <w:r>
                <w:rPr>
                  <w:rFonts w:ascii="Arial" w:cs="Arial" w:eastAsia="Arial" w:hAnsi="Arial"/>
                  <w:sz w:val="18"/>
                  <w:szCs w:val="18"/>
                  <w:color w:val="0000EE"/>
                  <w:w w:val="99"/>
                </w:rPr>
                <w:t>Item 13 Defaults, Dividend Arrearages and Delinquencies</w:t>
              </w:r>
            </w:hyperlink>
          </w:p>
        </w:tc>
        <w:tc>
          <w:tcPr>
            <w:tcW w:w="4320" w:type="dxa"/>
            <w:vAlign w:val="bottom"/>
            <w:gridSpan w:val="7"/>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14 Material Modifications to the Rights of Security Holders and Use of Proceeds</w:t>
              </w:r>
            </w:hyperlink>
          </w:p>
        </w:tc>
        <w:tc>
          <w:tcPr>
            <w:tcW w:w="24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Item 15 Controls and Procedures</w:t>
              </w:r>
            </w:hyperlink>
          </w:p>
        </w:tc>
        <w:tc>
          <w:tcPr>
            <w:tcW w:w="4120" w:type="dxa"/>
            <w:vAlign w:val="bottom"/>
            <w:gridSpan w:val="13"/>
          </w:tcPr>
          <w:p>
            <w:pPr>
              <w:spacing w:after="0"/>
              <w:rPr>
                <w:sz w:val="20"/>
                <w:szCs w:val="20"/>
                <w:color w:val="auto"/>
              </w:rPr>
            </w:pPr>
          </w:p>
        </w:tc>
        <w:tc>
          <w:tcPr>
            <w:tcW w:w="2160" w:type="dxa"/>
            <w:vAlign w:val="bottom"/>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Item 16A Audit committees financial expert</w:t>
              </w:r>
            </w:hyperlink>
          </w:p>
        </w:tc>
        <w:tc>
          <w:tcPr>
            <w:tcW w:w="2460" w:type="dxa"/>
            <w:vAlign w:val="bottom"/>
            <w:gridSpan w:val="4"/>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129</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1940" w:type="dxa"/>
            <w:vAlign w:val="bottom"/>
            <w:gridSpan w:val="6"/>
          </w:tcPr>
          <w:p>
            <w:pPr>
              <w:spacing w:after="0"/>
              <w:rPr>
                <w:rFonts w:ascii="Arial" w:cs="Arial" w:eastAsia="Arial" w:hAnsi="Arial"/>
                <w:sz w:val="18"/>
                <w:szCs w:val="18"/>
                <w:color w:val="0000EE"/>
                <w:w w:val="98"/>
              </w:rPr>
            </w:pPr>
            <w:hyperlink w:anchor="page131">
              <w:r>
                <w:rPr>
                  <w:rFonts w:ascii="Arial" w:cs="Arial" w:eastAsia="Arial" w:hAnsi="Arial"/>
                  <w:sz w:val="18"/>
                  <w:szCs w:val="18"/>
                  <w:color w:val="0000EE"/>
                  <w:w w:val="98"/>
                </w:rPr>
                <w:t>Item 16B Code of Ethics</w:t>
              </w:r>
            </w:hyperlink>
          </w:p>
        </w:tc>
        <w:tc>
          <w:tcPr>
            <w:tcW w:w="1460" w:type="dxa"/>
            <w:vAlign w:val="bottom"/>
            <w:gridSpan w:val="6"/>
          </w:tcPr>
          <w:p>
            <w:pPr>
              <w:spacing w:after="0"/>
              <w:rPr>
                <w:sz w:val="20"/>
                <w:szCs w:val="20"/>
                <w:color w:val="auto"/>
              </w:rPr>
            </w:pPr>
          </w:p>
        </w:tc>
        <w:tc>
          <w:tcPr>
            <w:tcW w:w="5500" w:type="dxa"/>
            <w:vAlign w:val="bottom"/>
            <w:gridSpan w:val="11"/>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129</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3960" w:type="dxa"/>
            <w:vAlign w:val="bottom"/>
            <w:gridSpan w:val="14"/>
          </w:tcPr>
          <w:p>
            <w:pPr>
              <w:spacing w:after="0"/>
              <w:rPr>
                <w:rFonts w:ascii="Arial" w:cs="Arial" w:eastAsia="Arial" w:hAnsi="Arial"/>
                <w:sz w:val="18"/>
                <w:szCs w:val="18"/>
                <w:color w:val="0000EE"/>
                <w:w w:val="99"/>
              </w:rPr>
            </w:pPr>
            <w:hyperlink w:anchor="page132">
              <w:r>
                <w:rPr>
                  <w:rFonts w:ascii="Arial" w:cs="Arial" w:eastAsia="Arial" w:hAnsi="Arial"/>
                  <w:sz w:val="18"/>
                  <w:szCs w:val="18"/>
                  <w:color w:val="0000EE"/>
                  <w:w w:val="99"/>
                </w:rPr>
                <w:t>Item 16C Principal Accountant Fees and Services</w:t>
              </w:r>
            </w:hyperlink>
          </w:p>
        </w:tc>
        <w:tc>
          <w:tcPr>
            <w:tcW w:w="4940" w:type="dxa"/>
            <w:vAlign w:val="bottom"/>
            <w:gridSpan w:val="9"/>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130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0" w:type="dxa"/>
            <w:vAlign w:val="bottom"/>
            <w:gridSpan w:val="20"/>
          </w:tcPr>
          <w:p>
            <w:pPr>
              <w:spacing w:after="0"/>
              <w:rPr>
                <w:rFonts w:ascii="Arial" w:cs="Arial" w:eastAsia="Arial" w:hAnsi="Arial"/>
                <w:sz w:val="18"/>
                <w:szCs w:val="18"/>
                <w:color w:val="0000EE"/>
                <w:w w:val="99"/>
              </w:rPr>
            </w:pPr>
            <w:hyperlink w:anchor="page133">
              <w:r>
                <w:rPr>
                  <w:rFonts w:ascii="Arial" w:cs="Arial" w:eastAsia="Arial" w:hAnsi="Arial"/>
                  <w:sz w:val="18"/>
                  <w:szCs w:val="18"/>
                  <w:color w:val="0000EE"/>
                  <w:w w:val="99"/>
                </w:rPr>
                <w:t>Item 16D Exemptions from the Listing Standards for Audit Committees</w:t>
              </w:r>
            </w:hyperlink>
          </w:p>
        </w:tc>
        <w:tc>
          <w:tcPr>
            <w:tcW w:w="3300" w:type="dxa"/>
            <w:vAlign w:val="bottom"/>
            <w:gridSpan w:val="3"/>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6340" w:type="dxa"/>
            <w:vAlign w:val="bottom"/>
            <w:gridSpan w:val="21"/>
          </w:tcPr>
          <w:p>
            <w:pPr>
              <w:spacing w:after="0"/>
              <w:rPr>
                <w:rFonts w:ascii="Arial" w:cs="Arial" w:eastAsia="Arial" w:hAnsi="Arial"/>
                <w:sz w:val="18"/>
                <w:szCs w:val="18"/>
                <w:color w:val="0000EE"/>
                <w:w w:val="99"/>
              </w:rPr>
            </w:pPr>
            <w:hyperlink w:anchor="page133">
              <w:r>
                <w:rPr>
                  <w:rFonts w:ascii="Arial" w:cs="Arial" w:eastAsia="Arial" w:hAnsi="Arial"/>
                  <w:sz w:val="18"/>
                  <w:szCs w:val="18"/>
                  <w:color w:val="0000EE"/>
                  <w:w w:val="99"/>
                </w:rPr>
                <w:t>Item 16E Purchases of Equity Securities by the Issuer and Affiliated Purchasers</w:t>
              </w:r>
            </w:hyperlink>
          </w:p>
        </w:tc>
        <w:tc>
          <w:tcPr>
            <w:tcW w:w="2560" w:type="dxa"/>
            <w:vAlign w:val="bottom"/>
            <w:gridSpan w:val="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Item 16F Change in Registrant’s Certifying Accountant</w:t>
              </w:r>
            </w:hyperlink>
          </w:p>
        </w:tc>
        <w:tc>
          <w:tcPr>
            <w:tcW w:w="2060" w:type="dxa"/>
            <w:vAlign w:val="bottom"/>
            <w:gridSpan w:val="6"/>
          </w:tcPr>
          <w:p>
            <w:pPr>
              <w:spacing w:after="0"/>
              <w:rPr>
                <w:sz w:val="20"/>
                <w:szCs w:val="20"/>
                <w:color w:val="auto"/>
              </w:rPr>
            </w:pPr>
          </w:p>
        </w:tc>
        <w:tc>
          <w:tcPr>
            <w:tcW w:w="2560" w:type="dxa"/>
            <w:vAlign w:val="bottom"/>
            <w:gridSpan w:val="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8"/>
              </w:rPr>
            </w:pPr>
            <w:hyperlink w:anchor="page133">
              <w:r>
                <w:rPr>
                  <w:rFonts w:ascii="Arial" w:cs="Arial" w:eastAsia="Arial" w:hAnsi="Arial"/>
                  <w:sz w:val="18"/>
                  <w:szCs w:val="18"/>
                  <w:color w:val="0000EE"/>
                  <w:w w:val="98"/>
                </w:rPr>
                <w:t>Item 16G Corporate Governance</w:t>
              </w:r>
            </w:hyperlink>
          </w:p>
        </w:tc>
        <w:tc>
          <w:tcPr>
            <w:tcW w:w="1660" w:type="dxa"/>
            <w:vAlign w:val="bottom"/>
            <w:gridSpan w:val="6"/>
          </w:tcPr>
          <w:p>
            <w:pPr>
              <w:spacing w:after="0"/>
              <w:rPr>
                <w:sz w:val="20"/>
                <w:szCs w:val="20"/>
                <w:color w:val="auto"/>
              </w:rPr>
            </w:pPr>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8"/>
              </w:rPr>
            </w:pPr>
            <w:hyperlink w:anchor="page133">
              <w:r>
                <w:rPr>
                  <w:rFonts w:ascii="Arial" w:cs="Arial" w:eastAsia="Arial" w:hAnsi="Arial"/>
                  <w:sz w:val="18"/>
                  <w:szCs w:val="18"/>
                  <w:color w:val="0000EE"/>
                  <w:w w:val="98"/>
                </w:rPr>
                <w:t>Item 16H Mine Safety Disclosure</w:t>
              </w:r>
            </w:hyperlink>
          </w:p>
        </w:tc>
        <w:tc>
          <w:tcPr>
            <w:tcW w:w="6280" w:type="dxa"/>
            <w:vAlign w:val="bottom"/>
            <w:gridSpan w:val="1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660" w:type="dxa"/>
            <w:vAlign w:val="bottom"/>
            <w:gridSpan w:val="3"/>
          </w:tcPr>
          <w:p>
            <w:pPr>
              <w:spacing w:after="0"/>
              <w:rPr>
                <w:rFonts w:ascii="Arial" w:cs="Arial" w:eastAsia="Arial" w:hAnsi="Arial"/>
                <w:sz w:val="18"/>
                <w:szCs w:val="18"/>
                <w:color w:val="0000EE"/>
                <w:w w:val="94"/>
              </w:rPr>
            </w:pPr>
            <w:hyperlink w:anchor="page133">
              <w:r>
                <w:rPr>
                  <w:rFonts w:ascii="Arial" w:cs="Arial" w:eastAsia="Arial" w:hAnsi="Arial"/>
                  <w:sz w:val="18"/>
                  <w:szCs w:val="18"/>
                  <w:color w:val="0000EE"/>
                  <w:w w:val="94"/>
                </w:rPr>
                <w:t>PART III</w:t>
              </w:r>
            </w:hyperlink>
          </w:p>
        </w:tc>
        <w:tc>
          <w:tcPr>
            <w:tcW w:w="1960" w:type="dxa"/>
            <w:vAlign w:val="bottom"/>
            <w:gridSpan w:val="6"/>
          </w:tcPr>
          <w:p>
            <w:pPr>
              <w:spacing w:after="0"/>
              <w:rPr>
                <w:sz w:val="20"/>
                <w:szCs w:val="20"/>
                <w:color w:val="auto"/>
              </w:rPr>
            </w:pPr>
          </w:p>
        </w:tc>
        <w:tc>
          <w:tcPr>
            <w:tcW w:w="6280" w:type="dxa"/>
            <w:vAlign w:val="bottom"/>
            <w:gridSpan w:val="1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2320" w:type="dxa"/>
            <w:vAlign w:val="bottom"/>
            <w:gridSpan w:val="8"/>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Item 17 Financial Statements</w:t>
              </w:r>
            </w:hyperlink>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2320" w:type="dxa"/>
            <w:vAlign w:val="bottom"/>
            <w:gridSpan w:val="8"/>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Item 18 Financial Statements</w:t>
              </w:r>
            </w:hyperlink>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1280" w:type="dxa"/>
            <w:vAlign w:val="bottom"/>
            <w:gridSpan w:val="4"/>
          </w:tcPr>
          <w:p>
            <w:pPr>
              <w:spacing w:after="0"/>
              <w:rPr>
                <w:rFonts w:ascii="Arial" w:cs="Arial" w:eastAsia="Arial" w:hAnsi="Arial"/>
                <w:sz w:val="18"/>
                <w:szCs w:val="18"/>
                <w:color w:val="0000EE"/>
                <w:w w:val="98"/>
              </w:rPr>
            </w:pPr>
            <w:hyperlink w:anchor="page133">
              <w:r>
                <w:rPr>
                  <w:rFonts w:ascii="Arial" w:cs="Arial" w:eastAsia="Arial" w:hAnsi="Arial"/>
                  <w:sz w:val="18"/>
                  <w:szCs w:val="18"/>
                  <w:color w:val="0000EE"/>
                  <w:w w:val="98"/>
                </w:rPr>
                <w:t>Item 19 Exhibits</w:t>
              </w:r>
            </w:hyperlink>
          </w:p>
        </w:tc>
        <w:tc>
          <w:tcPr>
            <w:tcW w:w="1040" w:type="dxa"/>
            <w:vAlign w:val="bottom"/>
            <w:gridSpan w:val="4"/>
          </w:tcPr>
          <w:p>
            <w:pPr>
              <w:spacing w:after="0"/>
              <w:rPr>
                <w:sz w:val="20"/>
                <w:szCs w:val="20"/>
                <w:color w:val="auto"/>
              </w:rPr>
            </w:pPr>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49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references in this Annual Report on Form 20-F, or the Annual Report, to “Verona,” the “company,” the "group", “we,” “us” and “our” refer to Verona Pharma plc and its consolidated subsidiaries.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DATA</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or IFRS. None of the financial statements in this Annual Report were prepared in accordance with generally accepted accounting principles in the United States. We present our financial statements in pounds sterling and in accordance with IFRS. We have made rounding adjustments to some of the figures included in this Annual Report. Accordingly, numerical figures shown as totals in some tables may not be an arithmetic aggregation of the figures that preceded them. All references in this Annual Report to “$,” “US$,” and “U.S. dollars” mean U.S. dollars and all references to “£” and “GBP” mean pounds sterling, unless otherwise noted.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on-going clinical trials, product candidate development plans,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including those identified under “Risk Factors” in this Annual Report, that may cause our actual results, performance or achievements to be materially different from any future results, performance or achievements expressed or implied by the forward-looking statements.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Forward looking statements include, but are not limited to, statements about:</w:t>
      </w:r>
    </w:p>
    <w:p>
      <w:pPr>
        <w:spacing w:after="0" w:line="90" w:lineRule="exact"/>
        <w:rPr>
          <w:sz w:val="20"/>
          <w:szCs w:val="20"/>
          <w:color w:val="auto"/>
        </w:rPr>
      </w:pPr>
    </w:p>
    <w:p>
      <w:pPr>
        <w:ind w:left="760" w:right="140" w:hanging="320"/>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of RPL554, including statements regarding the expected initiation, timing, progress and availability of data from our clinical trials;</w:t>
      </w: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attributes and benefit of RPL554 and its competitive position;</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commercialize RPL554, if approved;</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or in license new product candidates;</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collaborations; and</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 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w:t>
      </w:r>
    </w:p>
    <w:p>
      <w:pPr>
        <w:spacing w:after="0" w:line="2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4" w:name="page5"/>
    <w:bookmarkEnd w:id="4"/>
    <w:p>
      <w:pPr>
        <w:ind w:right="4920"/>
        <w:spacing w:after="0" w:line="412" w:lineRule="auto"/>
        <w:rPr>
          <w:sz w:val="20"/>
          <w:szCs w:val="20"/>
          <w:color w:val="auto"/>
        </w:rPr>
      </w:pPr>
      <w:r>
        <w:rPr>
          <w:rFonts w:ascii="Arial" w:cs="Arial" w:eastAsia="Arial" w:hAnsi="Arial"/>
          <w:sz w:val="18"/>
          <w:szCs w:val="18"/>
          <w:b w:val="1"/>
          <w:bCs w:val="1"/>
          <w:color w:val="auto"/>
        </w:rPr>
        <w:t xml:space="preserve">ITEM 1: IDENTITY OF DIRECTORS, SENIOR MANAGEMENT AND ADVISORS </w:t>
      </w: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following selected consolidated financial data should be read in conjunction with “Operating and Financial Review and Prospects,” our consolidated financial statements and related notes, and other financial information included in this Annual Report. We have derived the consolidated statement of comprehensive income data and the consolidated statement of financial position data as of December 31, 2017 and 2016 from our audited financial statements included elsewhere in this Annual Report. Our historical results are not necessarily indicative of the results that should be expected in the future.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5380" w:type="dxa"/>
            <w:vAlign w:val="bottom"/>
          </w:tcPr>
          <w:p>
            <w:pPr>
              <w:spacing w:after="0"/>
              <w:rPr>
                <w:sz w:val="22"/>
                <w:szCs w:val="22"/>
                <w:color w:val="auto"/>
              </w:rPr>
            </w:pPr>
          </w:p>
        </w:tc>
        <w:tc>
          <w:tcPr>
            <w:tcW w:w="2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280" w:type="dxa"/>
            <w:vAlign w:val="bottom"/>
          </w:tcPr>
          <w:p>
            <w:pPr>
              <w:jc w:val="center"/>
              <w:ind w:right="394"/>
              <w:spacing w:after="0"/>
              <w:rPr>
                <w:sz w:val="20"/>
                <w:szCs w:val="20"/>
                <w:color w:val="auto"/>
              </w:rPr>
            </w:pPr>
            <w:r>
              <w:rPr>
                <w:rFonts w:ascii="Arial" w:cs="Arial" w:eastAsia="Arial" w:hAnsi="Arial"/>
                <w:sz w:val="14"/>
                <w:szCs w:val="14"/>
                <w:b w:val="1"/>
                <w:bCs w:val="1"/>
                <w:color w:val="auto"/>
              </w:rPr>
              <w:t>2016</w:t>
            </w: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740" w:type="dxa"/>
            <w:vAlign w:val="bottom"/>
            <w:tcBorders>
              <w:top w:val="single" w:sz="8" w:color="auto"/>
            </w:tcBorders>
            <w:gridSpan w:val="2"/>
          </w:tcPr>
          <w:p>
            <w:pPr>
              <w:jc w:val="center"/>
              <w:ind w:left="892"/>
              <w:spacing w:after="0"/>
              <w:rPr>
                <w:sz w:val="20"/>
                <w:szCs w:val="20"/>
                <w:color w:val="auto"/>
              </w:rPr>
            </w:pPr>
            <w:r>
              <w:rPr>
                <w:rFonts w:ascii="Arial" w:cs="Arial" w:eastAsia="Arial" w:hAnsi="Arial"/>
                <w:sz w:val="14"/>
                <w:szCs w:val="14"/>
                <w:b w:val="1"/>
                <w:bCs w:val="1"/>
                <w:color w:val="auto"/>
              </w:rPr>
              <w:t>(£'000s, except per ordinary share data)</w:t>
            </w:r>
          </w:p>
        </w:tc>
        <w:tc>
          <w:tcPr>
            <w:tcW w:w="940" w:type="dxa"/>
            <w:vAlign w:val="bottom"/>
            <w:tcBorders>
              <w:top w:val="single" w:sz="8" w:color="auto"/>
            </w:tcBorders>
          </w:tcPr>
          <w:p>
            <w:pPr>
              <w:spacing w:after="0"/>
              <w:rPr>
                <w:sz w:val="21"/>
                <w:szCs w:val="2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comprehensive income data:</w:t>
            </w:r>
          </w:p>
        </w:tc>
        <w:tc>
          <w:tcPr>
            <w:tcW w:w="1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(7,270)</w:t>
            </w:r>
          </w:p>
        </w:tc>
        <w:tc>
          <w:tcPr>
            <w:tcW w:w="2280" w:type="dxa"/>
            <w:vAlign w:val="bottom"/>
          </w:tcPr>
          <w:p>
            <w:pPr>
              <w:jc w:val="right"/>
              <w:ind w:right="594"/>
              <w:spacing w:after="0"/>
              <w:rPr>
                <w:sz w:val="20"/>
                <w:szCs w:val="20"/>
                <w:color w:val="auto"/>
              </w:rPr>
            </w:pPr>
            <w:r>
              <w:rPr>
                <w:rFonts w:ascii="Arial" w:cs="Arial" w:eastAsia="Arial" w:hAnsi="Arial"/>
                <w:sz w:val="18"/>
                <w:szCs w:val="18"/>
                <w:color w:val="auto"/>
              </w:rPr>
              <w:t>(4,522)</w:t>
            </w:r>
          </w:p>
        </w:tc>
        <w:tc>
          <w:tcPr>
            <w:tcW w:w="940" w:type="dxa"/>
            <w:vAlign w:val="bottom"/>
          </w:tcPr>
          <w:p>
            <w:pPr>
              <w:jc w:val="right"/>
              <w:spacing w:after="0"/>
              <w:rPr>
                <w:sz w:val="20"/>
                <w:szCs w:val="20"/>
                <w:color w:val="auto"/>
              </w:rPr>
            </w:pPr>
            <w:r>
              <w:rPr>
                <w:rFonts w:ascii="Arial" w:cs="Arial" w:eastAsia="Arial" w:hAnsi="Arial"/>
                <w:sz w:val="18"/>
                <w:szCs w:val="18"/>
                <w:color w:val="auto"/>
              </w:rPr>
              <w:t>(23,717)</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36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rPr>
              <w:t>(2,498)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(8,976)</w:t>
            </w:r>
          </w:p>
        </w:tc>
        <w:tc>
          <w:tcPr>
            <w:tcW w:w="2280" w:type="dxa"/>
            <w:vAlign w:val="bottom"/>
          </w:tcPr>
          <w:p>
            <w:pPr>
              <w:jc w:val="right"/>
              <w:ind w:right="594"/>
              <w:spacing w:after="0"/>
              <w:rPr>
                <w:sz w:val="20"/>
                <w:szCs w:val="20"/>
                <w:color w:val="auto"/>
              </w:rPr>
            </w:pPr>
            <w:r>
              <w:rPr>
                <w:rFonts w:ascii="Arial" w:cs="Arial" w:eastAsia="Arial" w:hAnsi="Arial"/>
                <w:sz w:val="18"/>
                <w:szCs w:val="18"/>
                <w:color w:val="auto"/>
              </w:rPr>
              <w:t>(7,020)</w:t>
            </w:r>
          </w:p>
        </w:tc>
        <w:tc>
          <w:tcPr>
            <w:tcW w:w="940" w:type="dxa"/>
            <w:vAlign w:val="bottom"/>
          </w:tcPr>
          <w:p>
            <w:pPr>
              <w:jc w:val="right"/>
              <w:spacing w:after="0"/>
              <w:rPr>
                <w:sz w:val="20"/>
                <w:szCs w:val="20"/>
                <w:color w:val="auto"/>
              </w:rPr>
            </w:pPr>
            <w:r>
              <w:rPr>
                <w:rFonts w:ascii="Arial" w:cs="Arial" w:eastAsia="Arial" w:hAnsi="Arial"/>
                <w:sz w:val="18"/>
                <w:szCs w:val="18"/>
                <w:color w:val="auto"/>
              </w:rPr>
              <w:t>(29,756)</w:t>
            </w: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1,841</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7,018</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3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(794)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taxation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22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(5,973)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(25,203)</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3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228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rPr>
              <w:t>954</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4,706</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year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22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(20,497)</w:t>
            </w: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 (loss) :</w:t>
            </w: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6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8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136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c>
          <w:tcPr>
            <w:tcW w:w="22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(4,976)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(20,526)</w:t>
            </w: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5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2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280" w:type="dxa"/>
            <w:vAlign w:val="bottom"/>
          </w:tcPr>
          <w:p>
            <w:pPr>
              <w:jc w:val="center"/>
              <w:ind w:right="394"/>
              <w:spacing w:after="0"/>
              <w:rPr>
                <w:sz w:val="20"/>
                <w:szCs w:val="20"/>
                <w:color w:val="auto"/>
              </w:rPr>
            </w:pPr>
            <w:r>
              <w:rPr>
                <w:rFonts w:ascii="Arial" w:cs="Arial" w:eastAsia="Arial" w:hAnsi="Arial"/>
                <w:sz w:val="14"/>
                <w:szCs w:val="14"/>
                <w:b w:val="1"/>
                <w:bCs w:val="1"/>
                <w:color w:val="auto"/>
              </w:rPr>
              <w:t>2016</w:t>
            </w: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rPr>
              <w:t>(£'000s)</w:t>
            </w:r>
          </w:p>
        </w:tc>
        <w:tc>
          <w:tcPr>
            <w:tcW w:w="940" w:type="dxa"/>
            <w:vAlign w:val="bottom"/>
            <w:tcBorders>
              <w:top w:val="single" w:sz="8" w:color="auto"/>
            </w:tcBorders>
          </w:tcPr>
          <w:p>
            <w:pPr>
              <w:spacing w:after="0"/>
              <w:rPr>
                <w:sz w:val="21"/>
                <w:szCs w:val="2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3,524</w:t>
            </w:r>
          </w:p>
        </w:tc>
        <w:tc>
          <w:tcPr>
            <w:tcW w:w="2280" w:type="dxa"/>
            <w:vAlign w:val="bottom"/>
          </w:tcPr>
          <w:p>
            <w:pPr>
              <w:jc w:val="right"/>
              <w:ind w:right="654"/>
              <w:spacing w:after="0"/>
              <w:rPr>
                <w:sz w:val="20"/>
                <w:szCs w:val="20"/>
                <w:color w:val="auto"/>
              </w:rPr>
            </w:pPr>
            <w:r>
              <w:rPr>
                <w:rFonts w:ascii="Arial" w:cs="Arial" w:eastAsia="Arial" w:hAnsi="Arial"/>
                <w:sz w:val="18"/>
                <w:szCs w:val="18"/>
                <w:color w:val="auto"/>
              </w:rPr>
              <w:t>39,785</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31,443</w:t>
            </w: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48,819</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228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rPr>
              <w:t>46,143</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89,504</w:t>
            </w: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36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228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58,526</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2,407</w:t>
            </w:r>
          </w:p>
        </w:tc>
        <w:tc>
          <w:tcPr>
            <w:tcW w:w="2280" w:type="dxa"/>
            <w:vAlign w:val="bottom"/>
          </w:tcPr>
          <w:p>
            <w:pPr>
              <w:jc w:val="right"/>
              <w:ind w:right="654"/>
              <w:spacing w:after="0"/>
              <w:rPr>
                <w:sz w:val="20"/>
                <w:szCs w:val="20"/>
                <w:color w:val="auto"/>
              </w:rPr>
            </w:pPr>
            <w:r>
              <w:rPr>
                <w:rFonts w:ascii="Arial" w:cs="Arial" w:eastAsia="Arial" w:hAnsi="Arial"/>
                <w:sz w:val="18"/>
                <w:szCs w:val="18"/>
                <w:color w:val="auto"/>
              </w:rPr>
              <w:t>11,674</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9,623</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36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228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28,728</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49,254</w:t>
            </w:r>
          </w:p>
        </w:tc>
      </w:tr>
      <w:tr>
        <w:trPr>
          <w:trHeight w:val="264"/>
        </w:trPr>
        <w:tc>
          <w:tcPr>
            <w:tcW w:w="538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5,434</w:t>
            </w:r>
          </w:p>
        </w:tc>
        <w:tc>
          <w:tcPr>
            <w:tcW w:w="2280" w:type="dxa"/>
            <w:vAlign w:val="bottom"/>
          </w:tcPr>
          <w:p>
            <w:pPr>
              <w:jc w:val="right"/>
              <w:ind w:right="654"/>
              <w:spacing w:after="0"/>
              <w:rPr>
                <w:sz w:val="20"/>
                <w:szCs w:val="20"/>
                <w:color w:val="auto"/>
              </w:rPr>
            </w:pPr>
            <w:r>
              <w:rPr>
                <w:rFonts w:ascii="Arial" w:cs="Arial" w:eastAsia="Arial" w:hAnsi="Arial"/>
                <w:sz w:val="18"/>
                <w:szCs w:val="18"/>
                <w:color w:val="auto"/>
              </w:rPr>
              <w:t>34,469</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79,881</w:t>
            </w:r>
          </w:p>
        </w:tc>
      </w:tr>
      <w:tr>
        <w:trPr>
          <w:trHeight w:val="675"/>
        </w:trPr>
        <w:tc>
          <w:tcPr>
            <w:tcW w:w="5380" w:type="dxa"/>
            <w:vAlign w:val="bottom"/>
          </w:tcPr>
          <w:p>
            <w:pPr>
              <w:spacing w:after="0"/>
              <w:rPr>
                <w:sz w:val="24"/>
                <w:szCs w:val="24"/>
                <w:color w:val="auto"/>
              </w:rPr>
            </w:pPr>
          </w:p>
        </w:tc>
        <w:tc>
          <w:tcPr>
            <w:tcW w:w="1360" w:type="dxa"/>
            <w:vAlign w:val="bottom"/>
          </w:tcPr>
          <w:p>
            <w:pPr>
              <w:jc w:val="right"/>
              <w:ind w:right="893"/>
              <w:spacing w:after="0"/>
              <w:rPr>
                <w:sz w:val="20"/>
                <w:szCs w:val="20"/>
                <w:color w:val="auto"/>
              </w:rPr>
            </w:pPr>
            <w:r>
              <w:rPr>
                <w:rFonts w:ascii="Arial" w:cs="Arial" w:eastAsia="Arial" w:hAnsi="Arial"/>
                <w:sz w:val="18"/>
                <w:szCs w:val="18"/>
                <w:color w:val="auto"/>
              </w:rPr>
              <w:t>3</w:t>
            </w:r>
          </w:p>
        </w:tc>
        <w:tc>
          <w:tcPr>
            <w:tcW w:w="146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w:t>
      </w:r>
    </w:p>
    <w:p>
      <w:pPr>
        <w:sectPr>
          <w:pgSz w:w="11900" w:h="16838" w:orient="portrait"/>
          <w:cols w:equalWidth="0" w:num="1">
            <w:col w:w="10219"/>
          </w:cols>
          <w:pgMar w:left="240" w:top="517" w:right="1440" w:bottom="1440" w:gutter="0" w:footer="0" w:header="0"/>
        </w:sectPr>
      </w:pP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517" w:right="1440" w:bottom="1440" w:gutter="0" w:footer="0" w:header="0"/>
          <w:type w:val="continuous"/>
        </w:sectPr>
      </w:pPr>
    </w:p>
    <w:bookmarkStart w:id="6" w:name="page7"/>
    <w:bookmarkEnd w:id="6"/>
    <w:p>
      <w:pPr>
        <w:ind w:left="220"/>
        <w:spacing w:after="0"/>
        <w:rPr>
          <w:sz w:val="20"/>
          <w:szCs w:val="20"/>
          <w:color w:val="auto"/>
        </w:rPr>
      </w:pPr>
      <w:r>
        <w:rPr>
          <w:rFonts w:ascii="Arial" w:cs="Arial" w:eastAsia="Arial" w:hAnsi="Arial"/>
          <w:sz w:val="18"/>
          <w:szCs w:val="18"/>
          <w:b w:val="1"/>
          <w:bCs w:val="1"/>
          <w:color w:val="auto"/>
        </w:rPr>
        <w:t>B. Capitalization and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Annual Report. Our business, financial condition or results of operations could be materially and adversely affected if any of these risks occur.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have never generated any product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inception. We had net losses of £5.0 million and £20.5 million for the years ended December 31, 2016 and 2017, respectively.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 had an accumulated loss of £49.3 million. Our losses have resulted principally from expenses incurred in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RPL554, our only product candidate, and from general and administrative costs that we have incurred while building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infrastructure. We expect to continue to incur significant operating losses for the foreseeable future as we expand our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efforts and seek to obtain regulatory approval and commercialization for RPL554. We anticipate that our expenses will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as we:</w:t>
      </w:r>
    </w:p>
    <w:p>
      <w:pPr>
        <w:spacing w:after="0" w:line="279" w:lineRule="exact"/>
        <w:rPr>
          <w:sz w:val="20"/>
          <w:szCs w:val="20"/>
          <w:color w:val="auto"/>
        </w:rPr>
      </w:pPr>
    </w:p>
    <w:p>
      <w:pPr>
        <w:ind w:left="660" w:right="3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ongoing Phase 2 clinical trials and initiate and conduct our planned Phase 1 and 2 and PK clinical trials and any other future clinical trials of RPL554 for the treatment of COPD;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RPL554 as DPI and pMDI formulations for maintenance treatment of COPD, asthma and other respiratory diseases;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ongoing Phase 2a clinical trial and any future clinical trials of RPL554 for the treatment of CF;</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or in-license additional respiratory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pre-clinical studies to support RPL554 and potentially other future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the manufacturing process and produce clinical and commercial supplies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of RPL554;</w:t>
      </w:r>
    </w:p>
    <w:p>
      <w:pPr>
        <w:spacing w:after="0" w:line="144"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RPL554, if approved;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in-licensed technologies and products;</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operations in the United States, the United Kingdom and possibly elsewhere.</w:t>
      </w:r>
    </w:p>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76" w:right="279" w:bottom="1440" w:gutter="0" w:footer="0" w:header="0"/>
        </w:sectPr>
      </w:pPr>
    </w:p>
    <w:bookmarkStart w:id="7" w:name="page8"/>
    <w:bookmarkEnd w:id="7"/>
    <w:p>
      <w:pPr>
        <w:ind w:right="120"/>
        <w:spacing w:after="0" w:line="256"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and pre-clinical studies and clinical trials of RPL554. We are in the early stages of development of RPL554, and we have not completed development of any product candidate or any drugs.</w:t>
      </w:r>
    </w:p>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RPL554, discovering and developing additional product candidates, obtaining regulatory approval for RPL554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26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RPL554 or any other product candidates, our expenses could increase and revenue could be further delayed.</w:t>
      </w:r>
    </w:p>
    <w:p>
      <w:pPr>
        <w:spacing w:after="0" w:line="25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ordinary shares and could impair our ability to raise capital, expand our business, diversify our product offerings or continue our operations. A decline in the market price of our ADSs or ordinary shares also could cause our ADS holders and shareholders to lose all or a part of their investment.</w:t>
      </w:r>
    </w:p>
    <w:p>
      <w:pPr>
        <w:spacing w:after="0" w:line="236"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b w:val="1"/>
          <w:bCs w:val="1"/>
          <w:color w:val="auto"/>
        </w:rPr>
        <w:t>We will need additional funding to complete development of RPL554 and any future product candidates, and to commercialize our products, if approved. If we are unable to raise capital when needed, we could be forced to delay, reduce or eliminate our product development programs or commercialization efforts.</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planned Phase 2 clinical trials and any other future clinical trials of RPL554 and develop RPL554 for other indications. In addition, if we obtain regulatory approval for RPL554 or any other product candidates, we expect to incur significant commercialization expenses related to product manufacturing, marketing, sales and distribution. Furthermore, we expect to incur additional costs associated with operating as a public company in the United Kingdom and the United States and maintaining a listing on both AIM and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expect that our existing cash, cash equivalents and short-term investments will enable us to fund our operating expenses and capital expenditure requirements through the end of our Phase 2 development of nebulized RPL554 and our proof-of-concept development with DPI and pMDI formulations of RPL554 for the treatment of COPD, as well as our Phase 2 development of nebulized RPL554 for the treatment of CF.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660" w:right="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progress and results of our ongoing Phase 2 clinical trials and our planned Phase 1 and 2 and PK clinical trials and any other future clinical trials of RPL554 for the treatment of COPD and CF;</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RPL554;</w:t>
      </w:r>
    </w:p>
    <w:p>
      <w:pPr>
        <w:spacing w:after="0" w:line="144"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RPL554 in other indications and for the development of DPI and pMDI formulations of RPL554 for maintenance treatment of COPD and potentially asthma and other respiratory diseases;</w:t>
      </w:r>
    </w:p>
    <w:p>
      <w:pPr>
        <w:spacing w:after="0" w:line="120"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RPL554, including post-marketing studies that could be required by regulatory authorities;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17" w:right="259" w:bottom="1440" w:gutter="0" w:footer="0" w:header="0"/>
        </w:sectPr>
      </w:pPr>
    </w:p>
    <w:bookmarkStart w:id="8" w:name="page9"/>
    <w:bookmarkEnd w:id="8"/>
    <w:p>
      <w:pPr>
        <w:ind w:left="660" w:right="8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RPL554;</w:t>
      </w:r>
    </w:p>
    <w:p>
      <w:pPr>
        <w:spacing w:after="0" w:line="11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RPL554, although we currently have no commitments or agreements to complete any such transactions.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RPL554.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5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relating to RPL554 or any commercialization efforts, be unable to expand our operations, or be unable to otherwise capitalize on our business opportunities, as desired, which could harm our business and potentially cause us to discontinue operations.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We depend heavily on the success of RPL554, our only product candidate under development. We cannot give any assurance that RPL554 will receive regulatory approval for any indication, which is necessary before it can be commercialized. If we, and any collaborators with whom we may enter into agreements for the development and commercialization of RPL554, are unable to commercialize RPL554, or experience significant delays in doing so, our ability to generate revenue and our financial condition will be adversely affected.</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RPL554,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RPL554, if approved, which may never occur. RPL554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RPL554 or any product candidates in the United States, Europe or other countries before we receive regulatory approval from the FDA, the EMA or comparable foreign regulatory authorities, and we may never receive such regulatory approval for RPL554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RPL554 will depend on many factors, including the following:</w:t>
      </w:r>
    </w:p>
    <w:p>
      <w:pPr>
        <w:spacing w:after="0" w:line="265" w:lineRule="exact"/>
        <w:rPr>
          <w:sz w:val="20"/>
          <w:szCs w:val="20"/>
          <w:color w:val="auto"/>
        </w:rPr>
      </w:pPr>
    </w:p>
    <w:p>
      <w:pPr>
        <w:ind w:left="660" w:right="1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demonstrate that RPL554 is safe and effective as a treatment for our targeted indications to the satisfaction of the applicable regulatory authorities;</w:t>
      </w:r>
    </w:p>
    <w:p>
      <w:pPr>
        <w:spacing w:after="0" w:line="11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pre-clinical or clinical trials of RPL554 for the treatment of COPD, which would increase our costs and prolong our development;</w:t>
      </w:r>
    </w:p>
    <w:p>
      <w:pPr>
        <w:spacing w:after="0" w:line="11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clinical trials of RPL554 may not meet the level of statistical or clinical significance required by the applicable regulatory authorities for marketing approval;</w:t>
      </w:r>
    </w:p>
    <w:p>
      <w:pPr>
        <w:spacing w:after="0" w:line="115"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517" w:right="319" w:bottom="1440" w:gutter="0" w:footer="0" w:header="0"/>
        </w:sectPr>
      </w:pPr>
    </w:p>
    <w:bookmarkStart w:id="9" w:name="page10"/>
    <w:bookmarkEnd w:id="9"/>
    <w:p>
      <w:pPr>
        <w:ind w:left="660" w:right="5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115"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RPL554 outweigh its safety risks;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operational or clinical issues may prevent completion or interpretation of clinical study results;</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our interpretation of data from our pre-clinical studies and clinical trials or may require that we conduct additional studies;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144" w:lineRule="exact"/>
        <w:rPr>
          <w:rFonts w:ascii="Arial" w:cs="Arial" w:eastAsia="Arial" w:hAnsi="Arial"/>
          <w:sz w:val="18"/>
          <w:szCs w:val="18"/>
          <w:color w:val="auto"/>
        </w:rPr>
      </w:pPr>
    </w:p>
    <w:p>
      <w:pPr>
        <w:ind w:left="660" w:right="34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2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115" w:lineRule="exact"/>
        <w:rPr>
          <w:rFonts w:ascii="Arial" w:cs="Arial" w:eastAsia="Arial" w:hAnsi="Arial"/>
          <w:sz w:val="18"/>
          <w:szCs w:val="18"/>
          <w:color w:val="auto"/>
        </w:rPr>
      </w:pPr>
    </w:p>
    <w:p>
      <w:pPr>
        <w:ind w:left="660" w:right="11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applicable regulatory authorities may change its approval policies or adopt new regulations;</w:t>
      </w:r>
    </w:p>
    <w:p>
      <w:pPr>
        <w:spacing w:after="0" w:line="144"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license RPL554 to others, the efforts of those parties in completing clinical trials of, receiving regulatory approval for and commercializing, RPL554;</w:t>
      </w:r>
    </w:p>
    <w:p>
      <w:pPr>
        <w:spacing w:after="0" w:line="11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RPL554 or make the commercialization of RPL554 unfeasible;</w:t>
      </w:r>
    </w:p>
    <w:p>
      <w:pPr>
        <w:spacing w:after="0" w:line="115" w:lineRule="exact"/>
        <w:rPr>
          <w:rFonts w:ascii="Arial" w:cs="Arial" w:eastAsia="Arial" w:hAnsi="Arial"/>
          <w:sz w:val="18"/>
          <w:szCs w:val="18"/>
          <w:color w:val="auto"/>
        </w:rPr>
      </w:pPr>
    </w:p>
    <w:p>
      <w:pPr>
        <w:ind w:left="660" w:right="640" w:hanging="328"/>
        <w:spacing w:after="0" w:line="29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retain rights under a collaboration agreement for RPL554, our efforts in completing pre-clinical studies and clinical trials of, receiving marketing approvals for, establishing commercial manufacturing capabilities for and commercializing, RPL554; and</w:t>
      </w:r>
    </w:p>
    <w:p>
      <w:pPr>
        <w:spacing w:after="0" w:line="93" w:lineRule="exact"/>
        <w:rPr>
          <w:rFonts w:ascii="Arial" w:cs="Arial" w:eastAsia="Arial" w:hAnsi="Arial"/>
          <w:sz w:val="17"/>
          <w:szCs w:val="17"/>
          <w:color w:val="auto"/>
        </w:rPr>
      </w:pPr>
    </w:p>
    <w:p>
      <w:pPr>
        <w:jc w:val="both"/>
        <w:ind w:left="660" w:right="68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approved, acceptance of RPL554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12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If we or our collaborators, as applicable, do not achieve one or more of these factors in a timely manner or at all, we could experience significant delays or an inability to successfully commercialize RPL554.</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cannot be certain that RPL554 or any future product candidates will be successful in clinical trials or receive regulatory approval. Further, RPL554 or any future product candidates may not receive regulatory approval even if they are successful in clinical trials. If we do not receive regulatory approvals for RPL554 or any future product candidates, we may not be able to continue our operations. Even if we successfully obtain regulatory approvals to manufacture and market RPL554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6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plan to seek regulatory approval to commercialize RPL554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RPL554, and we cannot predict success in these jurisdictions.</w:t>
      </w:r>
    </w:p>
    <w:p>
      <w:pPr>
        <w:spacing w:after="0" w:line="23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Our limited operating history may make it difficult for investors to evaluate the success of our business to date and to assess our future viability.</w:t>
      </w:r>
    </w:p>
    <w:p>
      <w:pPr>
        <w:spacing w:after="0" w:line="229"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Since our inception in 2005, we have devoted substantially all of our resources to developing RPL554, building our intellectual property portfolio, developing our supply chain, planning our business, raising capital and providing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17" w:right="239" w:bottom="1440" w:gutter="0" w:footer="0" w:header="0"/>
        </w:sectPr>
      </w:pPr>
    </w:p>
    <w:bookmarkStart w:id="10" w:name="page11"/>
    <w:bookmarkEnd w:id="10"/>
    <w:p>
      <w:pPr>
        <w:ind w:right="20"/>
        <w:spacing w:after="0" w:line="252" w:lineRule="auto"/>
        <w:rPr>
          <w:sz w:val="20"/>
          <w:szCs w:val="20"/>
          <w:color w:val="auto"/>
        </w:rPr>
      </w:pPr>
      <w:r>
        <w:rPr>
          <w:rFonts w:ascii="Arial" w:cs="Arial" w:eastAsia="Arial" w:hAnsi="Arial"/>
          <w:sz w:val="18"/>
          <w:szCs w:val="18"/>
          <w:color w:val="auto"/>
        </w:rPr>
        <w:t>general and administrative support for these operations. We have completed multiple Phase 1 and 2 clinical trials for RPL554, but we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23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Raising additional capital may cause dilution to our holders, restrict our operations or require us to relinquish rights to our technologies or product candidates.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or ordinary shares to decline.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become subject to economic, political, regulatory and other risks associated with international operations.</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currency exchange rates of the euro and currency controls;</w:t>
      </w:r>
    </w:p>
    <w:p>
      <w:pPr>
        <w:spacing w:after="0" w:line="144"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implications of the recent decision of the eligible members of the U.K. electorate for the United Kingdom to withdraw from the EU;</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17" w:right="299" w:bottom="1440" w:gutter="0" w:footer="0" w:header="0"/>
        </w:sectPr>
      </w:pPr>
    </w:p>
    <w:bookmarkStart w:id="11" w:name="page12"/>
    <w:bookmarkEnd w:id="11"/>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4"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9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The United Kingdom's withdrawal from the EU may have a negative effect on global economic conditions, financial markets and our business, which could reduce the price of our ADSs and ordinary shares.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a two-year period under Article 50 to negotiate the terms for withdrawal. Any extension of the negotiation period for withdrawal will require the consent of all of the remaining 27 member states.</w:t>
      </w:r>
    </w:p>
    <w:p>
      <w:pPr>
        <w:spacing w:after="0" w:line="25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referendum and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may materially affect our results of operations and financial condition.</w:t>
      </w:r>
    </w:p>
    <w:p>
      <w:pPr>
        <w:spacing w:after="0" w:line="3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Our only product candidate, RPL554, is in early-stage clinical development. Clinical drug development is a lengthy and expensive process with uncertain timelines and uncertain outcomes. If clinical trials of RPL554 are prolonged or delayed, or if RPL554 in later stage clinical trials fails to show the desired safety and efficacy, we or our collaborators may be unable to obtain required regulatory approvals and be unable to commercialize RPL554 on a timely basis, or at all.</w:t>
      </w:r>
    </w:p>
    <w:p>
      <w:pPr>
        <w:spacing w:after="0" w:line="25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obtain the requisite regulatory approvals to market and sell RPL554, we or any collaborator for RPL554 must demonstrate through extensive pre-clinical studies and clinical trials that RPL554 is safe and effective in humans. Clinical testing is expensive and can take many years to complete, and its outcome is inherently uncertain. Failure can occur at any time during the clinical trial process. The results of pre-clinical studies and early-stage clinical trials of RPL554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17" w:right="239" w:bottom="1440" w:gutter="0" w:footer="0" w:header="0"/>
        </w:sectPr>
      </w:pPr>
    </w:p>
    <w:bookmarkStart w:id="12" w:name="page13"/>
    <w:bookmarkEnd w:id="12"/>
    <w:p>
      <w:pPr>
        <w:ind w:right="380"/>
        <w:spacing w:after="0" w:line="256"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144"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approval at each site;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 or committing gross misconduct or fraud;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or maintain double blinding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technical issues during manufacture of RPL554 and the corresponding drug product;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RPL554 for use in clinical trials;</w:t>
      </w:r>
    </w:p>
    <w:p>
      <w:pPr>
        <w:spacing w:after="0" w:line="144"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actions claiming infringement by RPL554 in clinical trials inside or outside of the United States and obtaining injunctions interfering with our progress;</w:t>
      </w:r>
    </w:p>
    <w:p>
      <w:pPr>
        <w:spacing w:after="0" w:line="115"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1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44"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or frequency of dosing or treatment in clinical trials;</w:t>
      </w:r>
    </w:p>
    <w:p>
      <w:pPr>
        <w:spacing w:after="0" w:line="14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or stability of RPL554 falling below acceptable standards for either safety or efficacy;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discoveries that may reduce the commercial viability of RPL554.</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17" w:right="299" w:bottom="1440" w:gutter="0" w:footer="0" w:header="0"/>
        </w:sectPr>
      </w:pPr>
    </w:p>
    <w:bookmarkStart w:id="13" w:name="page14"/>
    <w:bookmarkEnd w:id="13"/>
    <w:p>
      <w:pPr>
        <w:ind w:right="80"/>
        <w:spacing w:after="0" w:line="256" w:lineRule="auto"/>
        <w:rPr>
          <w:sz w:val="20"/>
          <w:szCs w:val="20"/>
          <w:color w:val="auto"/>
        </w:rPr>
      </w:pPr>
      <w:r>
        <w:rPr>
          <w:rFonts w:ascii="Arial" w:cs="Arial" w:eastAsia="Arial" w:hAnsi="Arial"/>
          <w:sz w:val="18"/>
          <w:szCs w:val="18"/>
          <w:color w:val="auto"/>
        </w:rPr>
        <w:t>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RPL554.</w:t>
      </w: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we experience delays in the completion of any clinical trial of RPL554 or any clinical trial of RPL554 is terminated, the commercial prospects of RPL554 may be harmed, and our ability to generate product revenues from RPL554, if any, will be delayed. Moreover, any delays in completing our clinical trials will increase our costs, slow down the development and approval process of RPL554 and jeopardize our ability to commence product sales and generate revenue, if any. Significant clinical trial delays could also allow our competitors to bring products to market before we do or shorten any periods during which we have the exclusive right to commercialize RPL554 and could impair our ability to commercialize RPL554. In addition, many of the factors that cause, or lead to, a delay in the commencement or completion of clinical trials may also ultimately lead to the denial of regulatory approval of RPL554.</w:t>
      </w:r>
    </w:p>
    <w:p>
      <w:pPr>
        <w:spacing w:after="0" w:line="26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RPL554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RPL554 may have serious adverse, undesirable or unacceptable side effects which may delay or prevent marketing approval. If such side effects are identified during the development of RPL554 or following approval, if any, we may need to abandon our development of RPL554, the commercial profile of any approved label may be limited, or we may be subject to other significant negative consequences following marketing approval, if any.</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Undesirable side effects that may be caused by RPL554 could cause us or regulatory authorities to interrupt, delay or halt clinical trials and could result in a more restrictive label or the delay or denial of regulatory approval by the FDA, EMA or other comparable foreign authorities. We have completed patient enrollment in twelve Phase 1 and 2 clinical trials of RPL554; ten of these have been reported, one is expected to report late in the first quarter of 2018 and the other is expected to report early in the second quarter of 2018. In the trials which have reported to date, which were all Phase 1 or Phase 2a studies, some patients have experienced mild to moderate adverse reactions, including headache, dizziness, cough, heart palpitation, nausea, dry mouth, throat irritation, paresthesia (tingling) and rash. 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RPL554 for any or all targeted indications. The drug-related side effects could affect patient recruitment or the ability of enrolled patients to complete the trial or result in potential product liability claims. Additionally, if RPL554 receives marketing approval and we or others later identify undesirable or unacceptable side effects caused by RPL554, a number of potentially significant negative consequences could result, including:</w:t>
      </w:r>
    </w:p>
    <w:p>
      <w:pPr>
        <w:spacing w:after="0" w:line="2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RPL554 off the market;</w:t>
      </w:r>
    </w:p>
    <w:p>
      <w:pPr>
        <w:spacing w:after="0" w:line="14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15"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RPL554 outweigh its risks;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7" w:right="239" w:bottom="1440" w:gutter="0" w:footer="0" w:header="0"/>
        </w:sectPr>
      </w:pPr>
    </w:p>
    <w:bookmarkStart w:id="14" w:name="page15"/>
    <w:bookmarkEnd w:id="14"/>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RPL554 is administered, conduct additional clinical trials or change the labeling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RPL554 may decrease significantly;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RPL554 or could substantially increase commercialization costs and expenses, which in turn could delay or prevent us from generating significant revenue from the sale of RPL554.</w:t>
      </w:r>
    </w:p>
    <w:p>
      <w:pPr>
        <w:spacing w:after="0" w:line="23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We depend on enrollment of patients in our clinical trials for RPL554. If we are unable to enroll patients in our clinical trials, or enrollment is slower than anticipated, our research and development efforts could be adversely affected.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Successful and timely completion of clinical trials for RPL554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RPL554 will increase our costs, slow down our development and approval of RPL554 and delay or potentially jeopardize our ability to commence product sales and generate revenue. In addition, some of the factors that cause, or lead to, a delay in the commencement or completion of clinical trials may also ultimately lead to the denial of regulatory approval of RPL554.</w:t>
      </w:r>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RPL554 in the clinic or at the commercial stage, and our product liability insurance may not cover all damages from such claims.</w:t>
      </w:r>
    </w:p>
    <w:p>
      <w:pPr>
        <w:spacing w:after="0" w:line="22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RPL554 by us and any collaborators in clinical trials, and the sale of RPL554, if approved, in the future, may expose us to liability claims. These claims might be made by patients that use the product, healthcare providers, pharmaceutical companies, our collaborators or others selling RPL554. Any claims against us, regardless of their merit, could be difficult and costly to defend and could adversely affect the market for RPL554 or any prospects for commercialization of RPL554. In addition, regardless of the merits or eventual outcome, liability claims may result in:</w:t>
      </w:r>
    </w:p>
    <w:p>
      <w:pPr>
        <w:spacing w:after="0" w:line="2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or promote RPL554.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17" w:right="2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RPL554 were to cause adverse side effects during clinical trials or after approval, we may be exposed to substantial liabilities. Physicians and patients may not comply with any warnings that identify known potential adverse effects and patients who should not use RPL554.</w:t>
      </w:r>
    </w:p>
    <w:p>
      <w:pPr>
        <w:spacing w:after="0" w:line="2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maintain product liability insurance for RPL554, it is possible that our liabilities could exceed our insurance coverage. We intend to expand our insurance coverage to include the sale of commercial products if we obtain marketing approval for RPL554.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38"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The regulatory approval processes of the FDA, the EMA and comparable foreign authorities are lengthy, time consuming and inherently unpredictable, and if we are ultimately unable to obtain regulatory approval for RPL554, our business will be substantially harmed.</w:t>
      </w:r>
    </w:p>
    <w:p>
      <w:pPr>
        <w:spacing w:after="0" w:line="2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RPL554 and it is possible that RPL554 or any product candidates we may develop in the future will never obtain regulatory approval.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RPL554 could fail to receive regulatory approval for many reasons, including the following:</w:t>
      </w:r>
    </w:p>
    <w:p>
      <w:pPr>
        <w:spacing w:after="0" w:line="279" w:lineRule="exact"/>
        <w:rPr>
          <w:sz w:val="20"/>
          <w:szCs w:val="20"/>
          <w:color w:val="auto"/>
        </w:rPr>
      </w:pPr>
    </w:p>
    <w:p>
      <w:pPr>
        <w:ind w:left="660" w:right="1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RPL554 is safe and effective, with the required level of statistical significance, for its proposed indication;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RPL554's clinical and other benefits outweigh its safety risks;</w:t>
      </w:r>
    </w:p>
    <w:p>
      <w:pPr>
        <w:spacing w:after="0" w:line="14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115"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RPL554 may, for other reasons, not be sufficient to support the submission of an NDA in the United States, an MMA in the EU, or other comparable submission to obtain regulatory approval in other countries;</w:t>
      </w:r>
    </w:p>
    <w:p>
      <w:pPr>
        <w:spacing w:after="0" w:line="11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w:t>
      </w:r>
    </w:p>
    <w:p>
      <w:pPr>
        <w:spacing w:after="0" w:line="115"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RPL554. The FDA, the EMA and other regulatory authorities have substantial discretion in the approval process, and determining when or whether regulatory approval will be obtained for RPL554. Even if we believe the data collected from clinical trials of RPL554 are promising, such data may not be sufficient to support approval by the FDA, the EMA or any other regulatory authority.</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RPL554 for fewer or more limited indications than we request, may not approve the price we intend to charge for RPL554, may grant approval contingent on the performance of costly post-marketing clinical trials, or may approve RPL554 with a label that does not include the labeling claims necessary or desirable for the successful commercialization of RPL554. Any of the foregoing scenarios could materially harm the commercial prospects for RPL554.</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17" w:right="259" w:bottom="1440" w:gutter="0" w:footer="0" w:header="0"/>
        </w:sectPr>
      </w:pPr>
    </w:p>
    <w:bookmarkStart w:id="16" w:name="page17"/>
    <w:bookmarkEnd w:id="16"/>
    <w:p>
      <w:pPr>
        <w:ind w:right="120"/>
        <w:spacing w:after="0" w:line="262" w:lineRule="auto"/>
        <w:rPr>
          <w:sz w:val="20"/>
          <w:szCs w:val="20"/>
          <w:color w:val="auto"/>
        </w:rPr>
      </w:pPr>
      <w:r>
        <w:rPr>
          <w:rFonts w:ascii="Arial" w:cs="Arial" w:eastAsia="Arial" w:hAnsi="Arial"/>
          <w:sz w:val="18"/>
          <w:szCs w:val="18"/>
          <w:b w:val="1"/>
          <w:bCs w:val="1"/>
          <w:color w:val="auto"/>
        </w:rPr>
        <w:t>Even if RPL554 obtains regulatory approval, we will be subject to ongoing obligations and continued regulatory review, which may result in significant additional expense. Additionally, RPL554, if approved, could be subject to labeling and other restrictions and market withdrawal and we may be subject to penalties if we fail to comply with regulatory requirements or experience unanticipated problems with RPL554.</w:t>
      </w:r>
    </w:p>
    <w:p>
      <w:pPr>
        <w:spacing w:after="0" w:line="2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the FDA, the EMA or a comparable foreign regulatory authority approves RPL554, the manufacturing processes, labeling, packaging, distribution, adverse event reporting, storage, advertising, promotion and record-keeping for RPL554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RPL554 and GCP requirements for any clinical trials that we conduct post-approval, all of which may result in significant expense and limit our ability to commercialize RPL554. We and our contract manufacturers will also be subject to periodic inspection by the FDA, the EMA and other regulatory authorities to monitor compliance with these requirements and the terms of any product approval we may obtain. In addition, any regulatory approvals that we receive for RPL554 may also be subject to limitations on the approved indicated uses for which RPL554 may be marketed or to the conditions of approval, or contain requirements for potentially costly post-marketing testing, including Phase 4 clinical trials, and surveillance to monitor the safety and efficacy of RPL554.</w:t>
      </w:r>
    </w:p>
    <w:p>
      <w:pPr>
        <w:spacing w:after="0" w:line="26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If problems are discovered with a product or the manufacture of RPL554, or if we or one of our distributors, licensees or co-marketers fails to comply with regulatory requirements, the regulators could take various actions. These include imposing fines on us, imposing restrictions on RPL554 or its manufacture and requiring us to recall or remove RPL554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RPL554 may be impaired, and we may incur substantial additional expense to comply with regulatory requirements.</w:t>
      </w: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develop RPL554 for multiple indications, including CF or other respiratory diseases.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Part of our strategy is to continue to develop RPL554 in indications other than COPD such as CF. Although our research and development efforts to date have suggested that RPL554 has the potential to treat CF, we may not be able to develop RPL554 in CF or any other disease, or development may not be successful. In addition, the potential use of RPL554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RPL554 for multiple indications, we will face difficulty in obtaining product revenues in future periods, which could significantly harm our financial position.</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Even if we obtain marketing approval of RPL554 for any indication in a major pharmaceutical market such as the United States or EU, we may never obtain approval or commercialize RPL554 in other major markets, which would limit our ability to realize its full market potential.</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95" w:right="259" w:bottom="1440" w:gutter="0" w:footer="0" w:header="0"/>
        </w:sectPr>
      </w:pPr>
    </w:p>
    <w:bookmarkStart w:id="17" w:name="page18"/>
    <w:bookmarkEnd w:id="17"/>
    <w:p>
      <w:pPr>
        <w:ind w:right="60"/>
        <w:spacing w:after="0" w:line="251" w:lineRule="auto"/>
        <w:rPr>
          <w:sz w:val="20"/>
          <w:szCs w:val="20"/>
          <w:color w:val="auto"/>
        </w:rPr>
      </w:pPr>
      <w:r>
        <w:rPr>
          <w:rFonts w:ascii="Arial" w:cs="Arial" w:eastAsia="Arial" w:hAnsi="Arial"/>
          <w:sz w:val="18"/>
          <w:szCs w:val="18"/>
          <w:color w:val="auto"/>
        </w:rPr>
        <w:t>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RPL554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RPL554 will be compromised.</w:t>
      </w:r>
    </w:p>
    <w:p>
      <w:pPr>
        <w:spacing w:after="0" w:line="24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EU rules and regulations and other similar regulatory requirements, including those laws that require the reporting of true, complete and accurate information to such authorities;</w:t>
      </w:r>
    </w:p>
    <w:p>
      <w:pPr>
        <w:spacing w:after="0" w:line="2" w:lineRule="exact"/>
        <w:rPr>
          <w:sz w:val="20"/>
          <w:szCs w:val="20"/>
          <w:color w:val="auto"/>
        </w:rPr>
      </w:pPr>
    </w:p>
    <w:p>
      <w:pPr>
        <w:ind w:firstLine="8"/>
        <w:spacing w:after="0" w:line="251" w:lineRule="auto"/>
        <w:tabs>
          <w:tab w:leader="none" w:pos="2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standards; (iii) federal and state data privacy,security,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other sanctions, contractual damages, reputational harm, diminished profits and future earnings, and curtailment of our operations.</w:t>
      </w:r>
    </w:p>
    <w:p>
      <w:pPr>
        <w:spacing w:after="0" w:line="24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7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Enacted and future legislation may increase the difficulty and cost for us to obtain marketing approval of and commercialize RPL554 and may affect the prices we may set.</w:t>
      </w:r>
    </w:p>
    <w:p>
      <w:pPr>
        <w:spacing w:after="0" w:line="22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17" w:right="239" w:bottom="1440" w:gutter="0" w:footer="0" w:header="0"/>
        </w:sectPr>
      </w:pPr>
    </w:p>
    <w:bookmarkStart w:id="18" w:name="page19"/>
    <w:bookmarkEnd w:id="18"/>
    <w:p>
      <w:pPr>
        <w:ind w:right="20"/>
        <w:spacing w:after="0" w:line="253" w:lineRule="auto"/>
        <w:rPr>
          <w:sz w:val="20"/>
          <w:szCs w:val="20"/>
          <w:color w:val="auto"/>
        </w:rPr>
      </w:pPr>
      <w:r>
        <w:rPr>
          <w:rFonts w:ascii="Arial" w:cs="Arial" w:eastAsia="Arial" w:hAnsi="Arial"/>
          <w:sz w:val="18"/>
          <w:szCs w:val="18"/>
          <w:color w:val="auto"/>
        </w:rPr>
        <w:t>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260" w:lineRule="exact"/>
        <w:rPr>
          <w:sz w:val="20"/>
          <w:szCs w:val="20"/>
          <w:color w:val="auto"/>
        </w:rPr>
      </w:pPr>
    </w:p>
    <w:p>
      <w:pPr>
        <w:ind w:left="660" w:right="480" w:hanging="328"/>
        <w:spacing w:after="0" w:line="29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93"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20" w:lineRule="exact"/>
        <w:rPr>
          <w:rFonts w:ascii="Arial" w:cs="Arial" w:eastAsia="Arial" w:hAnsi="Arial"/>
          <w:sz w:val="18"/>
          <w:szCs w:val="18"/>
          <w:color w:val="auto"/>
        </w:rPr>
      </w:pPr>
    </w:p>
    <w:p>
      <w:pPr>
        <w:ind w:left="660" w:right="24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2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15"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5" w:lineRule="exact"/>
        <w:rPr>
          <w:rFonts w:ascii="Arial" w:cs="Arial" w:eastAsia="Arial" w:hAnsi="Arial"/>
          <w:sz w:val="18"/>
          <w:szCs w:val="18"/>
          <w:color w:val="auto"/>
        </w:rPr>
      </w:pPr>
    </w:p>
    <w:p>
      <w:pPr>
        <w:ind w:left="660" w:right="7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1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20"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5"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once empanelled, will have the authority to recommend certain changes to the Medicare program that could result in reduced payments for prescription drugs and those recommendations could have the effect of law unless overruled by a supermajority vote of Congress; and</w:t>
      </w:r>
    </w:p>
    <w:p>
      <w:pPr>
        <w:spacing w:after="0" w:line="120" w:lineRule="exact"/>
        <w:rPr>
          <w:rFonts w:ascii="Arial" w:cs="Arial" w:eastAsia="Arial" w:hAnsi="Arial"/>
          <w:sz w:val="18"/>
          <w:szCs w:val="18"/>
          <w:color w:val="auto"/>
        </w:rPr>
      </w:pPr>
    </w:p>
    <w:p>
      <w:pPr>
        <w:ind w:left="660" w:right="500" w:hanging="328"/>
        <w:spacing w:after="0" w:line="29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It is uncertain the extent to which any such changes may impact our business or financial condition.</w:t>
      </w: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17" w:right="279" w:bottom="1440" w:gutter="0" w:footer="0" w:header="0"/>
        </w:sectPr>
      </w:pPr>
    </w:p>
    <w:bookmarkStart w:id="19" w:name="page20"/>
    <w:bookmarkEnd w:id="19"/>
    <w:p>
      <w:pPr>
        <w:ind w:right="60"/>
        <w:spacing w:after="0" w:line="252"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The U.S. Department of Health and Human Services, or HHS, has set a goal of moving 30% of Medicare payments to alternative payment models by 2016 and 50% of Medicare payments into these alternative payment models by the end of 2018.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RPL554 or additional pricing pressures.</w:t>
      </w:r>
    </w:p>
    <w:p>
      <w:pPr>
        <w:spacing w:after="0" w:line="2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RPL554 or put pressure on our product pricing.</w:t>
      </w:r>
    </w:p>
    <w:p>
      <w:pPr>
        <w:spacing w:after="0" w:line="26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RPL554,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RPL554, restrict or regulate post-approval activities and affect our ability to commercialize RPL554, if approved. In international markets, reimbursement and healthcare payment systems vary significantly by country, and many countries have instituted price ceilings on specific products and therapies.</w:t>
      </w: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RPL554 may lose any regulatory approval that may have been obtained and we may not achieve or sustain profitability.</w:t>
      </w:r>
    </w:p>
    <w:p>
      <w:pPr>
        <w:spacing w:after="0" w:line="2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Our business operations and current and future relationships with investigators, health care professionals, consultants, third-party payors and customers will be subject to applicable healthcare regulatory laws, which could expose us to penalties.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RPL554, if approved. Such laws include:</w:t>
      </w:r>
    </w:p>
    <w:p>
      <w:pPr>
        <w:spacing w:after="0" w:line="258" w:lineRule="exact"/>
        <w:rPr>
          <w:sz w:val="20"/>
          <w:szCs w:val="20"/>
          <w:color w:val="auto"/>
        </w:rPr>
      </w:pPr>
    </w:p>
    <w:p>
      <w:pPr>
        <w:ind w:left="660" w:hanging="328"/>
        <w:spacing w:after="0" w:line="25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27"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17" w:right="239" w:bottom="1440" w:gutter="0" w:footer="0" w:header="0"/>
        </w:sectPr>
      </w:pPr>
    </w:p>
    <w:bookmarkStart w:id="20" w:name="page21"/>
    <w:bookmarkEnd w:id="20"/>
    <w:p>
      <w:pPr>
        <w:ind w:left="660" w:right="20"/>
        <w:spacing w:after="0" w:line="300" w:lineRule="auto"/>
        <w:rPr>
          <w:sz w:val="20"/>
          <w:szCs w:val="20"/>
          <w:color w:val="auto"/>
        </w:rPr>
      </w:pPr>
      <w:r>
        <w:rPr>
          <w:rFonts w:ascii="Arial" w:cs="Arial" w:eastAsia="Arial" w:hAnsi="Arial"/>
          <w:sz w:val="18"/>
          <w:szCs w:val="18"/>
          <w:color w:val="auto"/>
        </w:rPr>
        <w:t>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97" w:lineRule="exact"/>
        <w:rPr>
          <w:sz w:val="20"/>
          <w:szCs w:val="20"/>
          <w:color w:val="auto"/>
        </w:rPr>
      </w:pPr>
    </w:p>
    <w:p>
      <w:pPr>
        <w:ind w:left="660" w:right="4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4"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124"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15"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27" w:lineRule="exact"/>
        <w:rPr>
          <w:rFonts w:ascii="Arial" w:cs="Arial" w:eastAsia="Arial" w:hAnsi="Arial"/>
          <w:sz w:val="18"/>
          <w:szCs w:val="18"/>
          <w:color w:val="auto"/>
        </w:rPr>
      </w:pPr>
    </w:p>
    <w:p>
      <w:pPr>
        <w:ind w:left="660" w:right="60" w:hanging="328"/>
        <w:spacing w:after="0" w:line="25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31"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1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44" w:right="259" w:bottom="1440" w:gutter="0" w:footer="0" w:header="0"/>
        </w:sectPr>
      </w:pPr>
    </w:p>
    <w:bookmarkStart w:id="21" w:name="page22"/>
    <w:bookmarkEnd w:id="21"/>
    <w:p>
      <w:pPr>
        <w:ind w:right="120"/>
        <w:spacing w:after="0" w:line="262" w:lineRule="auto"/>
        <w:rPr>
          <w:sz w:val="20"/>
          <w:szCs w:val="20"/>
          <w:color w:val="auto"/>
        </w:rPr>
      </w:pPr>
      <w:r>
        <w:rPr>
          <w:rFonts w:ascii="Arial" w:cs="Arial" w:eastAsia="Arial" w:hAnsi="Arial"/>
          <w:sz w:val="18"/>
          <w:szCs w:val="18"/>
          <w:color w:val="auto"/>
        </w:rPr>
        <w:t>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26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236"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6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79"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color w:val="auto"/>
        </w:rPr>
        <w:t>We operate in a highly competitive and rapidly changing industry, which may result in others discovering, developing or commercializing competing products before or more successfully than we do.</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RPL554 is approved for any indication, we will face intense competition from a variety of businesses, including large, fully integrated</w:t>
      </w:r>
    </w:p>
    <w:p>
      <w:pPr>
        <w:sectPr>
          <w:pgSz w:w="11900" w:h="16838" w:orient="portrait"/>
          <w:cols w:equalWidth="0" w:num="1">
            <w:col w:w="11380"/>
          </w:cols>
          <w:pgMar w:left="240" w:top="517" w:right="279" w:bottom="1440" w:gutter="0" w:footer="0" w:header="0"/>
        </w:sect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517" w:right="279" w:bottom="1440" w:gutter="0" w:footer="0" w:header="0"/>
          <w:type w:val="continuous"/>
        </w:sectPr>
      </w:pPr>
    </w:p>
    <w:bookmarkStart w:id="22" w:name="page23"/>
    <w:bookmarkEnd w:id="22"/>
    <w:p>
      <w:pPr>
        <w:ind w:right="100"/>
        <w:spacing w:after="0" w:line="254" w:lineRule="auto"/>
        <w:rPr>
          <w:sz w:val="20"/>
          <w:szCs w:val="20"/>
          <w:color w:val="auto"/>
        </w:rPr>
      </w:pPr>
      <w:r>
        <w:rPr>
          <w:rFonts w:ascii="Arial" w:cs="Arial" w:eastAsia="Arial" w:hAnsi="Arial"/>
          <w:sz w:val="18"/>
          <w:szCs w:val="18"/>
          <w:color w:val="auto"/>
        </w:rPr>
        <w:t>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RPL554.</w:t>
      </w:r>
    </w:p>
    <w:p>
      <w:pPr>
        <w:spacing w:after="0" w:line="25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Given the number of products already on the market to treat COPD and CF, we expect to face intense competition if RPL554 is approved for these indications. Boehringer Ingelheim, GlaxoSmithKline, AstraZeneca, Mylan, Novartis, Vertex and Sunovion currently have treatments on the market for COPD and CF, and we anticipate that new companies will enter these markets in the future. If we successfully develop and commercialize RPL554, it will compete with existing therapies and new therapies that may become available in the future. The highly competitive nature of and rapid technological changes in the biopharmaceutical and pharmaceutical industries could render RPL554 obsolete, less competitive or uneconomical. Our competitors may, among other things:</w:t>
      </w:r>
    </w:p>
    <w:p>
      <w:pPr>
        <w:spacing w:after="0" w:line="263" w:lineRule="exact"/>
        <w:rPr>
          <w:sz w:val="20"/>
          <w:szCs w:val="20"/>
          <w:color w:val="auto"/>
        </w:rPr>
      </w:pPr>
    </w:p>
    <w:p>
      <w:pPr>
        <w:ind w:left="660" w:right="28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20"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effects;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competing for other customers, for clinical trials, as well as in acquiring technologies complementary to, or necessary for, our programs. In addition, our collaborators, if any, may decide to market and sell products that compete with RPL554. Our commercial opportunity could be reduced or eliminated if our competitors develop and commercialize products that are more effective, have fewer or less severe side effects, are more convenient or are less expensive than RPL554. Our competitors may also obtain FDA or other regulatory approval for their products more rapidly than we may obtain approval for ours, which could result in our competitors establishing or strengthening their market position before we are able to enter the market.</w:t>
      </w:r>
    </w:p>
    <w:p>
      <w:pPr>
        <w:spacing w:after="0" w:line="238"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We may be unable to obtain orphan drug designation from the FDA or EU for RPL554 for the treatment of CF, and even if we do obtain such designations, we may be unable to obtain or maintain the benefits associated with orphan drug designation, including the potential for orphan drug exclusivity.</w:t>
      </w:r>
    </w:p>
    <w:p>
      <w:pPr>
        <w:spacing w:after="0" w:line="2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17" w:right="259" w:bottom="1440" w:gutter="0" w:footer="0" w:header="0"/>
        </w:sectPr>
      </w:pPr>
    </w:p>
    <w:bookmarkStart w:id="23" w:name="page24"/>
    <w:bookmarkEnd w:id="23"/>
    <w:p>
      <w:pPr>
        <w:ind w:right="40"/>
        <w:spacing w:after="0" w:line="252" w:lineRule="auto"/>
        <w:rPr>
          <w:sz w:val="20"/>
          <w:szCs w:val="20"/>
          <w:color w:val="auto"/>
        </w:rPr>
      </w:pPr>
      <w:r>
        <w:rPr>
          <w:rFonts w:ascii="Arial" w:cs="Arial" w:eastAsia="Arial" w:hAnsi="Arial"/>
          <w:sz w:val="18"/>
          <w:szCs w:val="18"/>
          <w:color w:val="auto"/>
        </w:rPr>
        <w:t>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plan to seek orphan drug designation from the FDA and the EMA for RPL554 for the treatment of CF. Even if we are able to obtain orphan designation for RPL554 in the United States and/or the EU, we may not be the first to obtain marketing approval for any particular orphan indication due to the uncertainties associated with developing pharmaceutical products, which could prevent us from marketing RPL554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RPL554, that exclusivity may not effectively protect RPL554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RPL554 for the treatment of CF, we may never receive such designation.</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response to lawsuits against the FDA in 2014 and 2016, Congress included a provision in the Food and Drug Administration Reauthorization Act, or FDARA, enacted in August 2017, that amended the FDCA to require that, as a condition to awarding exclusivity to a designated orphan drug that is the same as a previously approved drug, such drug must demonstrate clinical superiority over the previously approved drug upon approval. In the future, there is the potential for additional legal challenges to the FDA's orphan drug framework, and it is uncertain how new challenges, regulations, or Congressional actions in the orphan drug space might affect our business.</w:t>
      </w:r>
    </w:p>
    <w:p>
      <w:pPr>
        <w:spacing w:after="0" w:line="2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The successful commercialization of RPL554 will depend in part on the extent to which governmental authorities and health insurers establish adequate coverage, reimbursement levels and pricing policies. Failure to obtain or maintain adequate coverage and reimbursement for RPL554, if approved, could limit our ability to market those products and decrease our ability to generate revenue.</w:t>
      </w:r>
    </w:p>
    <w:p>
      <w:pPr>
        <w:spacing w:after="0" w:line="2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RPL554, assuming approval. Our ability to achieve acceptable levels of coverage and reimbursement for products by governmental authorities, private health insurers and other organizations will have an effect on our ability to successfully commercialize RPL554. Assuming we obtain coverage for RPL554 by a third-party payor, the resulting reimbursement payment rates may not be adequate or may require co-payments that patients find unacceptably high. We cannot be sure that coverage and reimbursement in the United States, the EU or elsewhere will be available for RPL554 or any product that we may develop, and any reimbursement that may become available may be decreased or eliminated in the future.</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RPL554 as substitutable and only offer to reimburse patients for the less expensive product. Even if we show improved efficacy or improved convenience of administration with RPL554, pricing of existing drugs may limit the amount we will be able to charge for RPL554. These payors may deny or revoke the reimbursement status of a given product or establish prices for new or existing marketed products at levels that are too low to enable us to realize an appropriate return on our investment in RPL554. If reimbursement is not available or is available only at limited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1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levels, we may not be able to successfully commercialize RPL554, and may not be able to obtain a satisfactory financial return on RPL554.</w:t>
      </w:r>
    </w:p>
    <w:p>
      <w:pPr>
        <w:spacing w:after="0" w:line="27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RPL554.</w:t>
      </w:r>
    </w:p>
    <w:p>
      <w:pPr>
        <w:spacing w:after="0" w:line="2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RPL554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RPL554.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RPL554. Accordingly, in markets outside the United States, the reimbursement for RPL554 may be reduced compared with the United States and may be insufficient to generate commercially reasonable revenue and profits.</w:t>
      </w:r>
    </w:p>
    <w:p>
      <w:pPr>
        <w:spacing w:after="0" w:line="26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RPL554. We expect to experience pricing pressures in connection with the sale of RPL554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may not gain market acceptance, in which case our ability to generate product revenues will be compromised.</w:t>
      </w:r>
    </w:p>
    <w:p>
      <w:pPr>
        <w:spacing w:after="0" w:line="3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Even if the FDA, the EMA or any other regulatory authority approves the marketing of RPL554, whether developed on our own or with a collaborator, physicians, healthcare providers, patients or the medical community may not accept or use RPL554. If RPL554 does not achieve an adequate level of acceptance, we may not generate significant product revenues or any profits from operations. The degree of market acceptance of RPL554 will depend on a variety of factors, including:</w:t>
      </w:r>
    </w:p>
    <w:p>
      <w:pPr>
        <w:spacing w:after="0" w:line="2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RPL554 is approved;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frequency, and ease of administration;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17" w:right="259" w:bottom="1440" w:gutter="0" w:footer="0" w:header="0"/>
        </w:sectPr>
      </w:pPr>
    </w:p>
    <w:bookmarkStart w:id="25" w:name="page26"/>
    <w:bookmarkEnd w:id="25"/>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44"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14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If RPL554 fails to gain market acceptance, this will adversely impact on our ability to generate revenues. Even if RPL554 achieves market acceptance, the market may prove not to be large enough to allow us to generate significant revenues.</w:t>
      </w:r>
    </w:p>
    <w:p>
      <w:pPr>
        <w:spacing w:after="0" w:line="2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We currently have no marketing, sales or distribution infrastructure. If we are unable to develop sales, marketing and distribution capabilities on our own or through collaborations, we may not be successful in commercializing RPL554.</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RPL554 is approved, we intend either to establish a sales and marketing organization with technical expertise and supporting distribution capabilities to commercialize RPL554, or to outsource this function to a third party. Either of these options would be expensive and time-consuming. Some or all of these costs may be incurred in advance of any approval of RPL554.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RPL554.</w:t>
      </w:r>
    </w:p>
    <w:p>
      <w:pPr>
        <w:spacing w:after="0" w:line="2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RPL554,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RPL554. If we are not successful in commercializing RPL554, either on our own or through collaborations with one or more third parties, our future product revenue will suffer and we may incur significant additional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RPL554 and our business could be substantially harmed.</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26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RPL554 and clinical trials. If independent investigators or CROs fail to devote sufficient resources to the development of RPL554, or if their performance is substandard, it may delay or compromise the prospects for approval and commercialization of RPL554. In addition,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17" w:right="279" w:bottom="1440" w:gutter="0" w:footer="0" w:header="0"/>
        </w:sectPr>
      </w:pPr>
    </w:p>
    <w:bookmarkStart w:id="26" w:name="page27"/>
    <w:bookmarkEnd w:id="26"/>
    <w:p>
      <w:pPr>
        <w:ind w:right="300"/>
        <w:spacing w:after="0" w:line="262" w:lineRule="auto"/>
        <w:rPr>
          <w:sz w:val="20"/>
          <w:szCs w:val="20"/>
          <w:color w:val="auto"/>
        </w:rPr>
      </w:pPr>
      <w:r>
        <w:rPr>
          <w:rFonts w:ascii="Arial" w:cs="Arial" w:eastAsia="Arial" w:hAnsi="Arial"/>
          <w:sz w:val="18"/>
          <w:szCs w:val="18"/>
          <w:color w:val="auto"/>
        </w:rPr>
        <w:t>the use of third-party service providers requires us to disclose our proprietary information to these parties, which could increase the risk that this information will be misappropriated.</w:t>
      </w:r>
    </w:p>
    <w:p>
      <w:pPr>
        <w:spacing w:after="0" w:line="2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RPL554. As a result, our results of operations and the commercial prospects for RPL554 would be harmed, our costs could increase and our ability to generate revenues could be delayed.</w:t>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could occur, which could materially impact our ability to meet our desired clinical development timelines.</w:t>
      </w:r>
    </w:p>
    <w:p>
      <w:pPr>
        <w:spacing w:after="0" w:line="23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If we fail to enter into new strategic relationships for RPL554, our business, research and development and commercialization prospects could be adversely affected.</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development program for RPL554 and the potential commercialization of RPL554 will require substantial additional cash to fund expenses. Therefore, we may decide to enter into collaborations with pharmaceutical or biopharmaceutical companies for the development and potential commercialization of RPL554. For example, we may seek a collaborator for development of a DPI or pMDI formulation of RPL554 for the maintenance treatment of COPD and potentially asthma and other respiratory diseases.</w:t>
      </w:r>
    </w:p>
    <w:p>
      <w:pPr>
        <w:spacing w:after="0" w:line="2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RPL554,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RPL554 to market and generate product revenue. If we do enter into a collaboration agreement, we could be subject to the following risks, among others:</w:t>
      </w:r>
    </w:p>
    <w:p>
      <w:pPr>
        <w:spacing w:after="0" w:line="26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144"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11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1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collaboration may not provide sufficient funds to be profitable for us after we fulfill our payment obligations under our agreement with Vernalis Development Limited, or Vernalis.</w:t>
      </w:r>
    </w:p>
    <w:p>
      <w:pPr>
        <w:spacing w:after="0" w:line="9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We currently rely on third-party manufacturers and suppliers for production of RPL554. Our dependence on these third parties may impair the advancement of our research and development programs and the development of RPL554. Moreover, we intend to rely on third parties to produce commercial supplies of RPL554, if approved, and commercialization could be stopped, delayed or made less profitable if those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17" w:right="259" w:bottom="1440" w:gutter="0" w:footer="0" w:header="0"/>
        </w:sectPr>
      </w:pPr>
    </w:p>
    <w:bookmarkStart w:id="27" w:name="page28"/>
    <w:bookmarkEnd w:id="27"/>
    <w:p>
      <w:pPr>
        <w:ind w:right="380"/>
        <w:spacing w:after="0" w:line="269" w:lineRule="auto"/>
        <w:rPr>
          <w:sz w:val="20"/>
          <w:szCs w:val="20"/>
          <w:color w:val="auto"/>
        </w:rPr>
      </w:pPr>
      <w:r>
        <w:rPr>
          <w:rFonts w:ascii="Arial" w:cs="Arial" w:eastAsia="Arial" w:hAnsi="Arial"/>
          <w:sz w:val="18"/>
          <w:szCs w:val="18"/>
          <w:b w:val="1"/>
          <w:bCs w:val="1"/>
          <w:color w:val="auto"/>
        </w:rPr>
        <w:t>third parties fail to obtain approval of the FDA or comparable regulatory authorities, fail to provide us with sufficient quantities of product or fail to do so at acceptable quality levels or prices or fail to otherwise complete their duties in compliance with their obligations to us or other parties.</w:t>
      </w:r>
    </w:p>
    <w:p>
      <w:pPr>
        <w:spacing w:after="0" w:line="2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RPL554. Instead, we rely on and expect to continue to rely on third-party contract manufacturing organizations, or CMOs, for the supply of cGMP-grade clinical trial materials and commercial quantities of RPL554, if approved. While we may contract with other CMOs in the future, we currently contract with only one pharmaceuticals CMO for the manufacture of RPL554 drug substance. For RPL554 drug product in our new nebulized suspension formulation, we currently have one CMO. Reliance on third-party suppliers for RPL554 may expose us to more risk than if we were to manufacture RPL554 ourselves. The facilities used to manufacture RPL554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control the manufacturing process of, and are or will be essentially dependent on, our CMOs for compliance with cGMP requirements for the manufacture of RPL554. If a CMO cannot successfully manufacture material that conforms to our specifications and the regulatory requirements of the FDA or a comparable foreign regulatory authority, it will not be able to secure or maintain regulatory approval for its manufacturing facilities. In addition, we have very little control over the ability of a CMO to maintain adequate quality control, quality assurance and qualified personnel. If the FDA or a comparable foreign regulatory authority does not approve these facilities for the manufacture of RPL554 or if it withdraws any such approval in the future, we may need to find alternative manufacturing facilities, which would delay our development program and significantly impact our ability to develop, obtain regulatory approval for or market RPL554, if approved. In addition, any failure to achieve and maintain compliance with these laws, regulations and standards could subject us to the risk that we may have to suspend the manufacturing of RPL554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RPL554 means that we are subject to the risk that RPL554 may have manufacturing defects that we have limited ability to prevent or control.</w:t>
      </w:r>
    </w:p>
    <w:p>
      <w:pPr>
        <w:spacing w:after="0" w:line="2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RPL554 for our clinical trials. There are a limited number of suppliers for raw materials that we may use to manufacture RPL554 and there may be a need to assess alternate suppliers to prevent a possible disruption of the manufacture of the materials necessary to produce RPL554 for our clinical trials, and if approved, ultimately for commercial sale. Any disruption in our relationship with our current CMOs could have a material impact on our ability to continue our clinical development of RPL554. We do not and will not have any control over the process or timing of the acquisition of these raw materials by any CMO. Moreover, we currently do not have any agreements for the commercial production of these raw materials. Supplies of raw material could be interrupted from time to time and, if interrupted, we cannot be certain that alternative supplies could be obtained within a reasonable timeframe, at an acceptable cost, or at all. Although we generally do not begin a clinical trial unless we believe we have on hand, or will be able to obtain, a sufficient supply of RPL554 to complete the clinical trial, any significant delay in the supply of RPL554, or the raw material components needed to produce RPL554, for an ongoing clinical trial due to the need to replace our CMO or a third-party supplier could considerably delay completion of our clinical trials, product testing and potential regulatory approval of RPL554. If our CMO or we are unable to purchase these raw materials after regulatory approval has been obtained for RPL554, the commercial launch of RPL554 would be delayed or there would be a shortage in supply, which would impair our ability to generate revenues from the sale of RPL554. In addition, growth in the costs and expenses of raw materials may impair our ability to cost-effectively manufacture RPL554.</w:t>
      </w:r>
    </w:p>
    <w:p>
      <w:pPr>
        <w:spacing w:after="0" w:line="26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rely and will rely on CMOs and third-party suppliers to comply with and respect the proprietary rights of others in conducting their contractual obligations for us. If a CMO or third-party suppliers fail to acquire the proper licenses or otherwise infringe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RPL554, if approved.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95" w:right="239" w:bottom="1440" w:gutter="0" w:footer="0" w:header="0"/>
        </w:sectPr>
      </w:pPr>
    </w:p>
    <w:bookmarkStart w:id="28" w:name="page29"/>
    <w:bookmarkEnd w:id="28"/>
    <w:p>
      <w:pPr>
        <w:ind w:right="40"/>
        <w:spacing w:after="0" w:line="269" w:lineRule="auto"/>
        <w:rPr>
          <w:sz w:val="20"/>
          <w:szCs w:val="20"/>
          <w:color w:val="auto"/>
        </w:rPr>
      </w:pPr>
      <w:r>
        <w:rPr>
          <w:rFonts w:ascii="Arial" w:cs="Arial" w:eastAsia="Arial" w:hAnsi="Arial"/>
          <w:sz w:val="18"/>
          <w:szCs w:val="18"/>
          <w:b w:val="1"/>
          <w:bCs w:val="1"/>
          <w:color w:val="auto"/>
        </w:rPr>
        <w:t>We rely on patents and other intellectual property rights to protect RPL554, the enforcement, defense and maintenance of which may be challenging and costly. Failure to enforce or protect these rights adequately could harm our ability to compete and impair our business.</w:t>
      </w:r>
    </w:p>
    <w:p>
      <w:pPr>
        <w:spacing w:after="0" w:line="2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RPL554, formulations of RPL554, polymorphs, salts and analogs of RPL554, methods used to manufacture RPL554, methods for manufacturing of final drug product for different inhalation devices such as nebulizer, DPI, pMDI, and the methods for treating patients with respiratory diseases using RPL554 alone or in combination with other available products, or on in-licensing such rights. Our RPL554 development program relies on the patents and patent applications assigned and know-how licensed from Vernalis Development Limited, or Vernalis.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RPL554.</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RPL554,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RPL554.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manufacture and market RPL554.</w:t>
      </w:r>
    </w:p>
    <w:p>
      <w:pPr>
        <w:spacing w:after="0" w:line="229"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RPL554 in any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95" w:right="239" w:bottom="1440" w:gutter="0" w:footer="0" w:header="0"/>
        </w:sectPr>
      </w:pPr>
    </w:p>
    <w:bookmarkStart w:id="29" w:name="page30"/>
    <w:bookmarkEnd w:id="29"/>
    <w:p>
      <w:pPr>
        <w:ind w:right="40"/>
        <w:spacing w:after="0" w:line="251" w:lineRule="auto"/>
        <w:rPr>
          <w:sz w:val="20"/>
          <w:szCs w:val="20"/>
          <w:color w:val="auto"/>
        </w:rPr>
      </w:pPr>
      <w:r>
        <w:rPr>
          <w:rFonts w:ascii="Arial" w:cs="Arial" w:eastAsia="Arial" w:hAnsi="Arial"/>
          <w:sz w:val="18"/>
          <w:szCs w:val="18"/>
          <w:color w:val="auto"/>
        </w:rPr>
        <w:t>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RPL554 could have been filed by others without our knowledge. Additionally, pending patent applications that have been published can, subject to certain limitations, be later amended in a manner that could cover RPL554 or the use of RPL554.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RPL554. We may incorrectly determine that RPL554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RPL554. Our failure to identify and correctly interpret relevant patents may negatively impact our ability to develop and market RPL554.</w:t>
      </w:r>
    </w:p>
    <w:p>
      <w:pPr>
        <w:spacing w:after="0" w:line="2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RPL554. We might, if possible, also be forced to redesign RPL554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3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We may be involved in lawsuits to protect or enforce patents covering RPL554, which could be expensive, time-consuming and unsuccessful, and issued patents could be found invalid or unenforceable if challenged in court.</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RPL554,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RPL554. Patents and other intellectual property rights also will not protect our technology if competitors design around our protected technology without infringing our patents or other intellectual property rights.</w:t>
      </w:r>
    </w:p>
    <w:p>
      <w:pPr>
        <w:spacing w:after="0" w:line="2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ADSs and ordinary shares.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17" w:right="239" w:bottom="1440" w:gutter="0" w:footer="0" w:header="0"/>
        </w:sectPr>
      </w:pPr>
    </w:p>
    <w:bookmarkStart w:id="30" w:name="page31"/>
    <w:bookmarkEnd w:id="30"/>
    <w:p>
      <w:pPr>
        <w:ind w:right="400"/>
        <w:spacing w:after="0" w:line="287" w:lineRule="auto"/>
        <w:rPr>
          <w:sz w:val="20"/>
          <w:szCs w:val="20"/>
          <w:color w:val="auto"/>
        </w:rPr>
      </w:pPr>
      <w:r>
        <w:rPr>
          <w:rFonts w:ascii="Arial" w:cs="Arial" w:eastAsia="Arial" w:hAnsi="Arial"/>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 Patent and Trademark Office, or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RPL554 may be subject to claims of infringement of the intellectual property rights of third parties.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in the future become party to, or be threatened with, adversarial proceedings or litigation regarding intellectual property rights with respect to our current and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26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RPL554 or from selling, incorporating, manufacturing or using our products in the United States and/or other jurisdictions that use the subject intellectual property. We might, if possible, also be forced to redesign RPL554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95" w:right="239" w:bottom="1440" w:gutter="0" w:footer="0" w:header="0"/>
        </w:sectPr>
      </w:pPr>
    </w:p>
    <w:bookmarkStart w:id="31" w:name="page32"/>
    <w:bookmarkEnd w:id="31"/>
    <w:p>
      <w:pPr>
        <w:spacing w:after="0" w:line="253" w:lineRule="auto"/>
        <w:rPr>
          <w:sz w:val="20"/>
          <w:szCs w:val="20"/>
          <w:color w:val="auto"/>
        </w:rPr>
      </w:pPr>
      <w:r>
        <w:rPr>
          <w:rFonts w:ascii="Arial" w:cs="Arial" w:eastAsia="Arial" w:hAnsi="Arial"/>
          <w:sz w:val="18"/>
          <w:szCs w:val="18"/>
          <w:color w:val="auto"/>
        </w:rPr>
        <w:t>assignment agreements may be breached, or we may have inventorship disputes arise from conflicting obligations of consultants or others who are involved in developing RPL554.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23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we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2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fail to comply with our obligations under our existing and any future intellectual property licenses with third parties, we could lose license rights that are important to our business.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party to a license agreement with Vernalis,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any current or future product candidates. Under our agreement with Vernalis, we may not abandon any of the assigned patents or allow any of the assigned patents to lapse without consent from Vernalis, which is not to be unreasonably delayed or withheld. If we do not obtain such consent in a timely manner or at all and such assigned patent rights lapse or are abandoned, our agreement with Vernalis may be terminated in its entirety. For example, if we decide for commercial reasons to let an assigned patent lapse in a country of little commercial importance, but Vernalis does not provide consent and such patent rights lapse, we may lose all intellectual property rights covering RPL554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24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may not be successful in maintaining necessary rights to RPL554 or obtaining other intellectual property rights important to our business through acquisitions and in-licenses.</w:t>
      </w:r>
    </w:p>
    <w:p>
      <w:pPr>
        <w:spacing w:after="0" w:line="22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RPL554,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RPL554 may require specific formulations to work effectively and the rights to these formulations may be held by others. We may be unable to acquire or in-license any compositions, methods of use, processes, or other third-party intellectual property rights from third parties that we identify as necessary for RPL554.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17" w:right="259" w:bottom="1440" w:gutter="0" w:footer="0" w:header="0"/>
        </w:sectPr>
      </w:pPr>
    </w:p>
    <w:bookmarkStart w:id="32" w:name="page33"/>
    <w:bookmarkEnd w:id="32"/>
    <w:p>
      <w:pPr>
        <w:ind w:right="340"/>
        <w:spacing w:after="0" w:line="262" w:lineRule="auto"/>
        <w:rPr>
          <w:sz w:val="20"/>
          <w:szCs w:val="20"/>
          <w:color w:val="auto"/>
        </w:rPr>
      </w:pPr>
      <w:r>
        <w:rPr>
          <w:rFonts w:ascii="Arial" w:cs="Arial" w:eastAsia="Arial" w:hAnsi="Arial"/>
          <w:sz w:val="18"/>
          <w:szCs w:val="18"/>
          <w:color w:val="auto"/>
        </w:rPr>
        <w:t>rights necessary for the development of RPL554 or a development program on acceptable terms, we may have to abandon development of RPL554 or that development program.</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competitive position may be adversely affected.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2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If we do not obtain protection under the Hatch-Waxman Amendments and similar non-U.S. legislation for extending the term of patents covering RPL554 and any other product candidates, our ability to compete effectively could be impaired.</w:t>
      </w:r>
    </w:p>
    <w:p>
      <w:pPr>
        <w:spacing w:after="0" w:line="22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RPL554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RPL554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6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Depending upon the timing, duration and conditions of FDA marketing approval of RPL554,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We enjoy only limited geographical protection with respect to certain patents and may face difficulties in certain jurisdictions, which may diminish the value of intellectual property rights in those jurisdictions.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twelve months after the priority filing. Based on the PCT filing, national and regional patent applications may be filed in additional jurisdictions where we believe RPL554 may be marketed or manufactured. We have so far not filed for patent protection in all national and regional jurisdictions where such protection may be available. Filing, prosecuting and defending patents covering RPL554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17" w:right="239" w:bottom="1440" w:gutter="0" w:footer="0" w:header="0"/>
        </w:sectPr>
      </w:pPr>
    </w:p>
    <w:bookmarkStart w:id="33" w:name="page34"/>
    <w:bookmarkEnd w:id="33"/>
    <w:p>
      <w:pPr>
        <w:ind w:right="180"/>
        <w:spacing w:after="0" w:line="254" w:lineRule="auto"/>
        <w:rPr>
          <w:sz w:val="20"/>
          <w:szCs w:val="20"/>
          <w:color w:val="auto"/>
        </w:rPr>
      </w:pPr>
      <w:r>
        <w:rPr>
          <w:rFonts w:ascii="Arial" w:cs="Arial" w:eastAsia="Arial" w:hAnsi="Arial"/>
          <w:sz w:val="18"/>
          <w:szCs w:val="18"/>
          <w:color w:val="auto"/>
        </w:rPr>
        <w:t>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2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RPL554, and our and our licensors' or collaborators' patents or other intellectual property rights may not be effective or sufficient to prevent them from competing.</w:t>
      </w: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RPL554. Accordingly, our efforts to protect our intellectual property rights in such countries may be inadequate, which may have an adverse effect on our ability to successfully commercialize RPL554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do not necessarily address all potential threats to our competitive advantage.</w:t>
      </w:r>
    </w:p>
    <w:p>
      <w:pPr>
        <w:spacing w:after="0" w:line="3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50" w:lineRule="exact"/>
        <w:rPr>
          <w:sz w:val="20"/>
          <w:szCs w:val="20"/>
          <w:color w:val="auto"/>
        </w:rPr>
      </w:pPr>
    </w:p>
    <w:p>
      <w:pPr>
        <w:ind w:left="660" w:right="60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RPL554 but that are not covered by the claims of the patents that we own or have exclusively licensed.</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RPL554.</w:t>
      </w:r>
    </w:p>
    <w:p>
      <w:pPr>
        <w:spacing w:after="0" w:line="279"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250"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file patent applications covering certain of our inventions.</w:t>
      </w:r>
    </w:p>
    <w:p>
      <w:pPr>
        <w:spacing w:after="0" w:line="250"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79"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ectPr>
          <w:pgSz w:w="11900" w:h="16838" w:orient="portrait"/>
          <w:cols w:equalWidth="0" w:num="1">
            <w:col w:w="11420"/>
          </w:cols>
          <w:pgMar w:left="240" w:top="517"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17" w:right="239" w:bottom="1440" w:gutter="0" w:footer="0" w:header="0"/>
          <w:type w:val="continuous"/>
        </w:sectPr>
      </w:pPr>
    </w:p>
    <w:bookmarkStart w:id="34" w:name="page35"/>
    <w:bookmarkEnd w:id="34"/>
    <w:p>
      <w:pPr>
        <w:ind w:left="660" w:right="14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50"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25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Changes in patent laws or patent jurisprudence could diminish the value of patents in general, thereby impairing our ability to protect RPL554 or any future product candidates.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time-consuming and inherently uncertain. In addition, the America Invents Act, or the AIA, which was passed in September 16, 2011, resulted in significant changes to the U.S. patent system.</w:t>
      </w:r>
    </w:p>
    <w:p>
      <w:pPr>
        <w:spacing w:after="0" w:line="2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United States Patent and Trademark Office, or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6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23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Confidentiality agreements with employees and others may not adequately prevent disclosure of trade secrets and protect other proprietary information.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5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17" w:right="279" w:bottom="1440" w:gutter="0" w:footer="0" w:header="0"/>
        </w:sectPr>
      </w:pPr>
    </w:p>
    <w:bookmarkStart w:id="35" w:name="page36"/>
    <w:bookmarkEnd w:id="35"/>
    <w:p>
      <w:pPr>
        <w:ind w:right="60"/>
        <w:spacing w:after="0" w:line="267" w:lineRule="auto"/>
        <w:rPr>
          <w:sz w:val="20"/>
          <w:szCs w:val="20"/>
          <w:color w:val="auto"/>
        </w:rPr>
      </w:pPr>
      <w:r>
        <w:rPr>
          <w:rFonts w:ascii="Arial" w:cs="Arial" w:eastAsia="Arial" w:hAnsi="Arial"/>
          <w:sz w:val="17"/>
          <w:szCs w:val="17"/>
          <w:color w:val="auto"/>
        </w:rPr>
        <w:t>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23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38" w:lineRule="exact"/>
        <w:rPr>
          <w:sz w:val="20"/>
          <w:szCs w:val="20"/>
          <w:color w:val="auto"/>
        </w:rPr>
      </w:pPr>
    </w:p>
    <w:p>
      <w:pPr>
        <w:ind w:right="740"/>
        <w:spacing w:after="0" w:line="269"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RPL554, our competitors might be able to enter the market, which would hurt our competitive position and could impair our ability to successfully commercialize RPL554 in any indication for which it is approved.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60"/>
        <w:spacing w:after="0" w:line="350" w:lineRule="auto"/>
        <w:rPr>
          <w:sz w:val="20"/>
          <w:szCs w:val="20"/>
          <w:color w:val="auto"/>
        </w:rPr>
      </w:pPr>
      <w:r>
        <w:rPr>
          <w:rFonts w:ascii="Arial" w:cs="Arial" w:eastAsia="Arial" w:hAnsi="Arial"/>
          <w:sz w:val="19"/>
          <w:szCs w:val="19"/>
          <w:b w:val="1"/>
          <w:b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17" w:right="239" w:bottom="1440" w:gutter="0" w:footer="0" w:header="0"/>
        </w:sectPr>
      </w:pPr>
    </w:p>
    <w:bookmarkStart w:id="36" w:name="page37"/>
    <w:bookmarkEnd w:id="36"/>
    <w:p>
      <w:pPr>
        <w:spacing w:after="0" w:line="288" w:lineRule="auto"/>
        <w:rPr>
          <w:sz w:val="20"/>
          <w:szCs w:val="20"/>
          <w:color w:val="auto"/>
        </w:rPr>
      </w:pPr>
      <w:r>
        <w:rPr>
          <w:rFonts w:ascii="Arial" w:cs="Arial" w:eastAsia="Arial" w:hAnsi="Arial"/>
          <w:sz w:val="19"/>
          <w:szCs w:val="19"/>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 party data centers and on our and third party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us and our ability to conduct clinical trials, which could adversely affect our reputation and delay our clinical development of RPL554.</w:t>
      </w:r>
    </w:p>
    <w:p>
      <w:pPr>
        <w:spacing w:after="0" w:line="200" w:lineRule="exact"/>
        <w:rPr>
          <w:sz w:val="20"/>
          <w:szCs w:val="20"/>
          <w:color w:val="auto"/>
        </w:rPr>
      </w:pPr>
    </w:p>
    <w:p>
      <w:pPr>
        <w:spacing w:after="0" w:line="211" w:lineRule="exact"/>
        <w:rPr>
          <w:sz w:val="20"/>
          <w:szCs w:val="20"/>
          <w:color w:val="auto"/>
        </w:rPr>
      </w:pPr>
    </w:p>
    <w:p>
      <w:pPr>
        <w:ind w:right="540"/>
        <w:spacing w:after="0" w:line="256" w:lineRule="auto"/>
        <w:rPr>
          <w:sz w:val="20"/>
          <w:szCs w:val="20"/>
          <w:color w:val="auto"/>
        </w:rPr>
      </w:pPr>
      <w:r>
        <w:rPr>
          <w:rFonts w:ascii="Arial" w:cs="Arial" w:eastAsia="Arial" w:hAnsi="Arial"/>
          <w:sz w:val="22"/>
          <w:szCs w:val="22"/>
          <w:b w:val="1"/>
          <w:b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ability to compete depends on retaining our key personnel and recruiting additional qualified personnel.</w:t>
      </w:r>
    </w:p>
    <w:p>
      <w:pPr>
        <w:spacing w:after="0" w:line="3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been instrumental for us and have substantial experience with RPL554 and related technologies. These key management individuals include our chief executive officer, Jan-Anders Karlsson, our chief medical officer, Kenneth Newman, our chief financial officer, Piers Morgan, our legal counsel, Claire Poll, our senior vice president, chemistry manufacturing and controls, Peter Spargo, our vice president, regulatory affairs, Desiree Luthman and our commercial director, Richard Hennings.</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23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color w:val="auto"/>
        </w:rPr>
        <w:t>We expect to expand our development, regulatory and sales and marketing capabilities, and as a result, we may encounter difficulties in managing our growth, which could disrupt our operations.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75" w:right="259" w:bottom="1440" w:gutter="0" w:footer="0" w:header="0"/>
        </w:sectPr>
      </w:pPr>
    </w:p>
    <w:bookmarkStart w:id="37" w:name="page38"/>
    <w:bookmarkEnd w:id="37"/>
    <w:p>
      <w:pPr>
        <w:ind w:right="20"/>
        <w:spacing w:after="0" w:line="256" w:lineRule="auto"/>
        <w:rPr>
          <w:sz w:val="20"/>
          <w:szCs w:val="20"/>
          <w:color w:val="auto"/>
        </w:rPr>
      </w:pPr>
      <w:r>
        <w:rPr>
          <w:rFonts w:ascii="Arial" w:cs="Arial" w:eastAsia="Arial" w:hAnsi="Arial"/>
          <w:sz w:val="18"/>
          <w:szCs w:val="18"/>
          <w:color w:val="auto"/>
        </w:rPr>
        <w:t>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ADSs and ordinary shares may be volatile and may fluctuate due to factors beyond our control.</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and ordinary shares may fluctuate significantly due to a variety of factors, including:</w:t>
      </w:r>
    </w:p>
    <w:p>
      <w:pPr>
        <w:spacing w:after="0" w:line="25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44"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entering into collaborations and strategic relationships with respect to development or commercialization of RPL554 or entry into collaborations and strategic relationships on terms that are not deemed to be favorable to us;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RPL554;</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144"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ADSs or ordinary shares by us, our senior management and board members, holders of our ADSs or our shareholders in the future; or</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238" w:lineRule="exact"/>
        <w:rPr>
          <w:sz w:val="20"/>
          <w:szCs w:val="20"/>
          <w:color w:val="auto"/>
        </w:rPr>
      </w:pPr>
    </w:p>
    <w:p>
      <w:pPr>
        <w:ind w:right="960"/>
        <w:spacing w:after="0" w:line="318" w:lineRule="auto"/>
        <w:rPr>
          <w:sz w:val="20"/>
          <w:szCs w:val="20"/>
          <w:color w:val="auto"/>
        </w:rPr>
      </w:pPr>
      <w:r>
        <w:rPr>
          <w:rFonts w:ascii="Arial" w:cs="Arial" w:eastAsia="Arial" w:hAnsi="Arial"/>
          <w:sz w:val="17"/>
          <w:szCs w:val="17"/>
          <w:b w:val="1"/>
          <w:bCs w:val="1"/>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U.S. public company, and particularly after we no longer qualify as an emerging growth company, we will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17" w:right="239" w:bottom="1440" w:gutter="0" w:footer="0" w:header="0"/>
        </w:sectPr>
      </w:pPr>
    </w:p>
    <w:bookmarkStart w:id="38" w:name="page39"/>
    <w:bookmarkEnd w:id="38"/>
    <w:p>
      <w:pPr>
        <w:ind w:right="280"/>
        <w:spacing w:after="0" w:line="256"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or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dual listing of our ordinary shares and our ADSs may adversely affect the liquidity and value of our ordinary shares and ADSs.</w:t>
      </w:r>
    </w:p>
    <w:p>
      <w:pPr>
        <w:spacing w:after="0" w:line="3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ADSs are listed on Nasdaq, and our ordinary shares are admitted to trading on AIM. We cannot predict the effect of this dual listing on the value of our ADSs and ordinary shares. However, the dual listing of our ADSs and ordinary shares may dilute the liquidity of these securities in one or both markets and may adversely affect the trading market or price for our ADSs or ordinary shares .</w:t>
      </w:r>
    </w:p>
    <w:p>
      <w:pPr>
        <w:spacing w:after="0" w:line="23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February 27, 2018, our senior management, board of directors and greater than 5% shareholders and their respective affiliates, in the aggregate, owned approximately 61% of our ordinary shares (including ordinary shares represented by ADSs) assuming no exercise of outstanding options or warrants, and approximately 55%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have the effect of delaying or preventing a change in control and might therefore negatively affect the market price of our ADSs and ordinary shares.</w:t>
      </w:r>
    </w:p>
    <w:p>
      <w:pPr>
        <w:spacing w:after="0" w:line="24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Future sales, or the possibility of future sales, of a substantial number of our ADSs or ordinary shares could adversely affect the price of our ADSs and ordinary shares.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Future sales of a substantial number of our ADSs, or the perception that such sales will occur, could cause a decline in the market price of our ADSs and ordinary shares.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or ordinary shares and our ability to raise capital through an issue of equity securities in the future could be adversely affected.</w:t>
      </w:r>
    </w:p>
    <w:p>
      <w:pPr>
        <w:spacing w:after="0" w:line="238"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b w:val="1"/>
          <w:b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2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current U.K.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17" w:right="239" w:bottom="1440" w:gutter="0" w:footer="0" w:header="0"/>
        </w:sectPr>
      </w:pPr>
    </w:p>
    <w:bookmarkStart w:id="39" w:name="page40"/>
    <w:bookmarkEnd w:id="39"/>
    <w:p>
      <w:pPr>
        <w:jc w:val="both"/>
        <w:ind w:right="80"/>
        <w:spacing w:after="0" w:line="256" w:lineRule="auto"/>
        <w:rPr>
          <w:sz w:val="20"/>
          <w:szCs w:val="20"/>
          <w:color w:val="auto"/>
        </w:rPr>
      </w:pPr>
      <w:r>
        <w:rPr>
          <w:rFonts w:ascii="Arial" w:cs="Arial" w:eastAsia="Arial" w:hAnsi="Arial"/>
          <w:sz w:val="18"/>
          <w:szCs w:val="18"/>
          <w:color w:val="auto"/>
        </w:rPr>
        <w:t>capital appreciation, if any, on our ADSs or ordinary shares will be our ADS holders and shareholders' sole source of gains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23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color w:val="auto"/>
        </w:rPr>
        <w:t>Securities traded on AIM may carry a higher risk than securities traded on other exchanges, which may impact the value of our investors' investments.</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of the ordinary shares underlying our ADSs, may not reflect the underlying value of our company.</w:t>
      </w: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Holders of our ADSs may not have the same voting rights as the holders of our ordinary shares and may not receive voting materials in time to be able to exercise their right to vote.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ADSsmay not be able to exercise voting rights and may lack recourse if their ADSs are not voted as requested. In addition, holders of our ADSs will not be able to call a shareholders' meeting.</w:t>
      </w:r>
    </w:p>
    <w:p>
      <w:pPr>
        <w:spacing w:after="0" w:line="23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Holders of our ADSs may not receive distributions on our ordinary shares represented by our ADSs or any value for them if it is illegal or impractical to make them available to them.</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ADSs may be subject to limitations on transfer of their ADSs.</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 our shareholders may differ from the rights typically offered to shareholders of a U.S. corporation.</w:t>
      </w:r>
    </w:p>
    <w:p>
      <w:pPr>
        <w:spacing w:after="0" w:line="3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See "Description of Share Capital and Articles of Association — Differences in Corporate Law" in our final prospectus filed with the Securities and Exchange Commission on April 28, 2017 relating to our Registration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17" w:right="279" w:bottom="1440" w:gutter="0" w:footer="0" w:header="0"/>
        </w:sectPr>
      </w:pPr>
    </w:p>
    <w:bookmarkStart w:id="40" w:name="page41"/>
    <w:bookmarkEnd w:id="40"/>
    <w:p>
      <w:pPr>
        <w:ind w:right="260"/>
        <w:spacing w:after="0" w:line="262" w:lineRule="auto"/>
        <w:rPr>
          <w:sz w:val="20"/>
          <w:szCs w:val="20"/>
          <w:color w:val="auto"/>
        </w:rPr>
      </w:pPr>
      <w:r>
        <w:rPr>
          <w:rFonts w:ascii="Arial" w:cs="Arial" w:eastAsia="Arial" w:hAnsi="Arial"/>
          <w:sz w:val="18"/>
          <w:szCs w:val="18"/>
          <w:color w:val="auto"/>
        </w:rPr>
        <w:t>Statement on Form F-1 for a description of the principal differences between the provisions of the Companies Act 2006 applicable to us and, for example, the Delaware General Corporation Law relating to shareholders' rights and protections.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30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5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23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We qualify as a foreign private issuer and, as a result, we will not be subject to U.S. proxy rules and are subject to reporting obligations under the Securities Exchange Act of 1934, as amended, or the Exchange Act, that, to some extent, are more lenient and less frequent than those of a U.S. domestic public company.</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report under the Exchange Act as a non-U.S. company with foreign private issuer status. Because we qualify as a foreign private issuer,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firstLine="8"/>
        <w:spacing w:after="0" w:line="251"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investors may not have the same protections afforded to shareholders of companies that are not foreign private issuers.</w:t>
      </w:r>
    </w:p>
    <w:p>
      <w:pPr>
        <w:spacing w:after="0" w:line="2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As a foreign private issuer and as permitted by the listing requirements of Nasdaq, we rely on certain home country governance practices rather than the corporate governance requirements of Nasdaq.</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a foreign private issuer, in accordance with the listing requirements of Nasdaq, we follow our home country governance requirements and certain exemptions thereunder rather than the corporate governance requirements of Nasdaq.</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279" w:lineRule="exact"/>
        <w:rPr>
          <w:sz w:val="20"/>
          <w:szCs w:val="20"/>
          <w:color w:val="auto"/>
        </w:rPr>
      </w:pPr>
    </w:p>
    <w:p>
      <w:pPr>
        <w:ind w:left="5620" w:right="4960" w:hanging="5288"/>
        <w:spacing w:after="0" w:line="415" w:lineRule="auto"/>
        <w:tabs>
          <w:tab w:leader="none" w:pos="662" w:val="left"/>
        </w:tabs>
        <w:numPr>
          <w:ilvl w:val="0"/>
          <w:numId w:val="31"/>
        </w:numPr>
        <w:rPr>
          <w:rFonts w:ascii="Arial" w:cs="Arial" w:eastAsia="Arial" w:hAnsi="Arial"/>
          <w:sz w:val="17"/>
          <w:szCs w:val="17"/>
          <w:color w:val="auto"/>
        </w:rPr>
      </w:pPr>
      <w:r>
        <w:rPr>
          <w:rFonts w:ascii="Arial" w:cs="Arial" w:eastAsia="Arial" w:hAnsi="Arial"/>
          <w:sz w:val="17"/>
          <w:szCs w:val="17"/>
          <w:color w:val="auto"/>
        </w:rPr>
        <w:t>have a majority of the board of directors consist of independent directors; 39</w:t>
      </w:r>
    </w:p>
    <w:p>
      <w:pPr>
        <w:sectPr>
          <w:pgSz w:w="11900" w:h="16838" w:orient="portrait"/>
          <w:cols w:equalWidth="0" w:num="1">
            <w:col w:w="11420"/>
          </w:cols>
          <w:pgMar w:left="240" w:top="517" w:right="239" w:bottom="1440" w:gutter="0" w:footer="0" w:header="0"/>
        </w:sectPr>
      </w:pPr>
    </w:p>
    <w:bookmarkStart w:id="41" w:name="page42"/>
    <w:bookmarkEnd w:id="41"/>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disclose any waivers of its code of conduct for directors or executive officers;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an independent nominating committee and compensation committee;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 Articles of Association" in our final prospectus filed with the Securities and Exchange Commission on April 28, 2017 relating to our Registration Statement on Form F-1.</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5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Because we are exempt from certain Nasdaq governance requirements, our ADS holders may not have the same protections afforded to shareholders of companies that are subject to these Nasdaq requirements.</w:t>
      </w:r>
    </w:p>
    <w:p>
      <w:pPr>
        <w:spacing w:after="0" w:line="22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a foreign private issuer, we are not required to comply with all of the periodic disclosure and current reporting requirements of the Exchange Act applicable to U.S. domestic issuers. In order to maintain our current status as a foreign private issuer, either (a) a majority of our ADSs must be either directly or indirectly owned of record by non-residents of the United States or (b)(i) a majority of our executive officers or directors cannot be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4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ADSs or ordinary shares less attractive to investors.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We may take advantage of these exemptions until we are no longer an emerging growth company. We could be an emerging growth company for up to five years, although circumstances could cause us to lose that status earlier, including if the aggregate market value of our ADSs and ordinary shares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or ordinary shares less attractive because we may rely on these exemptions. If</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17" w:right="279" w:bottom="1440" w:gutter="0" w:footer="0" w:header="0"/>
        </w:sectPr>
      </w:pPr>
    </w:p>
    <w:bookmarkStart w:id="42" w:name="page43"/>
    <w:bookmarkEnd w:id="42"/>
    <w:p>
      <w:pPr>
        <w:ind w:right="100"/>
        <w:spacing w:after="0" w:line="262" w:lineRule="auto"/>
        <w:rPr>
          <w:sz w:val="20"/>
          <w:szCs w:val="20"/>
          <w:color w:val="auto"/>
        </w:rPr>
      </w:pPr>
      <w:r>
        <w:rPr>
          <w:rFonts w:ascii="Arial" w:cs="Arial" w:eastAsia="Arial" w:hAnsi="Arial"/>
          <w:sz w:val="18"/>
          <w:szCs w:val="18"/>
          <w:color w:val="auto"/>
        </w:rPr>
        <w:t>some investors find our ADSs or ordinary shares less attractive as a result, there may be a less active trading market for our ADSs or ordinary shares and the price of our ADSs or ordinary shares may be more volatile.</w:t>
      </w:r>
    </w:p>
    <w:p>
      <w:pPr>
        <w:spacing w:after="0" w:line="228"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24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preparation for the initial public offering of our ADSs, we reassessed our critical accounting policies to ensure compliance with IFRS. As part of this reassessment, we identified errors relating to the recognition of assumed liabilities and goodwill in connection with the acquisition of Rhinopharma in September 2006. We concluded that a lack of adequate controls surrounding our historic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have taken steps that we believe address the underlying causes of the material weakness by the hiring of our new chief financial officer, enhancing our financial reporting team's technical accounting knowledge associated with the accounting rules for business combinations, implementing additional internal controls and engaging expert external consultants for additional technical support. However, we cannot be certain that these efforts will be sufficient to prevent future material weaknesses or significant deficiencies from occurring.</w:t>
      </w:r>
    </w:p>
    <w:p>
      <w:pPr>
        <w:spacing w:after="0" w:line="2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24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If securities or industry analysts publish inaccurate or unfavorable research, about our business, the price of our ADSs and ordinary shares and our trading volume could decline.</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trading market for our ADSs and ordinary shares depends in part on the research and reports that securities or industry analysts publish about us or our business. If one or more of the analysts who cover us downgrade our ADSs or ordinary shares or publish inaccurate or unfavorable research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23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believe we will likely be classified as a passive foreign investment company for U.S. federal income tax purposes for the current year, which could result in adverse U.S. federal income tax consequences to U.S. investors in our ordinary shares or ADSs.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17" w:right="259" w:bottom="1440" w:gutter="0" w:footer="0" w:header="0"/>
        </w:sectPr>
      </w:pPr>
    </w:p>
    <w:bookmarkStart w:id="43" w:name="page44"/>
    <w:bookmarkEnd w:id="43"/>
    <w:p>
      <w:pPr>
        <w:ind w:right="40"/>
        <w:spacing w:after="0" w:line="252" w:lineRule="auto"/>
        <w:rPr>
          <w:sz w:val="20"/>
          <w:szCs w:val="20"/>
          <w:color w:val="auto"/>
        </w:rPr>
      </w:pPr>
      <w:r>
        <w:rPr>
          <w:rFonts w:ascii="Arial" w:cs="Arial" w:eastAsia="Arial" w:hAnsi="Arial"/>
          <w:sz w:val="18"/>
          <w:szCs w:val="18"/>
          <w:color w:val="auto"/>
        </w:rPr>
        <w:t>If we are classified as a PFIC in any year with respect to which a U.S. Holder (as defined below in "Item 10.E— Taxation") owns the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"Item 10.E— Taxation—Passive Foreign Investment Company Rules."</w:t>
      </w:r>
    </w:p>
    <w:p>
      <w:pPr>
        <w:spacing w:after="0" w:line="23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If a United States person is treated as owning at least 10% of our ordinary shares or ADSs, such holder may be subject to adverse U.S. federal income tax consequences.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Our principal office is located at 3 More London Riverside, London SE1 2RE, United Kingdom, and our telephone number is +(44) 203 283 4200. The principal legislation under which we operate is the Companies Act 2006. Our website address is www.veronapharma.com. Information contained on, or that can be accessed through, our website does not constitute a part of this Annual Report. We have included our website address in this Annual Report solely as an inactive textual reference.</w:t>
      </w:r>
    </w:p>
    <w:p>
      <w:pPr>
        <w:spacing w:after="0" w:line="209"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Our agent for service of process in the United States is Cogency Global Inc. National Corporate Research, Ltd. was acquired by Cogency., whose address is 10 E. 40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Street, 10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10016.</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February 2017, we effected a 50-for-one share consolidation in which we consolidated every 50 of our existing ordinary shares, nominal value £0.001 per share, in our issued share capital into one ordinary share, nominal value £0.05 per share. In May 2017, we completed the initial public offering of our American Depositary Shares ("ADSs") in the United States as well as a private placement of our ordinary shares in Europe. Our ADSs were listed on The Nasdaq Global Market under the symbol “VRNA.”</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principal capital expenditures for the year ended December 31, 2017 were £0.2 million. These capital expenditures primarily consisted of patent costs. We expect our expenditure on patent costs to increase in the near term as we continue to advance our research and development programs for RPL554 and grow our operations. .</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17" w:right="239" w:bottom="1440" w:gutter="0" w:footer="0" w:header="0"/>
        </w:sectPr>
      </w:pPr>
    </w:p>
    <w:bookmarkStart w:id="44" w:name="page45"/>
    <w:bookmarkEnd w:id="44"/>
    <w:p>
      <w:pPr>
        <w:jc w:val="both"/>
        <w:ind w:right="200"/>
        <w:spacing w:after="0" w:line="256" w:lineRule="auto"/>
        <w:rPr>
          <w:sz w:val="20"/>
          <w:szCs w:val="20"/>
          <w:color w:val="auto"/>
        </w:rPr>
      </w:pPr>
      <w:r>
        <w:rPr>
          <w:rFonts w:ascii="Arial" w:cs="Arial" w:eastAsia="Arial" w:hAnsi="Arial"/>
          <w:sz w:val="18"/>
          <w:szCs w:val="18"/>
          <w:color w:val="auto"/>
        </w:rPr>
        <w:t>We anticipate our capital expenditure in 2018 to be financed from the proceeds of our initial public offering of ADSs and private placement of ordinary shares. For more information on our capital expenditures, see the section of this Annual Report titled “Item 5.B. Liquidity and Capital Resources-Capital Expenditures.”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B.BUSINESS OVERVIEW</w:t>
      </w:r>
    </w:p>
    <w:p>
      <w:pPr>
        <w:spacing w:after="0" w:line="30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w:t>
      </w:r>
      <w:r>
        <w:rPr>
          <w:sz w:val="1"/>
          <w:szCs w:val="1"/>
          <w:color w:val="auto"/>
        </w:rPr>
        <w:drawing>
          <wp:inline distT="0" distB="0" distL="0" distR="0">
            <wp:extent cx="2603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8"/>
          <w:szCs w:val="18"/>
          <w:color w:val="auto"/>
        </w:rPr>
        <w:t>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completed patient enrollment in twelve Phase 1 and 2 clinical trials for RPL554 with over 700 subjects enrolled; ten of these studies have been reported, one study is expected to report late in the first quarter of 2018 and one study is expected to report early in the second quarter of 2018. In our clinical trials, treatment with RPL554 has been observed to result in statistically significant improvements in lung function as compared to placebo. Statistically significant means that there is a low statistical probability, typically less than 5%, that the observed results occurred by chance alone. Our clinical trials also have shown clinically meaningful and statistically significant improvements in lung function when RPL554 is added to commonly used short- and long-acting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roflumilast, the only PDE4 inhibitor currently on the market for the treatment of COPD. We are developing RPL554 for the treatment of patients with chronic obstructive pulmonary disease, or COPD, and for the treatment of patients with cystic fibrosis, or CF.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27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We also are developing RPL554 in a nebulized formulation as an add-on therapy to short-acting bronchodilators and other commonly used therapies for the treatment of hospitalized patients with acute exacerbations of COPD.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 We also are developing our nebulized formulation of RPL554 for CF.</w:t>
      </w:r>
    </w:p>
    <w:p>
      <w:pPr>
        <w:spacing w:after="0" w:line="2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are developing RPL554 in both dry powder inhaler, or DPI, and metered dose inhaler, or pMDI, formulations for the maintenance treatment of COPD. Handheld DPI and pMDI devices are the most common forms of drug delivery in non-hospitalized patients with COPD and are well suited for maintenance therapy. We believe the development of DPI and pMDI formulations has the potential to significantly increase the market opportunity for RPL554, if approved, for the maintenance treatment of COPD. In addition, we may explore the development of RPL554 in these formulations for the treatment of asthma and other respiratory diseases.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98" w:right="259" w:bottom="1440" w:gutter="0" w:footer="0" w:header="0"/>
        </w:sectPr>
      </w:pPr>
    </w:p>
    <w:bookmarkStart w:id="45" w:name="page46"/>
    <w:bookmarkEnd w:id="45"/>
    <w:p>
      <w:pPr>
        <w:ind w:right="60"/>
        <w:spacing w:after="0" w:line="251" w:lineRule="auto"/>
        <w:rPr>
          <w:sz w:val="20"/>
          <w:szCs w:val="20"/>
          <w:color w:val="auto"/>
        </w:rPr>
      </w:pPr>
      <w:r>
        <w:rPr>
          <w:rFonts w:ascii="Arial" w:cs="Arial" w:eastAsia="Arial" w:hAnsi="Arial"/>
          <w:sz w:val="18"/>
          <w:szCs w:val="18"/>
          <w:color w:val="auto"/>
        </w:rPr>
        <w:t>To evaluate RPL554 in a nebulized formulation for the maintenance treatment of COPD, we commenced a four-week Phase 2b dose-ranging clinical trial in July 2017, which is evaluating RPL554 as a single agent as compared to placebo in approximately 400 patients with moderate to severe COPD (trial RPL554-CO-203). We have now completed dosing in this study and expect to report top-line data from this trial early in the second quarter of 2018. 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The previously planned 12-week Phase 2b dose-ranging clinical trial may therefore be shortened or deemed unnecessary.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in hospitalized patients and as a treatment for CF patients.</w:t>
      </w:r>
    </w:p>
    <w:p>
      <w:pPr>
        <w:spacing w:after="0" w:line="266"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also plan to evaluate RPL554 in a nebulized formulation as an add-on therapy to two commonly used bronchodilators administered together, in up to 100 patients, beginning in the second half of 2018. In addition, following the completion of our DPI and pMDI formulation process, we plan to commence pre</w:t>
      </w:r>
      <w:r>
        <w:rPr>
          <w:rFonts w:ascii="MS PGothic" w:cs="MS PGothic" w:eastAsia="MS PGothic" w:hAnsi="MS PGothic"/>
          <w:sz w:val="18"/>
          <w:szCs w:val="18"/>
          <w:color w:val="auto"/>
        </w:rPr>
        <w:t>‑</w:t>
      </w:r>
      <w:r>
        <w:rPr>
          <w:rFonts w:ascii="Arial" w:cs="Arial" w:eastAsia="Arial" w:hAnsi="Arial"/>
          <w:sz w:val="18"/>
          <w:szCs w:val="18"/>
          <w:color w:val="auto"/>
        </w:rPr>
        <w:t>clinical studies for RPL554 in these formulations in 2018, to be followed by the first clinical trials in healthy subjects or patients with COPD. We do not expect the timing of these trials to be affected by any decision to progress more rapidly into Phase 3 clinical trials with our nebulized maintenance treatment for COPD.</w:t>
      </w:r>
    </w:p>
    <w:p>
      <w:pPr>
        <w:spacing w:after="0" w:line="1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2017, we commenced a Phase 2a double blind, placebo-controlled, three way cross-over trial in 30 subjects with COPD, which included two different doses of RPL554, 1.5 mg and 6 mg, or placebo, dosed twice-daily for three days, in addition to tiotropium, a commonly used long-acting anti-muscarinic bronchodilator, dosed once daily. This clinical trial was conducted in the United Kingdom. We reported positive top-line data from this trial earlier than expected, in September 2017. The data from this Phase 2a trial demonstrated significantly improved peak lung function when RPL554 was added to tiotropium in patients with moderate-to-severe COPD.</w:t>
      </w:r>
    </w:p>
    <w:p>
      <w:pPr>
        <w:spacing w:after="0" w:line="97"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Primary outcome measures:</w:t>
      </w:r>
    </w:p>
    <w:p>
      <w:pPr>
        <w:spacing w:after="0" w:line="117"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RPL554, compared to placebo, produced a statistically significant (1.5 mg, p=0.002; 6 mg, p&lt;0.001) and a clinically meaningful (&gt;100 ml)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(additional bronchodilation) when administered on top of the standard bronchodilator tiotropium (Spiriva®);</w:t>
      </w:r>
    </w:p>
    <w:p>
      <w:pPr>
        <w:spacing w:after="0" w:line="55" w:lineRule="exact"/>
        <w:rPr>
          <w:sz w:val="20"/>
          <w:szCs w:val="20"/>
          <w:color w:val="auto"/>
        </w:rPr>
      </w:pPr>
    </w:p>
    <w:p>
      <w:pPr>
        <w:ind w:left="660" w:right="240"/>
        <w:spacing w:after="0" w:line="285" w:lineRule="auto"/>
        <w:rPr>
          <w:sz w:val="20"/>
          <w:szCs w:val="20"/>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(0 - 12 hours) of RPL554 when added on top of tiotropium was larger than that of tiotropium alone (1.5mg, p=0.099; 6 mg, p&lt;0.001);</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study, a p-value&lt;0.05 is regarded as statistically significant.</w:t>
      </w:r>
    </w:p>
    <w:p>
      <w:pPr>
        <w:spacing w:after="0" w:line="11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Secondary outcome measures:</w:t>
      </w:r>
    </w:p>
    <w:p>
      <w:pPr>
        <w:spacing w:after="0" w:line="63" w:lineRule="exact"/>
        <w:rPr>
          <w:sz w:val="20"/>
          <w:szCs w:val="20"/>
          <w:color w:val="auto"/>
        </w:rPr>
      </w:pPr>
    </w:p>
    <w:p>
      <w:pPr>
        <w:ind w:left="660" w:right="280"/>
        <w:spacing w:after="0" w:line="285" w:lineRule="auto"/>
        <w:rPr>
          <w:sz w:val="20"/>
          <w:szCs w:val="20"/>
          <w:color w:val="auto"/>
        </w:rPr>
      </w:pPr>
      <w:r>
        <w:rPr>
          <w:rFonts w:ascii="Arial" w:cs="Arial" w:eastAsia="Arial" w:hAnsi="Arial"/>
          <w:sz w:val="18"/>
          <w:szCs w:val="18"/>
          <w:color w:val="auto"/>
        </w:rPr>
        <w:t>Both doses of RPL554 produced a statistically significant faster onset of action (defined as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improvement by ≥10%; 1.5 mg, 4.2 min; 6 mg, 4.6 min) when added to tiotropium compared to tiotropium alone (37.6 min; p&lt;0.001);</w:t>
      </w:r>
    </w:p>
    <w:p>
      <w:pPr>
        <w:spacing w:after="0" w:line="62" w:lineRule="exact"/>
        <w:rPr>
          <w:sz w:val="20"/>
          <w:szCs w:val="20"/>
          <w:color w:val="auto"/>
        </w:rPr>
      </w:pPr>
    </w:p>
    <w:p>
      <w:pPr>
        <w:ind w:left="660" w:right="280"/>
        <w:spacing w:after="0" w:line="256" w:lineRule="auto"/>
        <w:rPr>
          <w:sz w:val="20"/>
          <w:szCs w:val="20"/>
          <w:color w:val="auto"/>
        </w:rPr>
      </w:pPr>
      <w:r>
        <w:rPr>
          <w:rFonts w:ascii="Arial" w:cs="Arial" w:eastAsia="Arial" w:hAnsi="Arial"/>
          <w:sz w:val="18"/>
          <w:szCs w:val="18"/>
          <w:color w:val="auto"/>
        </w:rPr>
        <w:t>The administration of RPL554 as an add-on treatment to tiotropium caused a marked reduction in Functional Residual Capacity (1.5 mg, p&lt;0.01; 6 mg, p&lt;0.05) and in Residual Volume (1.5 mg, p=0.07; 6 mg, p&lt;0.01), both measures of trapped air in the lung, as compared to tiotropium alone, suggesting that RPL554 treatment may reduce dyspnea, a major debilitating symptom of COPD.</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2017 we commenced an IND-opening single-dose pharmacokinetic, or PK, trial in 12 healthy volunteers in the US. We reported top-line data from this trial earlier than expected in September 2017. A PK trial involves the study of the process of bodily absorption, distribution, metabolism and excretion of a drug. With any inhaled or nebulized medication, a portion of the substance is deposited in the mouth and then swallowed by the patient. The results showed that in the study subjects only 10.4 percent of the inhaled dose entered the bloodstream via the gastrointestinal tract. The low oral bioavailability of nebulized RPL554, as demonstrated in the study, is consistent with optimal inhaled delivery of medications for the treatment of COPD and asthma. Therefore, the results from this study confirm that inhalation is an appropriate form of administration of RPL554 for patients.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17" w:right="239" w:bottom="1440" w:gutter="0" w:footer="0" w:header="0"/>
        </w:sectPr>
      </w:pPr>
    </w:p>
    <w:bookmarkStart w:id="46" w:name="page47"/>
    <w:bookmarkEnd w:id="46"/>
    <w:p>
      <w:pPr>
        <w:ind w:right="20"/>
        <w:spacing w:after="0" w:line="253" w:lineRule="auto"/>
        <w:rPr>
          <w:sz w:val="20"/>
          <w:szCs w:val="20"/>
          <w:color w:val="auto"/>
        </w:rPr>
      </w:pPr>
      <w:r>
        <w:rPr>
          <w:rFonts w:ascii="Arial" w:cs="Arial" w:eastAsia="Arial" w:hAnsi="Arial"/>
          <w:sz w:val="18"/>
          <w:szCs w:val="18"/>
          <w:color w:val="auto"/>
        </w:rPr>
        <w:t>In March 2017, we commenced a Phase 2a single-dose PK and pharmacodynamics, or PD, trial in the United Kingdom evaluating RPL554 in up to ten CF patients and expect to report top-line data from this trial late in the first quarter of 2018. A PD trial involves the study of the biochemical and physiological effects of a drug and its mechanism of action, including the correlation of the drug's actions and effects with its chemical structure. The results of this clinical trial will support dose selection for a proof-of-concept Phase 2b trial in approximately 100 patients with CF, which we plan to commence in 2018.</w:t>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World Health Organization, COPD is expected to become the third leading cause of death globally by 2030, with 210 million people worldwide suffering from the disease. It is estimated that there are 24 million people with COPD in the United States, only about half of whom have been diagnosed. Of those diagnosed with COPD in the United States, more than 2 million suffer from severe or very severe forms of the disease. Total annual medical costs relating to COPD in the United States were estimated to be $32 billion in 2010 and are projected to rise to $49 billion in 2020. Whereas the number of patients diagnosed with COPD in the US continues to increase annually, the growth in numbers in countries like China is significantly higher. The prevalence of COPD in China is estimated to be about 8% of the population aged over 40, and this percentage is expected to increase in coming years. Global sales of drugs currently indicated for COPD in major markets were approximately $15 billion in 2015 and are expected to grow to $20 billion by 2025.</w:t>
      </w:r>
    </w:p>
    <w:p>
      <w:pPr>
        <w:spacing w:after="0" w:line="2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COPD patients are commonly treated with bronchodilators, which seek to relieve airway constriction and make it easier to breathe, and inhaled corticosteroids, which seek to reduce lung inflammation. For patients with more severe disease who experience recurrent exacerbations, and for whom inhaled corticosteroids are not effective, an oral formulation of a PDE4 inhibitor, which is an anti-inflammatory agent, may also be used as treatment. Despite the wide availability of these therapies, many COPD patients continue to suffer exacerbations and have continued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6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Cystic fibrosis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although current therapies are leading to longer lifespans the median age of death for CF patients is still only around 40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RPL554 is a first-in-class, inhaled, dual inhibitor of PDE3 and PDE4. Phosphodiesterases, or PDEs, are well known and validated therapeutic targets, and many PDE inhibitors, with different specificities, are currently available in the market for other indications. PDE3 is present in airways and the lung, and inhibition of this enzyme is primarily responsible for the bronchodilatory action of RPL554. PDE4 is found in inflammatory and epithelial cells, and inhibition of this enzyme contributes to RPL554's anti-inflammatory activity. PDEs metabolize the critical signaling molecules, cyclic adenosine monophosphate, or cAMP, and cyclic guanosine monophosphate, or cGMP. By inhibiting PDE3 and PDE4, RPL554 increases the levels of cAMP and cGMP, resulting in bronchodilator and anti-inflammatory effects. RPL554 also stimulates the cystic fibrosis transmembrane conductance regulator, or CFTR, which is an ion channel in the epithelial cells lining the airways. Mutations in the CFTR protein result in poorly 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17" w:right="25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t>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three key mechanisms of action of RPL554 in respiratory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486410</wp:posOffset>
            </wp:positionV>
            <wp:extent cx="5848985" cy="3173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our clinical trials, RPL554 has shown rapid onset and durable bronchodilation in healthy subjects and patients with COPD or asthma when inhaled from a nebulizer. In addition, RPL554 has been observed to be complementary and additive when administered as an add-on therapy to other currently marketed bronchodilators. In 2017 we announced the results of a Phase 2a clinical trial of RPL554 in 30 patients with COPD. Our primary objective in this clinical trial was to evaluate the improvement in lung function, as measured by the maximal volume of air a person can forcefully exhale in one minute, FEV</w:t>
      </w:r>
      <w:r>
        <w:rPr>
          <w:rFonts w:ascii="Arial" w:cs="Arial" w:eastAsia="Arial" w:hAnsi="Arial"/>
          <w:sz w:val="21"/>
          <w:szCs w:val="21"/>
          <w:color w:val="auto"/>
          <w:vertAlign w:val="subscript"/>
        </w:rPr>
        <w:t>1</w:t>
      </w:r>
      <w:r>
        <w:rPr>
          <w:rFonts w:ascii="Arial" w:cs="Arial" w:eastAsia="Arial" w:hAnsi="Arial"/>
          <w:sz w:val="18"/>
          <w:szCs w:val="18"/>
          <w:color w:val="auto"/>
        </w:rPr>
        <w:t>, and the duration of action of RPL554. We evaluated RPL554 administered as an add-on therapy to a commonly used bronchodilator tiotropium, marketed as Spiriva. We observed clinically meaningful and statistically significant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when RPL554 was administered as an add-on therapy to a standard dose of tiotropium as compared to a standard dose of tiotropium alone. In this clinical trial, we observed the effect size, or peak improvement was 127 ml and 104 ml for 1.5mg and 6mg doses respectively over tiotropium alone. P-value is a conventional statistical method for measuring the statistical significance of clinical results. A p-value of 0.05 or less represents statistical significance, meaning that there is a less than 1-in-20 likelihood that the observed results occurred by chance. In addition, RPL554 administered as an add-on therapy to tiotropium resulted in a statistically significant reduction in time of onset of bronchodilation as compared to tiotropium alone. The data from this study was highly consistent with the results of a previous Phase 2a clinical trial we announced in 2016 of RPL554 in 36 patients with COPD. Our primary objective in that clinical trial was to evaluate the improvement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and the duration of action of RPL554. We evaluated RPL554 administered as a single agent as 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 We observed that RPL554 administered as a single agent produced statistically significant improvements in lung function, as measured by FEV</w:t>
      </w:r>
      <w:r>
        <w:rPr>
          <w:rFonts w:ascii="Arial" w:cs="Arial" w:eastAsia="Arial" w:hAnsi="Arial"/>
          <w:sz w:val="14"/>
          <w:szCs w:val="14"/>
          <w:color w:val="auto"/>
        </w:rPr>
        <w:t>1</w:t>
      </w:r>
      <w:r>
        <w:rPr>
          <w:rFonts w:ascii="Arial" w:cs="Arial" w:eastAsia="Arial" w:hAnsi="Arial"/>
          <w:sz w:val="18"/>
          <w:szCs w:val="18"/>
          <w:color w:val="auto"/>
        </w:rPr>
        <w:t>, as compared to placebo, with a p-value of less than 0.001. P-value is a conventional statistical method for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17" w:right="239" w:bottom="1440" w:gutter="0" w:footer="0" w:header="0"/>
        </w:sectPr>
      </w:pPr>
    </w:p>
    <w:bookmarkStart w:id="48" w:name="page49"/>
    <w:bookmarkEnd w:id="48"/>
    <w:p>
      <w:pPr>
        <w:spacing w:after="0" w:line="252" w:lineRule="auto"/>
        <w:rPr>
          <w:sz w:val="20"/>
          <w:szCs w:val="20"/>
          <w:color w:val="auto"/>
        </w:rPr>
      </w:pPr>
      <w:r>
        <w:rPr>
          <w:rFonts w:ascii="Arial" w:cs="Arial" w:eastAsia="Arial" w:hAnsi="Arial"/>
          <w:sz w:val="18"/>
          <w:szCs w:val="18"/>
          <w:color w:val="auto"/>
        </w:rPr>
        <w:t>measuring the statistical significance of clinical results. We also observed clinically meaningful and statistically significant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when RPL554 was administered as an add-on therapy 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for the add-on-therapy of RPL554 with ipratropium as compared to ipratropium alone. In addition, RPL554 administered as an add-on therapy to either albuterol or ipratropium resulted in a statistically significant reduction in time of onset of bronchodilation as compared to albuterol or ipratropium alone.</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RPL554 also has shown anti-inflammatory effects in sputum samples from a model of COPD-like lung inflammation in human subjects. In a Phase 1 clinical trial, 21 healthy evaluable subjects were treated with either RPL554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RPL554 were observed to have significantly lower absolute numbers of neutrophils in sputum collected six hours after LPS challenge, and a significant reduction in the absolute numbers of other inflammatory cells, including lymphocytes, macrophages and eosinophils, at the same time point. Eosinophils are prevalent in the lungs of some patients with COPD and in the vast majority of patients with asthma. These observations suggest that RPL554 also has the potential to target the chronic inflammatory processes in COPD, CF and other respiratory diseases, including asthma.</w:t>
      </w:r>
    </w:p>
    <w:p>
      <w:pPr>
        <w:spacing w:after="0" w:line="13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September 2017 we reported top-line data from an IND-opening single-dose pharmacokinetic, or PK, trial in 12 healthy volunteers in the United States. A PK trial involves the study of the process of bodily absorption, distribution, metabolism and excretion of a drug. With any inhaled or nebulized medication, a portion of the substance is deposited in the mouth and then swallowed by the patient. The results showed that in the study subjects only 10.4 percent of the inhaled dose entered the bloodstream via the gastrointestinal tract. The low oral bioavailability of nebulized RPL554, as demonstrated in the study, suggests that inhalation delivers an optimal dose of RPL554 and is consistent with inhaled delivery of medications commonly used for the treatment of COPD and asthma. Therefore, the results from this study confirmed that inhaled RPL554 is an appropriate form of administration for patients.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based on our pre-clinical studies, we believe that RPL554 has the potential to reduce the deleterious inflammation in CF patients, which seems to be largely driven by neutrophils, reduce airway obstruction through bronchodilation and enhance mucociliary clearance through stimulation of the CFTR on airway epithelial cells. We believe the bronchodilator and anti-inflammatory properties of RPL554, combined with its ability to decrease mucus viscosity thereby improving mucociliary clearance, suggest that inhibition of PDE3 and PDE4 is an attractive therapeutic strategy to treat CF.</w:t>
      </w:r>
    </w:p>
    <w:p>
      <w:pPr>
        <w:spacing w:after="0" w:line="26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worldwide commercialization rights for RPL554. As of February 6, 2018 our intellectual property portfolio includes seven issued U.S. patents, four pending U.S. patent applications, 20 issued foreign patents in countries including China, Canada, Brazil, Japan, Mexico and Australia, and also including four issued European patents that have been validated in many European countries, including Germany, Italy, Spain, France and the United Kingdom, and 52 pending foreign applications in regions including Canada, Mexico, Asia and Europe, and also including one patent application made under the Patent Cooperation Treaty, or PCT. These patents and patent applications include claims directed to RPL554 composition of matter, new dosage formulations and a crystalline polymorph, as well as methods of making and using RPL554 in the treatment of respiratory diseases, with expected expiry dates between 2020 and 2037.</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approximately £ 145 million in gross proceeds from investors since such listing, of which approximately £ 70 million was raised in our Nasdaq listing and the accompanying private offering in Europe and the shareholder private placement; we raised a further £45 million raised in our July 2016 private placement of equity securities with a number of European and U.S.-based healthcare specialist investment firms.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1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177800</wp:posOffset>
            </wp:positionV>
            <wp:extent cx="5848985" cy="4313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431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company has the following key distinguishing characteristics:</w:t>
      </w:r>
    </w:p>
    <w:p>
      <w:pPr>
        <w:spacing w:after="0" w:line="257" w:lineRule="exact"/>
        <w:rPr>
          <w:sz w:val="20"/>
          <w:szCs w:val="20"/>
          <w:color w:val="auto"/>
        </w:rPr>
      </w:pPr>
    </w:p>
    <w:p>
      <w:pPr>
        <w:ind w:left="660" w:hanging="328"/>
        <w:spacing w:after="0" w:line="256" w:lineRule="auto"/>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Potential for multiple targeted indications, formulations and add-on therapies. </w:t>
      </w:r>
      <w:r>
        <w:rPr>
          <w:rFonts w:ascii="Arial" w:cs="Arial" w:eastAsia="Arial" w:hAnsi="Arial"/>
          <w:sz w:val="18"/>
          <w:szCs w:val="18"/>
          <w:color w:val="auto"/>
        </w:rPr>
        <w:t>We are developing RPL554 in a nebulized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for the maintenance treatment of COPD patients, as an add-on therapy to short-acting bronchodilators and other commonly used therapies for the treatment of hospitalized patients with acute exacerbations of COPD and the treatment of CF. We also are developing RPL554 in both DPI and pMDI formulations for the maintenance treatment of COPD. In addition, we may explore the development of RPL554 in these formulations for the treatment of asthma and other respiratory diseases. Based on the favorable properties of RPL554 that we have observed in our clinical trials, we believe RPL554 has broad potential applicability in the treatment of other respiratory diseases, either as a single agent or as an add-on therapy.</w:t>
      </w:r>
    </w:p>
    <w:p>
      <w:pPr>
        <w:spacing w:after="0" w:line="102" w:lineRule="exact"/>
        <w:rPr>
          <w:rFonts w:ascii="Arial" w:cs="Arial" w:eastAsia="Arial" w:hAnsi="Arial"/>
          <w:sz w:val="18"/>
          <w:szCs w:val="18"/>
          <w:b w:val="1"/>
          <w:bCs w:val="1"/>
          <w:i w:val="1"/>
          <w:iCs w:val="1"/>
          <w:color w:val="auto"/>
        </w:rPr>
      </w:pPr>
    </w:p>
    <w:p>
      <w:pPr>
        <w:ind w:left="660" w:hanging="328"/>
        <w:spacing w:after="0" w:line="255" w:lineRule="auto"/>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Observed clinical benefit as a single agent and as an add-on therapy with a favorable safety profile. </w:t>
      </w:r>
      <w:r>
        <w:rPr>
          <w:rFonts w:ascii="Arial" w:cs="Arial" w:eastAsia="Arial" w:hAnsi="Arial"/>
          <w:sz w:val="18"/>
          <w:szCs w:val="18"/>
          <w:color w:val="auto"/>
        </w:rPr>
        <w:t>We have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enrollment of patients in twelve Phase 1 and 2 clinical trials for RPL554 with over 700 subjects enrolled; ten of these studies have been reported, one study is expected to report late in the first quarter of 2018 and one study is expected to report early in the second quarter of 2018. We have observed statistically significant improvements in lung function as compared to placebo, as well as clinically meaningful and statistically significant improvements in lung function when RPL554 is added to several commonly used bronchodilators as compared to such bronchodilators administered as a single agent. In addition, we observed a more rapid time of onset of bronchodilation when RPL554 was administered as an add-on therapy to these bronchodilators. RPL554 also has shown anti-inflammatory effects and been well tolerated in our clinical trials, and has not been observed to result in the gastrointestinal or other side</w:t>
      </w:r>
    </w:p>
    <w:p>
      <w:pPr>
        <w:sectPr>
          <w:pgSz w:w="11900" w:h="16838" w:orient="portrait"/>
          <w:cols w:equalWidth="0" w:num="1">
            <w:col w:w="11400"/>
          </w:cols>
          <w:pgMar w:left="240" w:top="495" w:right="259"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495" w:right="259" w:bottom="1440" w:gutter="0" w:footer="0" w:header="0"/>
          <w:type w:val="continuous"/>
        </w:sectPr>
      </w:pPr>
    </w:p>
    <w:bookmarkStart w:id="50" w:name="page51"/>
    <w:bookmarkEnd w:id="50"/>
    <w:p>
      <w:pPr>
        <w:ind w:left="660" w:right="80"/>
        <w:spacing w:after="0" w:line="303" w:lineRule="auto"/>
        <w:rPr>
          <w:sz w:val="20"/>
          <w:szCs w:val="20"/>
          <w:color w:val="auto"/>
        </w:rPr>
      </w:pPr>
      <w:r>
        <w:rPr>
          <w:rFonts w:ascii="Arial" w:cs="Arial" w:eastAsia="Arial" w:hAnsi="Arial"/>
          <w:sz w:val="18"/>
          <w:szCs w:val="18"/>
          <w:color w:val="auto"/>
        </w:rPr>
        <w:t>effects commonly associated with roflumilast, the only PDE4 inhibitor currently on the market approved for treatment of COPD. In addition, RPL554 has not been observed to result in any cardiovascular effects, other than a small increase in heart rate at the highest doses tested.</w:t>
      </w:r>
    </w:p>
    <w:p>
      <w:pPr>
        <w:spacing w:after="0" w:line="72" w:lineRule="exact"/>
        <w:rPr>
          <w:sz w:val="20"/>
          <w:szCs w:val="20"/>
          <w:color w:val="auto"/>
        </w:rPr>
      </w:pPr>
    </w:p>
    <w:p>
      <w:pPr>
        <w:ind w:left="660" w:right="100" w:hanging="328"/>
        <w:spacing w:after="0" w:line="256" w:lineRule="auto"/>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Differentiated mechanism of action in a single compound. </w:t>
      </w:r>
      <w:r>
        <w:rPr>
          <w:rFonts w:ascii="Arial" w:cs="Arial" w:eastAsia="Arial" w:hAnsi="Arial"/>
          <w:sz w:val="18"/>
          <w:szCs w:val="18"/>
          <w:color w:val="auto"/>
        </w:rPr>
        <w:t>RPL554 is a first-in-class, inhaled, dual inhibitor of PDE3 and PDE4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acts as both a bronchodilator and an anti-inflammatory agent in a single compound and stimulates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and CF. In addition, through this dual mechanism, RPL554 also stimulates the CFTR, which is important in the treatment of CF and potentially COPD. We believe that RPL554 has the potential to be a more effective and better tolerated treatment of COPD than existing treatments for COPD, including the approved PDE4 inhibitor.</w:t>
      </w:r>
    </w:p>
    <w:p>
      <w:pPr>
        <w:spacing w:after="0" w:line="102" w:lineRule="exact"/>
        <w:rPr>
          <w:rFonts w:ascii="Arial" w:cs="Arial" w:eastAsia="Arial" w:hAnsi="Arial"/>
          <w:sz w:val="18"/>
          <w:szCs w:val="18"/>
          <w:b w:val="1"/>
          <w:bCs w:val="1"/>
          <w:i w:val="1"/>
          <w:iCs w:val="1"/>
          <w:color w:val="auto"/>
        </w:rPr>
      </w:pPr>
    </w:p>
    <w:p>
      <w:pPr>
        <w:ind w:left="660" w:right="240" w:hanging="328"/>
        <w:spacing w:after="0" w:line="262" w:lineRule="auto"/>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Established regulatory pathway and well-defined clinical endpoints. </w:t>
      </w:r>
      <w:r>
        <w:rPr>
          <w:rFonts w:ascii="Arial" w:cs="Arial" w:eastAsia="Arial" w:hAnsi="Arial"/>
          <w:sz w:val="18"/>
          <w:szCs w:val="18"/>
          <w:color w:val="auto"/>
        </w:rPr>
        <w:t>Our planned clinical trials for RPL554 for the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COPD will be designed to evaluate the effect on FEV</w:t>
      </w:r>
      <w:r>
        <w:rPr>
          <w:rFonts w:ascii="Arial" w:cs="Arial" w:eastAsia="Arial" w:hAnsi="Arial"/>
          <w:sz w:val="14"/>
          <w:szCs w:val="14"/>
          <w:color w:val="auto"/>
        </w:rPr>
        <w:t>1</w:t>
      </w:r>
      <w:r>
        <w:rPr>
          <w:rFonts w:ascii="Arial" w:cs="Arial" w:eastAsia="Arial" w:hAnsi="Arial"/>
          <w:sz w:val="18"/>
          <w:szCs w:val="18"/>
          <w:color w:val="auto"/>
        </w:rPr>
        <w:t xml:space="preserve"> and duration of action of our product candidate. These clinical endpoints are commonly used in clinical trials for respiratory diseases and have been used by other companies in obtaining FDA approval of drugs addressing respiratory diseases.</w:t>
      </w:r>
    </w:p>
    <w:p>
      <w:pPr>
        <w:spacing w:after="0" w:line="95" w:lineRule="exact"/>
        <w:rPr>
          <w:rFonts w:ascii="Arial" w:cs="Arial" w:eastAsia="Arial" w:hAnsi="Arial"/>
          <w:sz w:val="18"/>
          <w:szCs w:val="18"/>
          <w:b w:val="1"/>
          <w:bCs w:val="1"/>
          <w:i w:val="1"/>
          <w:iCs w:val="1"/>
          <w:color w:val="auto"/>
        </w:rPr>
      </w:pPr>
    </w:p>
    <w:p>
      <w:pPr>
        <w:ind w:left="660" w:right="40" w:hanging="328"/>
        <w:spacing w:after="0" w:line="256" w:lineRule="auto"/>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Addressing significant market opportunities. </w:t>
      </w:r>
      <w:r>
        <w:rPr>
          <w:rFonts w:ascii="Arial" w:cs="Arial" w:eastAsia="Arial" w:hAnsi="Arial"/>
          <w:sz w:val="18"/>
          <w:szCs w:val="18"/>
          <w:color w:val="auto"/>
        </w:rPr>
        <w:t>Despite the availability of bronchodilators and anti-inflammatory corticosteroid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PDE4 inhibitor treatments for COPD, 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We believe the properties of RPL554 make it attractive as an important and novel potential treatment of patients with COPD, as well as for patients with CF and asthma. We plan to seek orphan drug designation of RPL554 for the treatment of CF.</w:t>
      </w:r>
    </w:p>
    <w:p>
      <w:pPr>
        <w:spacing w:after="0" w:line="102" w:lineRule="exact"/>
        <w:rPr>
          <w:rFonts w:ascii="Arial" w:cs="Arial" w:eastAsia="Arial" w:hAnsi="Arial"/>
          <w:sz w:val="18"/>
          <w:szCs w:val="18"/>
          <w:b w:val="1"/>
          <w:bCs w:val="1"/>
          <w:i w:val="1"/>
          <w:iCs w:val="1"/>
          <w:color w:val="auto"/>
        </w:rPr>
      </w:pPr>
    </w:p>
    <w:p>
      <w:pPr>
        <w:ind w:left="660" w:right="60" w:hanging="328"/>
        <w:spacing w:after="0" w:line="259" w:lineRule="auto"/>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Members of our management team and board of directors have extensive experience in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and biotechnology 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 community provides us with insight into product development and identification of other opportunities in the respiratory field.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28" w:lineRule="exact"/>
        <w:rPr>
          <w:sz w:val="20"/>
          <w:szCs w:val="20"/>
          <w:color w:val="auto"/>
        </w:rPr>
      </w:pPr>
    </w:p>
    <w:p>
      <w:pPr>
        <w:ind w:left="660" w:right="80" w:hanging="328"/>
        <w:spacing w:after="0" w:line="220" w:lineRule="exact"/>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Rapidly advance the development of nebulized RPL554 for the maintenance treatment of COPD. </w:t>
      </w:r>
      <w:r>
        <w:rPr>
          <w:rFonts w:ascii="Arial" w:cs="Arial" w:eastAsia="Arial" w:hAnsi="Arial"/>
          <w:sz w:val="18"/>
          <w:szCs w:val="18"/>
          <w:color w:val="auto"/>
        </w:rPr>
        <w:t>We intend to develop RPL554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maintenance treatment of COPD. We are conducting an ongoing four</w:t>
      </w:r>
      <w:r>
        <w:rPr>
          <w:rFonts w:ascii="MS PGothic" w:cs="MS PGothic" w:eastAsia="MS PGothic" w:hAnsi="MS PGothic"/>
          <w:sz w:val="18"/>
          <w:szCs w:val="18"/>
          <w:color w:val="auto"/>
        </w:rPr>
        <w:t>‑</w:t>
      </w:r>
      <w:r>
        <w:rPr>
          <w:rFonts w:ascii="Arial" w:cs="Arial" w:eastAsia="Arial" w:hAnsi="Arial"/>
          <w:sz w:val="18"/>
          <w:szCs w:val="18"/>
          <w:color w:val="auto"/>
        </w:rPr>
        <w:t>week Phase 2b dose ranging clinical trial to evaluate RPL554 for the maintenance treatment of COPD. In this trial, we are comparing the use of RPL554 in a nebulized formulation to placebo in approximately 400 patients. This trial has completed patient enrollment and we expect to report top</w:t>
      </w:r>
      <w:r>
        <w:rPr>
          <w:rFonts w:ascii="MS PGothic" w:cs="MS PGothic" w:eastAsia="MS PGothic" w:hAnsi="MS PGothic"/>
          <w:sz w:val="18"/>
          <w:szCs w:val="18"/>
          <w:color w:val="auto"/>
        </w:rPr>
        <w:t>‑</w:t>
      </w:r>
      <w:r>
        <w:rPr>
          <w:rFonts w:ascii="Arial" w:cs="Arial" w:eastAsia="Arial" w:hAnsi="Arial"/>
          <w:sz w:val="18"/>
          <w:szCs w:val="18"/>
          <w:color w:val="auto"/>
        </w:rPr>
        <w:t>line data early in the second quarter of 2018.</w:t>
      </w:r>
    </w:p>
    <w:p>
      <w:pPr>
        <w:spacing w:after="0" w:line="137" w:lineRule="exact"/>
        <w:rPr>
          <w:rFonts w:ascii="Arial" w:cs="Arial" w:eastAsia="Arial" w:hAnsi="Arial"/>
          <w:sz w:val="18"/>
          <w:szCs w:val="18"/>
          <w:b w:val="1"/>
          <w:bCs w:val="1"/>
          <w:i w:val="1"/>
          <w:iCs w:val="1"/>
          <w:color w:val="auto"/>
        </w:rPr>
      </w:pPr>
    </w:p>
    <w:p>
      <w:pPr>
        <w:ind w:left="660" w:hanging="328"/>
        <w:spacing w:after="0" w:line="26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 This could possibly avoid or shorten the previously planned 12-week Phase 2b dose-ranging clinical trial.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hospitalized patients and as a treatment for CF patients.</w:t>
      </w:r>
    </w:p>
    <w:p>
      <w:pPr>
        <w:spacing w:after="0" w:line="114" w:lineRule="exact"/>
        <w:rPr>
          <w:sz w:val="20"/>
          <w:szCs w:val="20"/>
          <w:color w:val="auto"/>
        </w:rPr>
      </w:pPr>
    </w:p>
    <w:p>
      <w:pPr>
        <w:ind w:left="660" w:right="2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plan on studying RPL554 on top of two commonly used long acting bronchodilators in a dose ranging, three way cross-over trial involving up to 100 patients with moderate to severe COPD. We plan on starting this trial in the fourth quarter of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44" w:right="259" w:bottom="1440" w:gutter="0" w:footer="0" w:header="0"/>
        </w:sectPr>
      </w:pPr>
    </w:p>
    <w:bookmarkStart w:id="51" w:name="page52"/>
    <w:bookmarkEnd w:id="51"/>
    <w:p>
      <w:pPr>
        <w:ind w:left="328" w:right="140" w:hanging="328"/>
        <w:spacing w:after="0" w:line="256" w:lineRule="auto"/>
        <w:tabs>
          <w:tab w:leader="none" w:pos="32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Adapt the current nebulized formulation and presentation of RPL554. </w:t>
      </w:r>
      <w:r>
        <w:rPr>
          <w:rFonts w:ascii="Arial" w:cs="Arial" w:eastAsia="Arial" w:hAnsi="Arial"/>
          <w:sz w:val="18"/>
          <w:szCs w:val="18"/>
          <w:color w:val="auto"/>
        </w:rPr>
        <w:t>RPL554 for nebulized administration is currently presented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glass vial with a flip, tear-up cap. This format is adequate for clinical trials but patient acceptance in a commercial setting is expected to be improved by a switch to presenting the suspension formulation of RPL554 in plastic ampules. We will investigate the feasibility to manufacture and supply RPL554 nebulized suspension formulation in plastic ampules. In addition to patient acceptance, switching to plastic ampules may also be more cost-effective for manufacturing in larger volumes. A decision on presentation form will be made before the start of Phase 3 clinical trials; during this evaluation process we will also review and optimize the nebulized suspension formulation as part of a quality by design program.</w:t>
      </w:r>
    </w:p>
    <w:p>
      <w:pPr>
        <w:spacing w:after="0" w:line="102" w:lineRule="exact"/>
        <w:rPr>
          <w:rFonts w:ascii="Arial" w:cs="Arial" w:eastAsia="Arial" w:hAnsi="Arial"/>
          <w:sz w:val="18"/>
          <w:szCs w:val="18"/>
          <w:b w:val="1"/>
          <w:bCs w:val="1"/>
          <w:i w:val="1"/>
          <w:iCs w:val="1"/>
          <w:color w:val="auto"/>
        </w:rPr>
      </w:pPr>
    </w:p>
    <w:p>
      <w:pPr>
        <w:ind w:left="328" w:right="20" w:hanging="328"/>
        <w:spacing w:after="0" w:line="219" w:lineRule="exact"/>
        <w:tabs>
          <w:tab w:leader="none" w:pos="32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Advance the development of nebulized RPL554 for the treatment of acute exacerbations of COPD. </w:t>
      </w:r>
      <w:r>
        <w:rPr>
          <w:rFonts w:ascii="Arial" w:cs="Arial" w:eastAsia="Arial" w:hAnsi="Arial"/>
          <w:sz w:val="18"/>
          <w:szCs w:val="18"/>
          <w:color w:val="auto"/>
        </w:rPr>
        <w:t>We also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as an add</w:t>
      </w:r>
      <w:r>
        <w:rPr>
          <w:rFonts w:ascii="MS PGothic" w:cs="MS PGothic" w:eastAsia="MS PGothic" w:hAnsi="MS PGothic"/>
          <w:sz w:val="18"/>
          <w:szCs w:val="18"/>
          <w:color w:val="auto"/>
        </w:rPr>
        <w:t>‑</w:t>
      </w:r>
      <w:r>
        <w:rPr>
          <w:rFonts w:ascii="Arial" w:cs="Arial" w:eastAsia="Arial" w:hAnsi="Arial"/>
          <w:sz w:val="18"/>
          <w:szCs w:val="18"/>
          <w:color w:val="auto"/>
        </w:rPr>
        <w:t>on therapy to short</w:t>
      </w:r>
      <w:r>
        <w:rPr>
          <w:rFonts w:ascii="MS PGothic" w:cs="MS PGothic" w:eastAsia="MS PGothic" w:hAnsi="MS PGothic"/>
          <w:sz w:val="18"/>
          <w:szCs w:val="18"/>
          <w:color w:val="auto"/>
        </w:rPr>
        <w:t>‑</w:t>
      </w:r>
      <w:r>
        <w:rPr>
          <w:rFonts w:ascii="Arial" w:cs="Arial" w:eastAsia="Arial" w:hAnsi="Arial"/>
          <w:sz w:val="18"/>
          <w:szCs w:val="18"/>
          <w:color w:val="auto"/>
        </w:rPr>
        <w:t>acting bronchodilators and other commonly used therapies for the treatment of hospitalized patients with acute exacerbations of COPD. We plan to commence a Phase 2 clinical trial in the United States for RPL554 for this indication late in the second half of 2018. 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in hospitalized patients and as a treatment for CF patients.</w:t>
      </w:r>
    </w:p>
    <w:p>
      <w:pPr>
        <w:spacing w:after="0" w:line="114" w:lineRule="exact"/>
        <w:rPr>
          <w:sz w:val="20"/>
          <w:szCs w:val="20"/>
          <w:color w:val="auto"/>
        </w:rPr>
      </w:pPr>
    </w:p>
    <w:p>
      <w:pPr>
        <w:ind w:left="328" w:hanging="328"/>
        <w:spacing w:after="0" w:line="218" w:lineRule="exact"/>
        <w:tabs>
          <w:tab w:leader="none" w:pos="328"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In March 2017, we commenced a Phase 2a single</w:t>
      </w:r>
      <w:r>
        <w:rPr>
          <w:rFonts w:ascii="MS PGothic" w:cs="MS PGothic" w:eastAsia="MS PGothic" w:hAnsi="MS PGothic"/>
          <w:sz w:val="18"/>
          <w:szCs w:val="18"/>
          <w:color w:val="auto"/>
        </w:rPr>
        <w:t>‑</w:t>
      </w:r>
      <w:r>
        <w:rPr>
          <w:rFonts w:ascii="Arial" w:cs="Arial" w:eastAsia="Arial" w:hAnsi="Arial"/>
          <w:sz w:val="18"/>
          <w:szCs w:val="18"/>
          <w:color w:val="auto"/>
        </w:rPr>
        <w:t>dose trial in the United Kingdom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up to ten CF patients to evaluate the PK and PD profile and tolerability of RPL554, as well as examine the effect on lung function. We expect to report top</w:t>
      </w:r>
      <w:r>
        <w:rPr>
          <w:rFonts w:ascii="MS PGothic" w:cs="MS PGothic" w:eastAsia="MS PGothic" w:hAnsi="MS PGothic"/>
          <w:sz w:val="18"/>
          <w:szCs w:val="18"/>
          <w:color w:val="auto"/>
        </w:rPr>
        <w:t>‑</w:t>
      </w:r>
      <w:r>
        <w:rPr>
          <w:rFonts w:ascii="Arial" w:cs="Arial" w:eastAsia="Arial" w:hAnsi="Arial"/>
          <w:sz w:val="18"/>
          <w:szCs w:val="18"/>
          <w:color w:val="auto"/>
        </w:rPr>
        <w:t>line data from this trial late in the first quarter of 2018. The results of this trial are expected to support dose selection for a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Phase 2b trial in Europe in approximately 100 patients with CF, which we plan to commence late in the second half of 2018.Depending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in hospitalized patients and as a treatment for CF patients.</w:t>
      </w:r>
    </w:p>
    <w:p>
      <w:pPr>
        <w:spacing w:after="0" w:line="121" w:lineRule="exact"/>
        <w:rPr>
          <w:rFonts w:ascii="Arial" w:cs="Arial" w:eastAsia="Arial" w:hAnsi="Arial"/>
          <w:sz w:val="18"/>
          <w:szCs w:val="18"/>
          <w:b w:val="1"/>
          <w:bCs w:val="1"/>
          <w:i w:val="1"/>
          <w:iCs w:val="1"/>
          <w:color w:val="auto"/>
        </w:rPr>
      </w:pPr>
    </w:p>
    <w:p>
      <w:pPr>
        <w:ind w:left="328" w:right="200" w:hanging="328"/>
        <w:spacing w:after="0" w:line="274" w:lineRule="auto"/>
        <w:tabs>
          <w:tab w:leader="none" w:pos="328"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Develop DPI and MDI formulations of RPL554. </w:t>
      </w:r>
      <w:r>
        <w:rPr>
          <w:rFonts w:ascii="Arial" w:cs="Arial" w:eastAsia="Arial" w:hAnsi="Arial"/>
          <w:sz w:val="17"/>
          <w:szCs w:val="17"/>
          <w:color w:val="auto"/>
        </w:rPr>
        <w:t>In addition to our nebulized formulation of RPL554, we are developing RPL554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DPI and pMDI formulations for the maintenance treatment of COPD. We believe the development of DPI and pMDI formulations has the potential to significantly increase the market opportunity for RPL554, if approved, for the maintenance treatment of COPD.</w:t>
      </w:r>
    </w:p>
    <w:p>
      <w:pPr>
        <w:ind w:left="328" w:right="80"/>
        <w:spacing w:after="0" w:line="216" w:lineRule="exact"/>
        <w:rPr>
          <w:rFonts w:ascii="Arial" w:cs="Arial" w:eastAsia="Arial" w:hAnsi="Arial"/>
          <w:sz w:val="17"/>
          <w:szCs w:val="17"/>
          <w:b w:val="1"/>
          <w:bCs w:val="1"/>
          <w:i w:val="1"/>
          <w:iCs w:val="1"/>
          <w:color w:val="auto"/>
        </w:rPr>
      </w:pPr>
      <w:r>
        <w:rPr>
          <w:rFonts w:ascii="Arial" w:cs="Arial" w:eastAsia="Arial" w:hAnsi="Arial"/>
          <w:sz w:val="18"/>
          <w:szCs w:val="18"/>
          <w:color w:val="auto"/>
        </w:rPr>
        <w:t>Following the progression of our DPI and pMDI formulation process, we plan to commence pre</w:t>
      </w:r>
      <w:r>
        <w:rPr>
          <w:rFonts w:ascii="MS PGothic" w:cs="MS PGothic" w:eastAsia="MS PGothic" w:hAnsi="MS PGothic"/>
          <w:sz w:val="18"/>
          <w:szCs w:val="18"/>
          <w:color w:val="auto"/>
        </w:rPr>
        <w:t>‑</w:t>
      </w:r>
      <w:r>
        <w:rPr>
          <w:rFonts w:ascii="Arial" w:cs="Arial" w:eastAsia="Arial" w:hAnsi="Arial"/>
          <w:sz w:val="18"/>
          <w:szCs w:val="18"/>
          <w:color w:val="auto"/>
        </w:rPr>
        <w:t>clinical studies for RPL554 in these formulations in 2018, to be followed by the first clinical trials in healthy subjects or patients with COPD. In addition, we may explore the development of RPL554 in these formulations for the treatment of asthma and other respiratory diseases.</w:t>
      </w:r>
    </w:p>
    <w:p>
      <w:pPr>
        <w:spacing w:after="0" w:line="114" w:lineRule="exact"/>
        <w:rPr>
          <w:rFonts w:ascii="Arial" w:cs="Arial" w:eastAsia="Arial" w:hAnsi="Arial"/>
          <w:sz w:val="17"/>
          <w:szCs w:val="17"/>
          <w:b w:val="1"/>
          <w:bCs w:val="1"/>
          <w:i w:val="1"/>
          <w:iCs w:val="1"/>
          <w:color w:val="auto"/>
        </w:rPr>
      </w:pPr>
    </w:p>
    <w:p>
      <w:pPr>
        <w:ind w:left="328" w:right="260" w:hanging="328"/>
        <w:spacing w:after="0" w:line="262" w:lineRule="auto"/>
        <w:tabs>
          <w:tab w:leader="none" w:pos="328"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 inhaled,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95" w:lineRule="exact"/>
        <w:rPr>
          <w:rFonts w:ascii="Arial" w:cs="Arial" w:eastAsia="Arial" w:hAnsi="Arial"/>
          <w:sz w:val="18"/>
          <w:szCs w:val="18"/>
          <w:b w:val="1"/>
          <w:bCs w:val="1"/>
          <w:i w:val="1"/>
          <w:iCs w:val="1"/>
          <w:color w:val="auto"/>
        </w:rPr>
      </w:pPr>
    </w:p>
    <w:p>
      <w:pPr>
        <w:ind w:left="328" w:right="40" w:hanging="328"/>
        <w:spacing w:after="0" w:line="269" w:lineRule="auto"/>
        <w:tabs>
          <w:tab w:leader="none" w:pos="328"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Seek strategic collaborative relationships. </w:t>
      </w:r>
      <w:r>
        <w:rPr>
          <w:rFonts w:ascii="Arial" w:cs="Arial" w:eastAsia="Arial" w:hAnsi="Arial"/>
          <w:sz w:val="18"/>
          <w:szCs w:val="18"/>
          <w:color w:val="auto"/>
        </w:rPr>
        <w:t>We may seek strategic collaborations with market-leading biopharmaceutical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develop and commercialize RPL554. We believe these collaborations could provide significant funding to advance the development of RPL554 while allowing us to benefit from the development or commercialization expertise of our collaborators.</w:t>
      </w:r>
    </w:p>
    <w:p>
      <w:pPr>
        <w:spacing w:after="0" w:line="87" w:lineRule="exact"/>
        <w:rPr>
          <w:rFonts w:ascii="Arial" w:cs="Arial" w:eastAsia="Arial" w:hAnsi="Arial"/>
          <w:sz w:val="18"/>
          <w:szCs w:val="18"/>
          <w:b w:val="1"/>
          <w:bCs w:val="1"/>
          <w:i w:val="1"/>
          <w:iCs w:val="1"/>
          <w:color w:val="auto"/>
        </w:rPr>
      </w:pPr>
    </w:p>
    <w:p>
      <w:pPr>
        <w:ind w:left="328" w:right="140" w:hanging="328"/>
        <w:spacing w:after="0" w:line="287" w:lineRule="auto"/>
        <w:tabs>
          <w:tab w:leader="none" w:pos="328"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identify and in-license or acquire additional clinical-stage</w:t>
      </w:r>
    </w:p>
    <w:p>
      <w:pPr>
        <w:spacing w:after="0" w:line="33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8"/>
          </w:cols>
          <w:pgMar w:left="572" w:top="495" w:right="239" w:bottom="1440" w:gutter="0" w:footer="0" w:header="0"/>
        </w:sectPr>
      </w:pPr>
    </w:p>
    <w:bookmarkStart w:id="52" w:name="page53"/>
    <w:bookmarkEnd w:id="52"/>
    <w:p>
      <w:pPr>
        <w:ind w:left="660" w:right="540"/>
        <w:spacing w:after="0" w:line="309" w:lineRule="auto"/>
        <w:rPr>
          <w:sz w:val="20"/>
          <w:szCs w:val="20"/>
          <w:color w:val="auto"/>
        </w:rPr>
      </w:pPr>
      <w:r>
        <w:rPr>
          <w:rFonts w:ascii="Arial" w:cs="Arial" w:eastAsia="Arial" w:hAnsi="Arial"/>
          <w:sz w:val="18"/>
          <w:szCs w:val="18"/>
          <w:color w:val="auto"/>
        </w:rPr>
        <w:t>product candidates that we believe have the potential to become novel treatments for respiratory diseases with significant unmet medical needs.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COPD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product candidate, RPL554, is a first-in-class, inhaled, dual inhibitor of PDE3 and PDE4 that acts as both a bronchodilator and an anti-inflammatory agent in a single compound. We are not aware of any therapy in a single compound in clinical development or approved by the FDA or the EMA, for the treatment of respiratory diseases that acts as both a bronchodilator and anti-inflammatory agent. We believe RPL554 has the potential to be the first novel class of bronchodilator in over 40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COPD Background</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COPD is a progressive respiratory disease for which there is no cure. COPD damages the airways and the lungs and leads to shortness of breath, impacting a person's ability to work, exercise, sleep and perform other daily activities. Part of the pathology of the disease is chronic airway inflammation and constriction of airway muscles. Airflow limitation in COPD patients results from mucosal and airway inflammation and edema, or excess fluid in the airway walls, bronchoconstriction, increased secretions in the airways and loss of elastic recoil, or the ease with which the lung rebounds after having been stretched by inhalation. COPD includes chronic bronchitis, which refers to the inflammation of the lung and airways that results in coughing and sputum production, and emphysema, which refers to a destruction of distal lung tissue, or air sacs. In some cases, hospitalized patients with COPD experience acute exacerbations, which include rapid and prolonged worsening of symptoms.</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According to the World Health Organization, COPD is the third leading cause of death globally, with 210 million people worldwide suffering from the disease. The U.S. Centers for Disease Control and Prevention, or CDC, estimates that there are 24 million people with COPD in the United States, only half of whom have been diagnosed. Of those diagnosed with COPD in the United States, approximately 2 million suffer from severe or very severe forms of the disease. Acute exacerbations or COPD are estimated to cause approximately 1.5 million emergency department visits, 687,000 hospitalizations and 129,000 deaths per year in the United States alone. According to the CDC, total annual medical costs relating to COPD in the United States were estimated to be $32 billion in 2010, and are projected to rise to $49 billion in 2020. An estimated 16.4 million days of work were lost due to COPD each year in the United States. Global sales of drugs currently indicated for COPD were $10.6 billion in 2016 and are expected to grow to $15.6 billion in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COPD</w:t>
      </w:r>
    </w:p>
    <w:p>
      <w:pPr>
        <w:spacing w:after="0" w:line="30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There are no approved therapies for COPD that alter the progression, rate of decline of lung function or mortality of the disease. The goal of current COPD treatments is to alleviate symptoms, decrease the frequency and severity of exacerbations, and reduce limitations on daily activities. COPD patients are commonly treated with bronchodilators, which seek to relieve airway constriction and make it easier to breathe, and inhaled corticosteroids, which seek to reduce lung inflammation. For patients with more severe disease who experience recurrent exacerbations, and for whom inhaled corticosteroids are not effective, an oral formulation of a PDE4 inhibitor, which is an anti-inflammatory agent, is available and may be used as treatment. Antibiotic therapy has also been shown to have a small but important effect on clinical recovery and outcome in hospitalized patients with bacterial infections that resulted in an acute exacerbation of COPD.</w:t>
      </w:r>
    </w:p>
    <w:p>
      <w:pPr>
        <w:spacing w:after="0" w:line="2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Despite the availability of bronchodilators, anti-inflammatory corticosteroids, an anti-inflammatory PDE4 inhibitor and antibiotics for treatment of COPD, many patients continue to suffer from significant symptoms and may experience acute exacerbations leading to increased doses of medication and hospitalization. Following an acute exacerbation of COPD and subsequent hospitalization, it may take many weeks for a patient's lung function to recover to pre-exacerbation levels. In addition, the rate of mortality of COPD patients within one year of hospitalization is approximately 20%, and patients with a need for hospital readmission have only a 20% five-year survival rate. Retrospective studies have demonstrated that more than 20% of patients discharged from hospital after an exacerbation of their COPD require readmission within 30 days of discharge. This has medical implications for the patient and is a financial burden for the healthcare system. We believe that increasing awareness of the problem of COPD patients returning for hospital treatment within 30 days of discharge has triggered a strong interest from industry, regulators and healthcare administrators and payors in optimizing the treatment of acute COPD exacerbations, both in the hospital setting and after patients are discharged.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44" w:right="259" w:bottom="1440" w:gutter="0" w:footer="0" w:header="0"/>
        </w:sectPr>
      </w:pPr>
    </w:p>
    <w:bookmarkStart w:id="53" w:name="page54"/>
    <w:bookmarkEnd w:id="53"/>
    <w:p>
      <w:pPr>
        <w:ind w:right="40"/>
        <w:spacing w:after="0" w:line="252" w:lineRule="auto"/>
        <w:rPr>
          <w:sz w:val="20"/>
          <w:szCs w:val="20"/>
          <w:color w:val="auto"/>
        </w:rPr>
      </w:pPr>
      <w:r>
        <w:rPr>
          <w:rFonts w:ascii="Arial" w:cs="Arial" w:eastAsia="Arial" w:hAnsi="Arial"/>
          <w:sz w:val="18"/>
          <w:szCs w:val="18"/>
          <w:color w:val="auto"/>
        </w:rPr>
        <w:t>For many COPD patients, a better and more effective maintenance treatment is required that can control their symptoms and reduce the risk of acute exacerbations. For patients that require hospitalization, essentially the same treatment modalities are used as in non-hospitalized patient treatment, however, they are often treated with higher doses, including with corticosteroids that are administered systemically rather than locally by inhalation. Acute medical treatment of COPD exacerbations has not changed in decades, with older, short-acting nebulized bronchodilators still used as a mainstay bronchodilator treatment in the acute hospital setting. This is despite hospitalizations for COPD being long, at about five days, expensive, and with a high mortality rate and high probability of hospital readmission. We believe there is an unmet medical need for an improved treatment approach.</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Bronchodilators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Bronchodilators are the first-line therapy for the treatment of COPD patients. There are two existing classes of bronchodilators: beta2-agonists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anti-muscarinics. Long-acting versions of these bronchodilators, lasting 12 to 24 hours, are commonly used in the maintenance therapy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patients with COPD. Long-acting beta2-agonists, or LABAs, which are commonly used in combination with inhaled corticosteroids,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Advair (salmeterol and fluticasone), which had $2.4 billion in global sales in 2015, and Symbicort (formoterol and budesonide), which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billion in global sales in 2015. Long-acting anti-muscarinics, or LAMAs, include Spiriva (tiotropium), which had $3.9 billion in global sales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2015. In the United States, nebulized LABAs, which are only indicated for COPD, generated sales of $601 million in the 12-month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ending June 30, 2016. In addition to producing bronchodilation, beta2-agonists have been shown to improve mucociliary clearance in COPD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patients, thereby potentially reducing mucus in the airways. LAMAs have a different mechanism of action and effect bronchodilation 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different cell-surface receptors and through different intracellular pathways than LABAs. Studies with twice-daily LABAs indicate that clinically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relevant improvements in dyspnea or health-related quality of life are only achieved by a minority of patients. Clinical data suggest that inhaled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LAMAs may be somewhat more effective than LABAs in improving lung function of COPD patients. However, LAMAs have a relatively slow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onset of action and both LABAs and LAMAs are contraindicated for acute use in the United States. Another limitation is a diminished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effectiveness of beta2-agonists that can be experienced by some COPD patients over time. Some patients also have adrenergic side effects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tremor or increased heart rate from existing beta2-agonists.</w:t>
      </w:r>
    </w:p>
    <w:p>
      <w:pPr>
        <w:spacing w:after="0" w:line="2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Short-acting versions of bronchodilators, lasting up to eight hours, are most commonly used to treat hospitalized patients who experience a worsening airway obstruction, including as a result of acute exacerbations of COPD. A short-acting beta2-agonist, or SABA, such as Ventolin (albuterol), which had $820 million in global sales in 2015, and a short-acting anti-muscarinic, or SAMA, such as Atrovent (ipratropium), which had $590 million in global sales in 2015, are typically used for relief of acute exacerbations of COPD. However, the response to bronchodilators can be highly variable in individual patients over time, and patients who are non-responders at one office visit may respond at a different visit. In addition, the frequent use of beta2-agonists can lead to reduced effectiveness of the drug due to the development of tolerance. As a consequence of this variability in responsiveness, a significant number of COPD patients are classified as non-responders to albuterol, the standard SABA used in the market. Based on screening visits in a large recent clinical trial conducted by GlaxoSmithKline, in which patients were treated with albuterol once every three months over a 12-month period, the rate of classification of patients as responders per treatment was 24% as measured by American Thoracic Society, or ATS, criteria. Classification as a responder pursuant to ATS criteria requires at least a 12% and 200 ml increase in FEV</w:t>
      </w:r>
      <w:r>
        <w:rPr>
          <w:rFonts w:ascii="Arial" w:cs="Arial" w:eastAsia="Arial" w:hAnsi="Arial"/>
          <w:sz w:val="14"/>
          <w:szCs w:val="14"/>
          <w:color w:val="auto"/>
        </w:rPr>
        <w:t>1</w:t>
      </w:r>
      <w:r>
        <w:rPr>
          <w:rFonts w:ascii="Arial" w:cs="Arial" w:eastAsia="Arial" w:hAnsi="Arial"/>
          <w:sz w:val="18"/>
          <w:szCs w:val="18"/>
          <w:color w:val="auto"/>
        </w:rPr>
        <w:t>. In addition, the rate of classification of patients as consistent responders, or responders at least three out of four times over the 12-month treatment period, was 14% as measured by ATS criteria. In another large study conducted by Boehringer Ingelheim, even when albuterol was combined with ipratropium, the rate of classification of patients as responders pursuant to the ATS criteria was just over 50%.</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Bronchodilators can be delivered in a nebulized form or by a DPI or pMDI if patients are able to use proper technique, which may be difficult during an exacerbation. As a result, acute COPD exacerbations are often treated with a nebulizer. A nebulizer is both convenient and effective in delivering a large dose. Use of a nebulizer to provide bronchodilation enhances delivery of the therapeutic to the airways of the patient.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w:t>
      </w:r>
    </w:p>
    <w:p>
      <w:pPr>
        <w:spacing w:after="0" w:line="126" w:lineRule="exact"/>
        <w:rPr>
          <w:sz w:val="20"/>
          <w:szCs w:val="20"/>
          <w:color w:val="auto"/>
        </w:rPr>
      </w:pPr>
    </w:p>
    <w:p>
      <w:pPr>
        <w:ind w:right="80"/>
        <w:spacing w:after="0" w:line="217" w:lineRule="exact"/>
        <w:rPr>
          <w:sz w:val="20"/>
          <w:szCs w:val="20"/>
          <w:color w:val="auto"/>
        </w:rPr>
      </w:pPr>
      <w:r>
        <w:rPr>
          <w:rFonts w:ascii="Arial" w:cs="Arial" w:eastAsia="Arial" w:hAnsi="Arial"/>
          <w:sz w:val="18"/>
          <w:szCs w:val="18"/>
          <w:color w:val="auto"/>
        </w:rPr>
        <w:t>Beta2</w:t>
      </w:r>
      <w:r>
        <w:rPr>
          <w:rFonts w:ascii="MS PGothic" w:cs="MS PGothic" w:eastAsia="MS PGothic" w:hAnsi="MS PGothic"/>
          <w:sz w:val="18"/>
          <w:szCs w:val="18"/>
          <w:color w:val="auto"/>
        </w:rPr>
        <w:t>‑</w:t>
      </w:r>
      <w:r>
        <w:rPr>
          <w:rFonts w:ascii="Arial" w:cs="Arial" w:eastAsia="Arial" w:hAnsi="Arial"/>
          <w:sz w:val="18"/>
          <w:szCs w:val="18"/>
          <w:color w:val="auto"/>
        </w:rPr>
        <w:t>agonists and anti</w:t>
      </w:r>
      <w:r>
        <w:rPr>
          <w:rFonts w:ascii="MS PGothic" w:cs="MS PGothic" w:eastAsia="MS PGothic" w:hAnsi="MS PGothic"/>
          <w:sz w:val="18"/>
          <w:szCs w:val="18"/>
          <w:color w:val="auto"/>
        </w:rPr>
        <w:t>‑</w:t>
      </w:r>
      <w:r>
        <w:rPr>
          <w:rFonts w:ascii="Arial" w:cs="Arial" w:eastAsia="Arial" w:hAnsi="Arial"/>
          <w:sz w:val="18"/>
          <w:szCs w:val="18"/>
          <w:color w:val="auto"/>
        </w:rPr>
        <w:t>muscarinics can be used as single agents for the treatment of COPD, but studies have shown that their combined use leads to greater bronchodilation than each used as a single agent because these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17" w:right="239" w:bottom="1440" w:gutter="0" w:footer="0" w:header="0"/>
        </w:sectPr>
      </w:pPr>
    </w:p>
    <w:bookmarkStart w:id="54" w:name="page55"/>
    <w:bookmarkEnd w:id="54"/>
    <w:p>
      <w:pPr>
        <w:ind w:right="340"/>
        <w:spacing w:after="0" w:line="253" w:lineRule="auto"/>
        <w:rPr>
          <w:sz w:val="20"/>
          <w:szCs w:val="20"/>
          <w:color w:val="auto"/>
        </w:rPr>
      </w:pPr>
      <w:r>
        <w:rPr>
          <w:rFonts w:ascii="Arial" w:cs="Arial" w:eastAsia="Arial" w:hAnsi="Arial"/>
          <w:sz w:val="18"/>
          <w:szCs w:val="18"/>
          <w:color w:val="auto"/>
        </w:rPr>
        <w:t>classes of bronchodilators have different mechanisms of action to improve lung function. Based on these findings, novel drugs combining a LABA and a LAMA in one inhaler device are being brought to market, such as Novartis’ Utibro Breezhaler (indacaterol and glycopyrrolate), which had $260 million in global sales in 2015. However, many patients, and especially those with more severe disease, still need more effective bronchodilation to improve their symptoms. Additionally, LABAs and LAMAs, acting alone or in combination, do not treat the underlying inflammation present in COPD.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Corticosteroids</w:t>
      </w:r>
    </w:p>
    <w:p>
      <w:pPr>
        <w:spacing w:after="0" w:line="162"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Corticosteroids are used for treatment in a range of diseases for their anti</w:t>
      </w:r>
      <w:r>
        <w:rPr>
          <w:rFonts w:ascii="MS PGothic" w:cs="MS PGothic" w:eastAsia="MS PGothic" w:hAnsi="MS PGothic"/>
          <w:sz w:val="18"/>
          <w:szCs w:val="18"/>
          <w:color w:val="auto"/>
        </w:rPr>
        <w:t>‑</w:t>
      </w:r>
      <w:r>
        <w:rPr>
          <w:rFonts w:ascii="Arial" w:cs="Arial" w:eastAsia="Arial" w:hAnsi="Arial"/>
          <w:sz w:val="18"/>
          <w:szCs w:val="18"/>
          <w:color w:val="auto"/>
        </w:rPr>
        <w:t xml:space="preserve">inflammatory effect. However, corticosteroids do not affect neutrophils, which are widely recognized as the perhaps most important inflammatory cells in COPD. Corticosteroids have shown limited efficacy and are not approved as a stand </w:t>
      </w:r>
      <w:r>
        <w:rPr>
          <w:rFonts w:ascii="MS PGothic" w:cs="MS PGothic" w:eastAsia="MS PGothic" w:hAnsi="MS PGothic"/>
          <w:sz w:val="18"/>
          <w:szCs w:val="18"/>
          <w:color w:val="auto"/>
        </w:rPr>
        <w:t>‑</w:t>
      </w:r>
      <w:r>
        <w:rPr>
          <w:rFonts w:ascii="Arial" w:cs="Arial" w:eastAsia="Arial" w:hAnsi="Arial"/>
          <w:sz w:val="18"/>
          <w:szCs w:val="18"/>
          <w:color w:val="auto"/>
        </w:rPr>
        <w:t>alone treatment for COPD. Inhaled corticosteroids are commonly administered together with LABAs for the maintenance treatment of COPD. When administered with LABAs, corticosteroids have been shown to improve lung function and reduce exacerbation rates. However, recent studies have shown that removing inhaled corticosteroids from this treatment regimen does not lead to increases in exacerbations in a majority of patients, implying that the corticosteroid is not effective in all patients. In addition, inhaled corticosteroids (fluticasone) have been shown to decrease the immune response in some patients, which results in an increased incidence of pneumonia.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Recently, inhalers have been approved containing two long acting bronchodilators (one LAMA and one LABA) and an inhaled corticosteroid.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so-called triple therapies are combinations of medications that are already available in the market place as either single or dual agents.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Triple therapy may offer advantages over double therapy (two bronchodilators) in some patients with COPD.</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treatment of acute COPD exacerbations, corticosteroids are often administered systemically, either through injection or orally, in addition to high-dose bronchodilators. In this setting, corticosteroids may be effective in improving symptoms and lung function, reducing the rate of treatment failure and shortening the length of hospital stay. However, when given systemically, corticosteroids are known to be associated with side effects such as compromised adrenal gland function and reduced bone density.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Inhibitors</w:t>
      </w:r>
    </w:p>
    <w:p>
      <w:pPr>
        <w:spacing w:after="0" w:line="162"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PDE4 inhibitors have attracted recent attention for the treatment of COPD because PDE4 is broadly expressed in airways and in the lung. PDEs are well known and validated therapeutic targets, and several PDE inhibitors, with different specificities, are currently available in the market for other indications. PDE4 is found in inflammatory and epithelial cells, and inhibition of this enzyme contributes to RPL554’s anti</w:t>
      </w:r>
      <w:r>
        <w:rPr>
          <w:rFonts w:ascii="MS PGothic" w:cs="MS PGothic" w:eastAsia="MS PGothic" w:hAnsi="MS PGothic"/>
          <w:sz w:val="18"/>
          <w:szCs w:val="18"/>
          <w:color w:val="auto"/>
        </w:rPr>
        <w:t>‑</w:t>
      </w:r>
      <w:r>
        <w:rPr>
          <w:rFonts w:ascii="Arial" w:cs="Arial" w:eastAsia="Arial" w:hAnsi="Arial"/>
          <w:sz w:val="18"/>
          <w:szCs w:val="18"/>
          <w:color w:val="auto"/>
        </w:rPr>
        <w:t>inflammatory activity. PDE4 is the primary cAMP</w:t>
      </w:r>
      <w:r>
        <w:rPr>
          <w:rFonts w:ascii="MS PGothic" w:cs="MS PGothic" w:eastAsia="MS PGothic" w:hAnsi="MS PGothic"/>
          <w:sz w:val="18"/>
          <w:szCs w:val="18"/>
          <w:color w:val="auto"/>
        </w:rPr>
        <w:t>‑</w:t>
      </w:r>
      <w:r>
        <w:rPr>
          <w:rFonts w:ascii="Arial" w:cs="Arial" w:eastAsia="Arial" w:hAnsi="Arial"/>
          <w:sz w:val="18"/>
          <w:szCs w:val="18"/>
          <w:color w:val="auto"/>
        </w:rPr>
        <w:t>hydrolyzing enzyme in inflammatory and immune cells, especially neutrophils, lymphocytes, macrophages and eosinophils, all of which are found in the lungs of COPD patients. Inhibition of PDE4 leads to elevated cAMP levels in these cells, which results in anti</w:t>
      </w:r>
      <w:r>
        <w:rPr>
          <w:rFonts w:ascii="MS PGothic" w:cs="MS PGothic" w:eastAsia="MS PGothic" w:hAnsi="MS PGothic"/>
          <w:sz w:val="18"/>
          <w:szCs w:val="18"/>
          <w:color w:val="auto"/>
        </w:rPr>
        <w:t>‑</w:t>
      </w:r>
      <w:r>
        <w:rPr>
          <w:rFonts w:ascii="Arial" w:cs="Arial" w:eastAsia="Arial" w:hAnsi="Arial"/>
          <w:sz w:val="18"/>
          <w:szCs w:val="18"/>
          <w:color w:val="auto"/>
        </w:rPr>
        <w:t>inflammatory effects due to the down</w:t>
      </w:r>
      <w:r>
        <w:rPr>
          <w:rFonts w:ascii="MS PGothic" w:cs="MS PGothic" w:eastAsia="MS PGothic" w:hAnsi="MS PGothic"/>
          <w:sz w:val="18"/>
          <w:szCs w:val="18"/>
          <w:color w:val="auto"/>
        </w:rPr>
        <w:t>‑</w:t>
      </w:r>
      <w:r>
        <w:rPr>
          <w:rFonts w:ascii="Arial" w:cs="Arial" w:eastAsia="Arial" w:hAnsi="Arial"/>
          <w:sz w:val="18"/>
          <w:szCs w:val="18"/>
          <w:color w:val="auto"/>
        </w:rPr>
        <w:t>regulation of the inflammatory response.</w:t>
      </w:r>
    </w:p>
    <w:p>
      <w:pPr>
        <w:spacing w:after="0" w:line="3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oral PDE4 inhibitor, roflumilast, has shown clinical efficacy as an oral therapeutic in the reduction of COPD exacerbations in patients with severe COPD associated with chronic bronchitis and a history of exacerbations. The drug is an anti-inflammatory compound that decreases inflammation in a different manner than corticosteroids. However, roflumilast has only shown a modest improvement in lung function in COPD patients as compared to commonly used bronchodilators as it is not a direct bronchodilator. In addition, because of roflumilast's systemic exposure as an oral PDE4 inhibitor, its use has been limited due to frequent adverse side effects such as back pain, decreased appetite, diarrhea, dizziness, flu-like symptoms, headache, weight loss, nausea and vomiting.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Antibiotics</w:t>
      </w:r>
    </w:p>
    <w:p>
      <w:pPr>
        <w:spacing w:after="0" w:line="2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Antibiotic therapy has been shown to have a small but important effect on clinical recovery and outcome in patients with bacterial infections that resulted in an acute exacerbation of COPD. As a result, antibiotic therapy is often considered at the beginning of treatment of acute exacerbations of COPD. Hospitalized patients commonly receive intravenous treatment with an antibiotic and initial outpatient management of COPD may include oral antibiotics. However, the limited efficacy of and patient resistance to antibiotics represent significant drawbacks of this form of therapy for COPD patients.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301"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believe that RPL554, as a first-in-class, inhaled, dual inhibitor of PDE3 and PDE4, which acts as both a bronchodilator and an anti-inflammatory in a single compound, if approved, has the potential to become an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82" w:right="259" w:bottom="1440" w:gutter="0" w:footer="0" w:header="0"/>
        </w:sectPr>
      </w:pPr>
    </w:p>
    <w:bookmarkStart w:id="55" w:name="page56"/>
    <w:bookmarkEnd w:id="55"/>
    <w:p>
      <w:pPr>
        <w:ind w:right="200"/>
        <w:spacing w:after="0" w:line="254" w:lineRule="auto"/>
        <w:rPr>
          <w:sz w:val="20"/>
          <w:szCs w:val="20"/>
          <w:color w:val="auto"/>
        </w:rPr>
      </w:pPr>
      <w:r>
        <w:rPr>
          <w:rFonts w:ascii="Arial" w:cs="Arial" w:eastAsia="Arial" w:hAnsi="Arial"/>
          <w:sz w:val="18"/>
          <w:szCs w:val="18"/>
          <w:color w:val="auto"/>
        </w:rPr>
        <w:t>important and novel treatment and standard of care for patients with COPD. We are not aware of any therapy in a single compound in clinical development or approved by the FDA or the EMA, for the treatment of COPD that acts as both a bronchodilator and anti-inflammatory agent. Based on our clinical trials, we believe RPL554 has the potential to be a best-in-class bronchodilator for the treatment of COPD, both as a monotherapy and as an add-on therapy to existing bronchodilators.</w:t>
      </w:r>
    </w:p>
    <w:p>
      <w:pPr>
        <w:spacing w:after="0" w:line="2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PDEs are a family of over ten intracellular enzymes that regulate important cellular pathways in many different cell types. PDEs metabolize the critical signaling molecules cAMP and cGMP. By inhibiting PDE3 and PDE4, RPL554 increases the levels of these intracellular messengers resulting in bronchodilator and anti-inflammatory effects.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mechanism of action of RPL554's dual inhibition of PDE3 and PDE4 in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177800</wp:posOffset>
            </wp:positionV>
            <wp:extent cx="5848985" cy="2787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Mechanism of Action of RPL554 from PDE3 and PDE4 lnhibition</w:t>
      </w:r>
    </w:p>
    <w:p>
      <w:pPr>
        <w:spacing w:after="0" w:line="301"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Previous attempts to develop PDE4 inhibitors for COPD, asthma and other indications have been limited by the resulting side effects, particularly to the gastrointestinal system, such as nausea, vomiting and weight loss. RPL554 is designed to maximize effectiveness and reduce the occurrence of adverse events by:</w:t>
      </w:r>
    </w:p>
    <w:p>
      <w:pPr>
        <w:spacing w:after="0" w:line="256" w:lineRule="exact"/>
        <w:rPr>
          <w:sz w:val="20"/>
          <w:szCs w:val="20"/>
          <w:color w:val="auto"/>
        </w:rPr>
      </w:pPr>
    </w:p>
    <w:p>
      <w:pPr>
        <w:ind w:left="660" w:right="3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relying on a chemical structure that is distinct from other PDE4 inhibitors and avoids gastrointestinal and other side effects typically associated with PDE4 inhibition;</w:t>
      </w:r>
    </w:p>
    <w:p>
      <w:pPr>
        <w:spacing w:after="0" w:line="250"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having high selectivity for PDE3 and PDE4 over other enzymes, including other PDE enzymes, and receptors to minimize off-target effects; and</w:t>
      </w:r>
    </w:p>
    <w:p>
      <w:pPr>
        <w:spacing w:after="0" w:line="250"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enabling delivery directly to the lung by inhalation, thereby maximizing pulmonary exposure to RPL554 while minimizing systemic distribution and related adverse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believe RPL554 may offer significant advantages over currently approved therapies for COPD based on the following:</w:t>
      </w:r>
    </w:p>
    <w:p>
      <w:pPr>
        <w:spacing w:after="0" w:line="257" w:lineRule="exact"/>
        <w:rPr>
          <w:sz w:val="20"/>
          <w:szCs w:val="20"/>
          <w:color w:val="auto"/>
        </w:rPr>
      </w:pPr>
    </w:p>
    <w:p>
      <w:pPr>
        <w:ind w:left="660" w:hanging="328"/>
        <w:spacing w:after="0" w:line="259" w:lineRule="auto"/>
        <w:tabs>
          <w:tab w:leader="none" w:pos="6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Clinical benefit as an add-on therapy and as a single agent with a favorable safety profile. </w:t>
      </w:r>
      <w:r>
        <w:rPr>
          <w:rFonts w:ascii="Arial" w:cs="Arial" w:eastAsia="Arial" w:hAnsi="Arial"/>
          <w:sz w:val="18"/>
          <w:szCs w:val="18"/>
          <w:color w:val="auto"/>
        </w:rPr>
        <w:t>We have completed patient enrollment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twelve Phase 1 and 2 clinical trials for RPL554 with over 700 subjects enrolled; ten of these studies have been reported, one study is expected to report late in the first quarter of 2018 and one study is expected to report early in the second quarter of 2018. In these trials, RPL554 has been observed to result in statistically significant improvements in lung function as compared to placebo. Our clinical trials also have shown clinically meaningful and statistically significant improvements in lung</w:t>
      </w:r>
    </w:p>
    <w:p>
      <w:pPr>
        <w:sectPr>
          <w:pgSz w:w="11900" w:h="16838" w:orient="portrait"/>
          <w:cols w:equalWidth="0" w:num="1">
            <w:col w:w="11420"/>
          </w:cols>
          <w:pgMar w:left="240" w:top="517" w:right="2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17" w:right="239" w:bottom="1440" w:gutter="0" w:footer="0" w:header="0"/>
          <w:type w:val="continuous"/>
        </w:sectPr>
      </w:pPr>
    </w:p>
    <w:bookmarkStart w:id="56" w:name="page57"/>
    <w:bookmarkEnd w:id="56"/>
    <w:p>
      <w:pPr>
        <w:ind w:left="660" w:right="80"/>
        <w:spacing w:after="0" w:line="300" w:lineRule="auto"/>
        <w:rPr>
          <w:sz w:val="20"/>
          <w:szCs w:val="20"/>
          <w:color w:val="auto"/>
        </w:rPr>
      </w:pPr>
      <w:r>
        <w:rPr>
          <w:rFonts w:ascii="Arial" w:cs="Arial" w:eastAsia="Arial" w:hAnsi="Arial"/>
          <w:sz w:val="18"/>
          <w:szCs w:val="18"/>
          <w:color w:val="auto"/>
        </w:rPr>
        <w:t>function when RPL554 is added to a number of commonly used bronchodilators as compared to all such bronchodilators administered as single agents. RPL554 has been well tolerated in our clinical trials, and has not been observed to result in the gastrointestinal or other side effects commonly associated with roflumilast, the only PDE4 inhibitor currently on the market approved for the treatment of COPD. In addition, RPL554 has not been observed to result in any cardiovascular effects, other than a small increase in heart rate at the highest doses tested.</w:t>
      </w:r>
    </w:p>
    <w:p>
      <w:pPr>
        <w:spacing w:after="0" w:line="210" w:lineRule="exact"/>
        <w:rPr>
          <w:sz w:val="20"/>
          <w:szCs w:val="20"/>
          <w:color w:val="auto"/>
        </w:rPr>
      </w:pPr>
    </w:p>
    <w:p>
      <w:pPr>
        <w:ind w:left="660" w:right="80" w:hanging="328"/>
        <w:spacing w:after="0" w:line="255" w:lineRule="auto"/>
        <w:tabs>
          <w:tab w:leader="none" w:pos="6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Bronchodilator and anti-inflammatory effects in one compound. </w:t>
      </w:r>
      <w:r>
        <w:rPr>
          <w:rFonts w:ascii="Arial" w:cs="Arial" w:eastAsia="Arial" w:hAnsi="Arial"/>
          <w:sz w:val="18"/>
          <w:szCs w:val="18"/>
          <w:color w:val="auto"/>
        </w:rPr>
        <w:t>RPL554 utilizes a novel mechanism of action that inhibits PDE3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PDE4 to act as both a bronchodilator and an anti-inflammatory agent in a single compound. We are not aware of any therapy in a single compound in clinical development or approved by the FDA or the EMA, for the treatment of COPD that acts as both a bronchodilator and anti-inflammatory agent. Inhibition of PDE3 is largely responsible for the bronchodilatory effects of RPL554, while the inhibition of PDE4 is largely responsible for the anti-inflammatory effects. By simultaneously targeting PDE3 and PDE4, we believe that RPL554 results in a more profound effect that addresses both airway constriction and chronic inflammation, which are the hallmarks of COPD. As a result, we believe RPL554, if approved, has the potential to become an important and novel treatment and standard of care for patients with COPD.</w:t>
      </w:r>
    </w:p>
    <w:p>
      <w:pPr>
        <w:spacing w:after="0" w:line="239" w:lineRule="exact"/>
        <w:rPr>
          <w:rFonts w:ascii="Arial" w:cs="Arial" w:eastAsia="Arial" w:hAnsi="Arial"/>
          <w:sz w:val="18"/>
          <w:szCs w:val="18"/>
          <w:b w:val="1"/>
          <w:bCs w:val="1"/>
          <w:i w:val="1"/>
          <w:iCs w:val="1"/>
          <w:color w:val="auto"/>
        </w:rPr>
      </w:pPr>
    </w:p>
    <w:p>
      <w:pPr>
        <w:ind w:left="660" w:right="180" w:hanging="328"/>
        <w:spacing w:after="0" w:line="219" w:lineRule="exact"/>
        <w:tabs>
          <w:tab w:leader="none" w:pos="6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Inhaled administration. </w:t>
      </w:r>
      <w:r>
        <w:rPr>
          <w:rFonts w:ascii="Arial" w:cs="Arial" w:eastAsia="Arial" w:hAnsi="Arial"/>
          <w:sz w:val="18"/>
          <w:szCs w:val="18"/>
          <w:color w:val="auto"/>
        </w:rPr>
        <w:t>We are developing RPL554 as an inhaled therapy, which we believe is advantageous for the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COPD patients because it delivers high concentrations of RPL554 directly to the patient’s airways, thereby potentially improving efficacy while minimizing some of the side effects resulting from the systemic exposure associated with orally administered bronchodilators and anti</w:t>
      </w:r>
      <w:r>
        <w:rPr>
          <w:rFonts w:ascii="MS PGothic" w:cs="MS PGothic" w:eastAsia="MS PGothic" w:hAnsi="MS PGothic"/>
          <w:sz w:val="18"/>
          <w:szCs w:val="18"/>
          <w:color w:val="auto"/>
        </w:rPr>
        <w:t>‑</w:t>
      </w:r>
      <w:r>
        <w:rPr>
          <w:rFonts w:ascii="Arial" w:cs="Arial" w:eastAsia="Arial" w:hAnsi="Arial"/>
          <w:sz w:val="18"/>
          <w:szCs w:val="18"/>
          <w:color w:val="auto"/>
        </w:rPr>
        <w:t>inflammatory drugs. For example, roflumilast, the only currently marketed PDE4 inhibitor approved for the treatment of COPD, is administered orally and has been associated with adverse side effects such as back pain, decreased appetite, diarrhea, dizziness, flu</w:t>
      </w:r>
      <w:r>
        <w:rPr>
          <w:rFonts w:ascii="MS PGothic" w:cs="MS PGothic" w:eastAsia="MS PGothic" w:hAnsi="MS PGothic"/>
          <w:sz w:val="18"/>
          <w:szCs w:val="18"/>
          <w:color w:val="auto"/>
        </w:rPr>
        <w:t>‑</w:t>
      </w:r>
      <w:r>
        <w:rPr>
          <w:rFonts w:ascii="Arial" w:cs="Arial" w:eastAsia="Arial" w:hAnsi="Arial"/>
          <w:sz w:val="18"/>
          <w:szCs w:val="18"/>
          <w:color w:val="auto"/>
        </w:rPr>
        <w:t>like symptoms, headache, weight loss, nausea and vomiting. In our clinical trials, RPL554 has been well tolerated and has not been associated with the typical adverse effects associated with roflumilast. In this inhaled form, we believe RPL554, if approved, would provide significant advantages over orally administered therapies and potentially lead to better and more effective treatment of COPD.</w:t>
      </w:r>
    </w:p>
    <w:p>
      <w:pPr>
        <w:spacing w:after="0" w:line="251" w:lineRule="exact"/>
        <w:rPr>
          <w:rFonts w:ascii="Arial" w:cs="Arial" w:eastAsia="Arial" w:hAnsi="Arial"/>
          <w:sz w:val="18"/>
          <w:szCs w:val="18"/>
          <w:b w:val="1"/>
          <w:bCs w:val="1"/>
          <w:i w:val="1"/>
          <w:iCs w:val="1"/>
          <w:color w:val="auto"/>
        </w:rPr>
      </w:pPr>
    </w:p>
    <w:p>
      <w:pPr>
        <w:ind w:left="660" w:hanging="328"/>
        <w:spacing w:after="0" w:line="254" w:lineRule="auto"/>
        <w:tabs>
          <w:tab w:leader="none" w:pos="6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Rapid onset of action. </w:t>
      </w:r>
      <w:r>
        <w:rPr>
          <w:rFonts w:ascii="Arial" w:cs="Arial" w:eastAsia="Arial" w:hAnsi="Arial"/>
          <w:sz w:val="18"/>
          <w:szCs w:val="18"/>
          <w:color w:val="auto"/>
        </w:rPr>
        <w:t>In our Phase 2a clinical trials for RPL554, we have observed a rapid onset of bronchodilation when RPL554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administered as an add-on therapy to a range of currently marketed short-acting and long-acting bronchodilators: ipratropium, tiotropium and albuterol. The time of onset of action of ipratropium was 18.4 minutes, while the time of onset of action for RPL554 was approximately 14.6 minutes. When RPL554 was administered as an add-on therapy to ipratropium, the time of onset was reduced by 75% to 4.8 minutes as compared to ipratropium alone, which is similar to albuterol alone, albuterol being one of the fastest acting bronchodilators. The time of onset of action of tiotropium was approximately 37 minutes; when RPL554 was administered as an add-on therapy to tiotropium, the time of onset was reduced by 86% to approximately five minutes as compared to tiotropium alone, which again is similar to albuterol alone. When RPL554 was administered as an add-on therapy to albuterol, the time to onset was more rapid than with albuterol alone. We believe RPL554 has the potential to provide significant benefits as an add-on therapy to short- and long-acting bronchodilators in both the maintenance treatment, and the treatment of acute exacerbations, of COPD due to its effect on time of onset of action.</w:t>
      </w:r>
    </w:p>
    <w:p>
      <w:pPr>
        <w:spacing w:after="0" w:line="25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as an add-on therapy to short-acting bronchodilators and other current standard-of-care therapies for the treatment of hospitalized patients with acute exacerbations of COPD. In our planned clinical trials, we intend to explore the possibility that treatment with RPL554, when used for the maintenance treatment, has the potential to improve lung function, reduce symptoms and potentially also exacerbations, and, when used for the treatment of acute exacerbations of COPD, has the potential to reduce symptoms concomitantly with a reduction of the 30-day hospital readmission rates. No current medication has been shown to reduce this re-hospitalization rate and currently marketed long-acting bronchodilators are contraindicated for acute use in the United States. Furthermore, current therapies have not demonstrated an ability to change the progressive decline in lung function or reduce the mortality associated with COPD. We intend to explore opportunities for RPL554 for the maintenance treatment and in the hospital setting for acute exacerbations in our planned clinical trials.</w:t>
      </w:r>
    </w:p>
    <w:p>
      <w:pPr>
        <w:spacing w:after="0" w:line="2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to our nebulized formulation of RPL554, we are developing RPL554 in both DPI and pMDI formulations for the maintenance treatment of COPD. We may also explore the development of RPL554 in these formulations for the treatment of asthma and other respiratory diseases. DPI and pMDI devices are the most common forms of drug delivery in non-hospitalized patients with COPD and are well-suited for the maintenance therapy of COPD patients.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44" w:right="259" w:bottom="1440" w:gutter="0" w:footer="0" w:header="0"/>
        </w:sectPr>
      </w:pPr>
    </w:p>
    <w:bookmarkStart w:id="57" w:name="page58"/>
    <w:bookmarkEnd w:id="57"/>
    <w:p>
      <w:pPr>
        <w:ind w:right="60"/>
        <w:spacing w:after="0" w:line="216" w:lineRule="exact"/>
        <w:rPr>
          <w:sz w:val="20"/>
          <w:szCs w:val="20"/>
          <w:color w:val="auto"/>
        </w:rPr>
      </w:pPr>
      <w:r>
        <w:rPr>
          <w:rFonts w:ascii="Arial" w:cs="Arial" w:eastAsia="Arial" w:hAnsi="Arial"/>
          <w:sz w:val="18"/>
          <w:szCs w:val="18"/>
          <w:color w:val="auto"/>
        </w:rPr>
        <w:t>We believe the development of DPI and pMDI formulations has the potential to significantly increase the market opportunity for RPL554, if approved, for the maintenance treatment of COPD. Following the progression of our DPI and pMDI formulation process, we plan to commence pre</w:t>
      </w:r>
      <w:r>
        <w:rPr>
          <w:rFonts w:ascii="MS PGothic" w:cs="MS PGothic" w:eastAsia="MS PGothic" w:hAnsi="MS PGothic"/>
          <w:sz w:val="18"/>
          <w:szCs w:val="18"/>
          <w:color w:val="auto"/>
        </w:rPr>
        <w:t>‑</w:t>
      </w:r>
      <w:r>
        <w:rPr>
          <w:rFonts w:ascii="Arial" w:cs="Arial" w:eastAsia="Arial" w:hAnsi="Arial"/>
          <w:sz w:val="18"/>
          <w:szCs w:val="18"/>
          <w:color w:val="auto"/>
        </w:rPr>
        <w:t>clinical studies for RPL554 in these formulations in 2018, to be followed by the first clinical trials in healthy subjects or patients with COPD.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completed five Phase 1 and Phase 2a trials for RPL554 in Europe, dosing 105 subjects with an initial proof-of-concept solution formulation. Data from the single and multiple dose trials using our initial proof-of-concept formulation suggest that RPL554, when inhaled across a range of doses, has the potential to be an effective bronchodilator in patients with COPD and other respiratory diseases, including asthma, and has broncho-protective properties, such as reducing the hypersensitivity of asthmatic airways to inhaled irritants. In these trials, we observed RPL554 having a rapid onset of action and the magnitude of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seemed to be at least as profound as that of other commonly used and approved bronchodilator drugs. We also observed that RPL554 had a potent anti-inflammatory effect in a number of pre-clinical studies and a clinical trial.</w:t>
      </w:r>
    </w:p>
    <w:p>
      <w:pPr>
        <w:spacing w:after="0" w:line="2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2014, we developed a new nebulized suspension formulation of RPL554 for our ongoing development programs. We designed this formulation to have a broader dose range, improved PK profile and dosing regimen and neutral pH, as compared to the initial proof-of-concept formulation. This nebulized formulation of RPL554 is also stable and would be suitable for commercial use, if approved. We initiated the first Phase 1 clinical trial with this nebulized formulation in December 2014 and completed the trial in September 2015. The following table summarizes the Phase 1 and 2a clinical trials we have completed with our new nebulized suspension formulation of RPL554; our IND-opening PK clinical trial was conducted in the United States, and the other studies have been conducted outside of the United States: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17" w:right="259" w:bottom="1440" w:gutter="0" w:footer="0" w:header="0"/>
        </w:sectPr>
      </w:pPr>
    </w:p>
    <w:bookmarkStart w:id="58" w:name="page59"/>
    <w:bookmarkEnd w:id="58"/>
    <w:p>
      <w:pPr>
        <w:ind w:left="25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594995</wp:posOffset>
            </wp:positionH>
            <wp:positionV relativeFrom="page">
              <wp:posOffset>328930</wp:posOffset>
            </wp:positionV>
            <wp:extent cx="63804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17145"/>
                    </a:xfrm>
                    <a:prstGeom prst="rect">
                      <a:avLst/>
                    </a:prstGeom>
                    <a:noFill/>
                  </pic:spPr>
                </pic:pic>
              </a:graphicData>
            </a:graphic>
          </wp:anchor>
        </w:drawing>
        <w:t>Summary of Completed RPL554 Clinical Trials with New Nebulized Suspension Formulation</w:t>
      </w:r>
    </w:p>
    <w:p>
      <w:pPr>
        <w:spacing w:after="0" w:line="55" w:lineRule="exact"/>
        <w:rPr>
          <w:sz w:val="20"/>
          <w:szCs w:val="20"/>
          <w:color w:val="auto"/>
        </w:rPr>
      </w:pPr>
    </w:p>
    <w:p>
      <w:pPr>
        <w:ind w:left="720"/>
        <w:spacing w:after="0"/>
        <w:tabs>
          <w:tab w:leader="none" w:pos="3060" w:val="left"/>
          <w:tab w:leader="none" w:pos="5160" w:val="left"/>
          <w:tab w:leader="none" w:pos="8260" w:val="left"/>
        </w:tabs>
        <w:rPr>
          <w:sz w:val="20"/>
          <w:szCs w:val="20"/>
          <w:color w:val="auto"/>
        </w:rPr>
      </w:pPr>
      <w:r>
        <w:rPr>
          <w:rFonts w:ascii="Arial" w:cs="Arial" w:eastAsia="Arial" w:hAnsi="Arial"/>
          <w:sz w:val="14"/>
          <w:szCs w:val="14"/>
          <w:b w:val="1"/>
          <w:bCs w:val="1"/>
          <w:color w:val="auto"/>
        </w:rPr>
        <w:t>Trial Description</w:t>
      </w:r>
      <w:r>
        <w:rPr>
          <w:sz w:val="20"/>
          <w:szCs w:val="20"/>
          <w:color w:val="auto"/>
        </w:rPr>
        <w:tab/>
      </w:r>
      <w:r>
        <w:rPr>
          <w:rFonts w:ascii="Arial" w:cs="Arial" w:eastAsia="Arial" w:hAnsi="Arial"/>
          <w:sz w:val="14"/>
          <w:szCs w:val="14"/>
          <w:b w:val="1"/>
          <w:bCs w:val="1"/>
          <w:color w:val="auto"/>
        </w:rPr>
        <w:t>Patient Population</w:t>
      </w:r>
      <w:r>
        <w:rPr>
          <w:sz w:val="20"/>
          <w:szCs w:val="20"/>
          <w:color w:val="auto"/>
        </w:rPr>
        <w:tab/>
      </w:r>
      <w:r>
        <w:rPr>
          <w:rFonts w:ascii="Arial" w:cs="Arial" w:eastAsia="Arial" w:hAnsi="Arial"/>
          <w:sz w:val="14"/>
          <w:szCs w:val="14"/>
          <w:b w:val="1"/>
          <w:bCs w:val="1"/>
          <w:color w:val="auto"/>
        </w:rPr>
        <w:t>RPL554 Dosage</w:t>
      </w:r>
      <w:r>
        <w:rPr>
          <w:sz w:val="20"/>
          <w:szCs w:val="20"/>
          <w:color w:val="auto"/>
        </w:rPr>
        <w:tab/>
      </w:r>
      <w:r>
        <w:rPr>
          <w:rFonts w:ascii="Arial" w:cs="Arial" w:eastAsia="Arial" w:hAnsi="Arial"/>
          <w:sz w:val="14"/>
          <w:szCs w:val="14"/>
          <w:b w:val="1"/>
          <w:bCs w:val="1"/>
          <w:color w:val="auto"/>
        </w:rPr>
        <w:t>Key Findings</w:t>
      </w:r>
    </w:p>
    <w:p>
      <w:pPr>
        <w:sectPr>
          <w:pgSz w:w="11900" w:h="16838" w:orient="portrait"/>
          <w:cols w:equalWidth="0" w:num="1">
            <w:col w:w="10700"/>
          </w:cols>
          <w:pgMar w:left="240" w:top="558"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Phase 2a trial to</w:t>
      </w:r>
    </w:p>
    <w:p>
      <w:pPr>
        <w:spacing w:after="0" w:line="1" w:lineRule="exact"/>
        <w:rPr>
          <w:sz w:val="20"/>
          <w:szCs w:val="20"/>
          <w:color w:val="auto"/>
        </w:rPr>
      </w:pPr>
    </w:p>
    <w:p>
      <w:pPr>
        <w:ind w:left="900"/>
        <w:spacing w:after="0" w:line="164" w:lineRule="exact"/>
        <w:rPr>
          <w:sz w:val="20"/>
          <w:szCs w:val="20"/>
          <w:color w:val="auto"/>
        </w:rPr>
      </w:pPr>
      <w:r>
        <w:rPr>
          <w:rFonts w:ascii="Arial" w:cs="Arial" w:eastAsia="Arial" w:hAnsi="Arial"/>
          <w:sz w:val="14"/>
          <w:szCs w:val="14"/>
          <w:color w:val="auto"/>
        </w:rPr>
        <w:t>assess the improvement in lung function, as measured by FEV</w:t>
      </w:r>
      <w:r>
        <w:rPr>
          <w:rFonts w:ascii="Arial" w:cs="Arial" w:eastAsia="Arial" w:hAnsi="Arial"/>
          <w:sz w:val="8"/>
          <w:szCs w:val="8"/>
          <w:color w:val="auto"/>
        </w:rPr>
        <w:t>1</w:t>
      </w:r>
      <w:r>
        <w:rPr>
          <w:rFonts w:ascii="Arial" w:cs="Arial" w:eastAsia="Arial" w:hAnsi="Arial"/>
          <w:sz w:val="14"/>
          <w:szCs w:val="14"/>
          <w:color w:val="auto"/>
        </w:rPr>
        <w:t>, of RPL554 as an add</w:t>
      </w:r>
      <w:r>
        <w:rPr>
          <w:rFonts w:ascii="MS PGothic" w:cs="MS PGothic" w:eastAsia="MS PGothic" w:hAnsi="MS PGothic"/>
          <w:sz w:val="14"/>
          <w:szCs w:val="14"/>
          <w:color w:val="auto"/>
        </w:rPr>
        <w:t>‑</w:t>
      </w:r>
      <w:r>
        <w:rPr>
          <w:rFonts w:ascii="Arial" w:cs="Arial" w:eastAsia="Arial" w:hAnsi="Arial"/>
          <w:sz w:val="14"/>
          <w:szCs w:val="14"/>
          <w:color w:val="auto"/>
        </w:rPr>
        <w:t>on treatment to each of albuterol and ipratropium Completion date: February 2016</w:t>
      </w:r>
    </w:p>
    <w:p>
      <w:pPr>
        <w:spacing w:after="0" w:line="200" w:lineRule="exact"/>
        <w:rPr>
          <w:sz w:val="20"/>
          <w:szCs w:val="20"/>
          <w:color w:val="auto"/>
        </w:rPr>
      </w:pPr>
    </w:p>
    <w:p>
      <w:pPr>
        <w:spacing w:after="0" w:line="253" w:lineRule="exact"/>
        <w:rPr>
          <w:sz w:val="20"/>
          <w:szCs w:val="20"/>
          <w:color w:val="auto"/>
        </w:rPr>
      </w:pPr>
    </w:p>
    <w:p>
      <w:pPr>
        <w:ind w:left="900"/>
        <w:spacing w:after="0" w:line="301" w:lineRule="auto"/>
        <w:rPr>
          <w:sz w:val="20"/>
          <w:szCs w:val="20"/>
          <w:color w:val="auto"/>
        </w:rPr>
      </w:pPr>
      <w:r>
        <w:rPr>
          <w:rFonts w:ascii="Arial" w:cs="Arial" w:eastAsia="Arial" w:hAnsi="Arial"/>
          <w:sz w:val="14"/>
          <w:szCs w:val="14"/>
          <w:color w:val="auto"/>
        </w:rPr>
        <w:t>Phase 2a trial to assess the improvement in lung</w:t>
      </w:r>
    </w:p>
    <w:p>
      <w:pPr>
        <w:spacing w:after="0" w:line="1" w:lineRule="exact"/>
        <w:rPr>
          <w:sz w:val="20"/>
          <w:szCs w:val="20"/>
          <w:color w:val="auto"/>
        </w:rPr>
      </w:pPr>
    </w:p>
    <w:p>
      <w:pPr>
        <w:ind w:left="900"/>
        <w:spacing w:after="0" w:line="245" w:lineRule="auto"/>
        <w:rPr>
          <w:sz w:val="20"/>
          <w:szCs w:val="20"/>
          <w:color w:val="auto"/>
        </w:rPr>
      </w:pPr>
      <w:r>
        <w:rPr>
          <w:rFonts w:ascii="Arial" w:cs="Arial" w:eastAsia="Arial" w:hAnsi="Arial"/>
          <w:sz w:val="14"/>
          <w:szCs w:val="14"/>
          <w:color w:val="auto"/>
        </w:rPr>
        <w:t>function, as measured by FEV</w:t>
      </w:r>
      <w:r>
        <w:rPr>
          <w:rFonts w:ascii="Arial" w:cs="Arial" w:eastAsia="Arial" w:hAnsi="Arial"/>
          <w:sz w:val="8"/>
          <w:szCs w:val="8"/>
          <w:color w:val="auto"/>
        </w:rPr>
        <w:t>1</w:t>
      </w:r>
      <w:r>
        <w:rPr>
          <w:rFonts w:ascii="Arial" w:cs="Arial" w:eastAsia="Arial" w:hAnsi="Arial"/>
          <w:sz w:val="14"/>
          <w:szCs w:val="14"/>
          <w:color w:val="auto"/>
        </w:rPr>
        <w:t>, of RPL554 as an add on treatment to tiotropium Completion date: September 2017</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Phase 2a trial to</w:t>
      </w:r>
    </w:p>
    <w:p>
      <w:pPr>
        <w:spacing w:after="0" w:line="1" w:lineRule="exact"/>
        <w:rPr>
          <w:sz w:val="20"/>
          <w:szCs w:val="20"/>
          <w:color w:val="auto"/>
        </w:rPr>
      </w:pPr>
    </w:p>
    <w:p>
      <w:pPr>
        <w:ind w:left="900" w:right="100"/>
        <w:spacing w:after="0" w:line="241" w:lineRule="auto"/>
        <w:rPr>
          <w:sz w:val="20"/>
          <w:szCs w:val="20"/>
          <w:color w:val="auto"/>
        </w:rPr>
      </w:pPr>
      <w:r>
        <w:rPr>
          <w:rFonts w:ascii="Arial" w:cs="Arial" w:eastAsia="Arial" w:hAnsi="Arial"/>
          <w:sz w:val="14"/>
          <w:szCs w:val="14"/>
          <w:color w:val="auto"/>
        </w:rPr>
        <w:t>assess the effect of single doses of RPL554 compared to albuterol and placebo on lung function, as measured by FEV</w:t>
      </w:r>
      <w:r>
        <w:rPr>
          <w:rFonts w:ascii="Arial" w:cs="Arial" w:eastAsia="Arial" w:hAnsi="Arial"/>
          <w:sz w:val="8"/>
          <w:szCs w:val="8"/>
          <w:color w:val="auto"/>
        </w:rPr>
        <w:t>1</w:t>
      </w:r>
      <w:r>
        <w:rPr>
          <w:rFonts w:ascii="Arial" w:cs="Arial" w:eastAsia="Arial" w:hAnsi="Arial"/>
          <w:sz w:val="14"/>
          <w:szCs w:val="14"/>
          <w:color w:val="auto"/>
        </w:rPr>
        <w:t>, of patients with chronic asthma</w:t>
      </w:r>
    </w:p>
    <w:p>
      <w:pPr>
        <w:spacing w:after="0" w:line="3" w:lineRule="exact"/>
        <w:rPr>
          <w:sz w:val="20"/>
          <w:szCs w:val="20"/>
          <w:color w:val="auto"/>
        </w:rPr>
      </w:pPr>
    </w:p>
    <w:p>
      <w:pPr>
        <w:ind w:left="900" w:right="120"/>
        <w:spacing w:after="0" w:line="258" w:lineRule="auto"/>
        <w:rPr>
          <w:sz w:val="20"/>
          <w:szCs w:val="20"/>
          <w:color w:val="auto"/>
        </w:rPr>
      </w:pPr>
      <w:r>
        <w:rPr>
          <w:rFonts w:ascii="Arial" w:cs="Arial" w:eastAsia="Arial" w:hAnsi="Arial"/>
          <w:sz w:val="14"/>
          <w:szCs w:val="14"/>
          <w:color w:val="auto"/>
        </w:rPr>
        <w:t>Completion date: January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66" w:lineRule="exact"/>
        <w:rPr>
          <w:sz w:val="20"/>
          <w:szCs w:val="20"/>
          <w:color w:val="auto"/>
        </w:rPr>
      </w:pPr>
      <w:r>
        <w:rPr>
          <w:rFonts w:ascii="Arial" w:cs="Arial" w:eastAsia="Arial" w:hAnsi="Arial"/>
          <w:sz w:val="14"/>
          <w:szCs w:val="14"/>
          <w:color w:val="auto"/>
        </w:rPr>
        <w:t>36 moderate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 xml:space="preserve">severe COPD patients, males and females, age 52 </w:t>
      </w:r>
      <w:r>
        <w:rPr>
          <w:rFonts w:ascii="MS PGothic" w:cs="MS PGothic" w:eastAsia="MS PGothic" w:hAnsi="MS PGothic"/>
          <w:sz w:val="14"/>
          <w:szCs w:val="14"/>
          <w:color w:val="auto"/>
        </w:rPr>
        <w:t>‑</w:t>
      </w:r>
      <w:r>
        <w:rPr>
          <w:rFonts w:ascii="Arial" w:cs="Arial" w:eastAsia="Arial" w:hAnsi="Arial"/>
          <w:sz w:val="14"/>
          <w:szCs w:val="14"/>
          <w:color w:val="auto"/>
        </w:rPr>
        <w:t xml:space="preserve"> 70</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30 moderate to severe COPD patients, males and females, age [52 - 70]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66" w:lineRule="exact"/>
        <w:rPr>
          <w:sz w:val="20"/>
          <w:szCs w:val="20"/>
          <w:color w:val="auto"/>
        </w:rPr>
      </w:pPr>
      <w:r>
        <w:rPr>
          <w:rFonts w:ascii="Arial" w:cs="Arial" w:eastAsia="Arial" w:hAnsi="Arial"/>
          <w:sz w:val="14"/>
          <w:szCs w:val="14"/>
          <w:color w:val="auto"/>
        </w:rPr>
        <w:t xml:space="preserve">29 chronic asthmatic patients, males and females, age 20 </w:t>
      </w:r>
      <w:r>
        <w:rPr>
          <w:rFonts w:ascii="MS PGothic" w:cs="MS PGothic" w:eastAsia="MS PGothic" w:hAnsi="MS PGothic"/>
          <w:sz w:val="14"/>
          <w:szCs w:val="14"/>
          <w:color w:val="auto"/>
        </w:rPr>
        <w:t>‑</w:t>
      </w:r>
      <w:r>
        <w:rPr>
          <w:rFonts w:ascii="Arial" w:cs="Arial" w:eastAsia="Arial" w:hAnsi="Arial"/>
          <w:sz w:val="14"/>
          <w:szCs w:val="14"/>
          <w:color w:val="auto"/>
        </w:rPr>
        <w:t xml:space="preserve"> 62</w:t>
      </w:r>
    </w:p>
    <w:p>
      <w:pPr>
        <w:spacing w:after="0" w:line="194"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2 locations; United Kingdom and Sweden</w:t>
      </w:r>
    </w:p>
    <w:p>
      <w:pPr>
        <w:spacing w:after="0" w:line="32" w:lineRule="exact"/>
        <w:rPr>
          <w:sz w:val="20"/>
          <w:szCs w:val="20"/>
          <w:color w:val="auto"/>
        </w:rPr>
      </w:pPr>
    </w:p>
    <w:p>
      <w:pPr>
        <w:jc w:val="both"/>
        <w:ind w:right="200"/>
        <w:spacing w:after="0" w:line="166" w:lineRule="exact"/>
        <w:rPr>
          <w:sz w:val="20"/>
          <w:szCs w:val="20"/>
          <w:color w:val="auto"/>
        </w:rPr>
      </w:pPr>
      <w:r>
        <w:rPr>
          <w:rFonts w:ascii="Arial" w:cs="Arial" w:eastAsia="Arial" w:hAnsi="Arial"/>
          <w:sz w:val="14"/>
          <w:szCs w:val="14"/>
          <w:color w:val="auto"/>
        </w:rPr>
        <w:t xml:space="preserve">Part A: 50 (35 RPL554 / 15 placebo) healthy subjects, males, age 19 </w:t>
      </w:r>
      <w:r>
        <w:rPr>
          <w:rFonts w:ascii="MS PGothic" w:cs="MS PGothic" w:eastAsia="MS PGothic" w:hAnsi="MS PGothic"/>
          <w:sz w:val="14"/>
          <w:szCs w:val="14"/>
          <w:color w:val="auto"/>
        </w:rPr>
        <w:t>‑</w:t>
      </w:r>
      <w:r>
        <w:rPr>
          <w:rFonts w:ascii="Arial" w:cs="Arial" w:eastAsia="Arial" w:hAnsi="Arial"/>
          <w:sz w:val="14"/>
          <w:szCs w:val="14"/>
          <w:color w:val="auto"/>
        </w:rPr>
        <w:t xml:space="preserve"> 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165" w:lineRule="exact"/>
        <w:rPr>
          <w:sz w:val="20"/>
          <w:szCs w:val="20"/>
          <w:color w:val="auto"/>
        </w:rPr>
      </w:pPr>
      <w:r>
        <w:rPr>
          <w:rFonts w:ascii="Arial" w:cs="Arial" w:eastAsia="Arial" w:hAnsi="Arial"/>
          <w:sz w:val="14"/>
          <w:szCs w:val="14"/>
          <w:color w:val="auto"/>
        </w:rPr>
        <w:t>Single dose of RPL554 of 6 mg alone and as an add</w:t>
      </w:r>
      <w:r>
        <w:rPr>
          <w:rFonts w:ascii="MS PGothic" w:cs="MS PGothic" w:eastAsia="MS PGothic" w:hAnsi="MS PGothic"/>
          <w:sz w:val="14"/>
          <w:szCs w:val="14"/>
          <w:color w:val="auto"/>
        </w:rPr>
        <w:t>‑</w:t>
      </w:r>
      <w:r>
        <w:rPr>
          <w:rFonts w:ascii="Arial" w:cs="Arial" w:eastAsia="Arial" w:hAnsi="Arial"/>
          <w:sz w:val="14"/>
          <w:szCs w:val="14"/>
          <w:color w:val="auto"/>
        </w:rPr>
        <w:t>on treatment to albuterol or ipratropium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Multiple dose (twice daily for 3 days) of 1.5mg and 6mg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Single dose of 0.4 mg to 24 mg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40"/>
        <w:spacing w:after="0" w:line="162" w:lineRule="exact"/>
        <w:rPr>
          <w:sz w:val="20"/>
          <w:szCs w:val="20"/>
          <w:color w:val="auto"/>
        </w:rPr>
      </w:pPr>
      <w:r>
        <w:rPr>
          <w:rFonts w:ascii="Arial" w:cs="Arial" w:eastAsia="Arial" w:hAnsi="Arial"/>
          <w:sz w:val="14"/>
          <w:szCs w:val="14"/>
          <w:color w:val="auto"/>
        </w:rPr>
        <w:t>Well tolerated following single dose of 6 mg of RPL554 alone and as add</w:t>
      </w:r>
      <w:r>
        <w:rPr>
          <w:rFonts w:ascii="MS PGothic" w:cs="MS PGothic" w:eastAsia="MS PGothic" w:hAnsi="MS PGothic"/>
          <w:sz w:val="14"/>
          <w:szCs w:val="14"/>
          <w:color w:val="auto"/>
        </w:rPr>
        <w:t>‑</w:t>
      </w:r>
      <w:r>
        <w:rPr>
          <w:rFonts w:ascii="Arial" w:cs="Arial" w:eastAsia="Arial" w:hAnsi="Arial"/>
          <w:sz w:val="14"/>
          <w:szCs w:val="14"/>
          <w:color w:val="auto"/>
        </w:rPr>
        <w:t>on treatment</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RPL554 alone was as effective a bronchodilator as either albuterol (200 ìg) or ipratropium (40 ìg) and was statistically significant as compared to placebo RPL554 produced significant additive bronchodilation (&gt;50% increase) when dosed with either albuterol (200 ìg) or ipratropium (40 ìg) as compared to albuterol or ipratropium, respectively, alone, and caused an additive and significant reduction in lung volumes and airway resistance</w:t>
      </w:r>
    </w:p>
    <w:p>
      <w:pPr>
        <w:spacing w:after="0" w:line="4"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The time to onset of RPL554 when dosed with either albuterol (200 ìg) or ipratropium (40 ìg) was more rapid than with albuterol or ipratropium, respectively, alone</w:t>
      </w:r>
    </w:p>
    <w:p>
      <w:pPr>
        <w:spacing w:after="0" w:line="37" w:lineRule="exact"/>
        <w:rPr>
          <w:sz w:val="20"/>
          <w:szCs w:val="20"/>
          <w:color w:val="auto"/>
        </w:rPr>
      </w:pPr>
    </w:p>
    <w:p>
      <w:pPr>
        <w:spacing w:after="0" w:line="162" w:lineRule="exact"/>
        <w:rPr>
          <w:sz w:val="20"/>
          <w:szCs w:val="20"/>
          <w:color w:val="auto"/>
        </w:rPr>
      </w:pPr>
      <w:r>
        <w:rPr>
          <w:rFonts w:ascii="Arial" w:cs="Arial" w:eastAsia="Arial" w:hAnsi="Arial"/>
          <w:sz w:val="14"/>
          <w:szCs w:val="14"/>
          <w:color w:val="auto"/>
        </w:rPr>
        <w:t>Well tolerated following multiple doses of 1.5mg and 6 mg of RPL554 alone and as add</w:t>
      </w:r>
      <w:r>
        <w:rPr>
          <w:rFonts w:ascii="MS PGothic" w:cs="MS PGothic" w:eastAsia="MS PGothic" w:hAnsi="MS PGothic"/>
          <w:sz w:val="14"/>
          <w:szCs w:val="14"/>
          <w:color w:val="auto"/>
        </w:rPr>
        <w:t>‑</w:t>
      </w:r>
      <w:r>
        <w:rPr>
          <w:rFonts w:ascii="Arial" w:cs="Arial" w:eastAsia="Arial" w:hAnsi="Arial"/>
          <w:sz w:val="14"/>
          <w:szCs w:val="14"/>
          <w:color w:val="auto"/>
        </w:rPr>
        <w:t>on treatment RPL554 produced significant additive bronchodilation (&gt;100ml increase) when dosed with tiotropium (18 mcg) as compared to tiotropium alone, and caused an additive and significant reduction in lung volumes and airway resistance</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time to onset of RPL554 when dosed with tiotropium (18 mcg) was more rapid than with albuterol or ipratropium, respectively, alone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Well tolerated following single dose of 0.4 mg to 24 mg Improvement in lung function, as measured by FEV</w:t>
      </w:r>
      <w:r>
        <w:rPr>
          <w:rFonts w:ascii="Arial" w:cs="Arial" w:eastAsia="Arial" w:hAnsi="Arial"/>
          <w:sz w:val="8"/>
          <w:szCs w:val="8"/>
          <w:color w:val="auto"/>
        </w:rPr>
        <w:t>1</w:t>
      </w:r>
      <w:r>
        <w:rPr>
          <w:rFonts w:ascii="Arial" w:cs="Arial" w:eastAsia="Arial" w:hAnsi="Arial"/>
          <w:sz w:val="14"/>
          <w:szCs w:val="14"/>
          <w:color w:val="auto"/>
        </w:rPr>
        <w:t>, observed with a magnitude that was comparable to the maximum effect observed with a dose of 7.5 mg of nebulized albuterol, or three times the recommended dose of albuterol</w:t>
      </w:r>
    </w:p>
    <w:p>
      <w:pPr>
        <w:spacing w:after="0" w:line="652" w:lineRule="exact"/>
        <w:rPr>
          <w:sz w:val="20"/>
          <w:szCs w:val="20"/>
          <w:color w:val="auto"/>
        </w:rPr>
      </w:pPr>
    </w:p>
    <w:p>
      <w:pPr>
        <w:sectPr>
          <w:pgSz w:w="11900" w:h="16838" w:orient="portrait"/>
          <w:cols w:equalWidth="0" w:num="4">
            <w:col w:w="2660" w:space="60"/>
            <w:col w:w="1920" w:space="100"/>
            <w:col w:w="1920" w:space="420"/>
            <w:col w:w="3620"/>
          </w:cols>
          <w:pgMar w:left="240" w:top="558" w:right="959" w:bottom="1440" w:gutter="0" w:footer="0" w:header="0"/>
          <w:type w:val="continuous"/>
        </w:sectPr>
      </w:pPr>
    </w:p>
    <w:p>
      <w:pPr>
        <w:spacing w:after="0" w:line="121" w:lineRule="exact"/>
        <w:rPr>
          <w:sz w:val="20"/>
          <w:szCs w:val="20"/>
          <w:color w:val="auto"/>
        </w:rPr>
      </w:pPr>
    </w:p>
    <w:p>
      <w:pPr>
        <w:ind w:left="900"/>
        <w:spacing w:after="0" w:line="244" w:lineRule="auto"/>
        <w:rPr>
          <w:sz w:val="20"/>
          <w:szCs w:val="20"/>
          <w:color w:val="auto"/>
        </w:rPr>
      </w:pPr>
      <w:r>
        <w:rPr>
          <w:rFonts w:ascii="Arial" w:cs="Arial" w:eastAsia="Arial" w:hAnsi="Arial"/>
          <w:sz w:val="14"/>
          <w:szCs w:val="14"/>
          <w:color w:val="auto"/>
        </w:rPr>
        <w:t>Phase 1 trial to assess the safety, tolerability and PK profile of single and multiple inhaled doses of RPL554 in healthy volunteers and stable COPD subjects</w:t>
      </w:r>
    </w:p>
    <w:p>
      <w:pPr>
        <w:spacing w:after="0" w:line="35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Completion date: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September 2015</w:t>
      </w:r>
    </w:p>
    <w:p>
      <w:pPr>
        <w:spacing w:after="0" w:line="379" w:lineRule="exact"/>
        <w:rPr>
          <w:sz w:val="20"/>
          <w:szCs w:val="20"/>
          <w:color w:val="auto"/>
        </w:rPr>
      </w:pPr>
    </w:p>
    <w:p>
      <w:pPr>
        <w:ind w:left="720" w:right="140"/>
        <w:spacing w:after="0" w:line="250" w:lineRule="auto"/>
        <w:rPr>
          <w:sz w:val="20"/>
          <w:szCs w:val="20"/>
          <w:color w:val="auto"/>
        </w:rPr>
      </w:pPr>
      <w:r>
        <w:rPr>
          <w:rFonts w:ascii="Arial" w:cs="Arial" w:eastAsia="Arial" w:hAnsi="Arial"/>
          <w:sz w:val="14"/>
          <w:szCs w:val="14"/>
          <w:color w:val="auto"/>
        </w:rPr>
        <w:t>Phase 1 trial to assess the relative oral bioavailability of RPL554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00"/>
        <w:spacing w:after="0" w:line="166" w:lineRule="exact"/>
        <w:rPr>
          <w:sz w:val="20"/>
          <w:szCs w:val="20"/>
          <w:color w:val="auto"/>
        </w:rPr>
      </w:pPr>
      <w:r>
        <w:rPr>
          <w:rFonts w:ascii="Arial" w:cs="Arial" w:eastAsia="Arial" w:hAnsi="Arial"/>
          <w:sz w:val="14"/>
          <w:szCs w:val="14"/>
          <w:color w:val="auto"/>
        </w:rPr>
        <w:t xml:space="preserve">Part B: 30 (21 RPL554 / 9 placebo) healthy subjects, males, age 19 </w:t>
      </w:r>
      <w:r>
        <w:rPr>
          <w:rFonts w:ascii="MS PGothic" w:cs="MS PGothic" w:eastAsia="MS PGothic" w:hAnsi="MS PGothic"/>
          <w:sz w:val="14"/>
          <w:szCs w:val="14"/>
          <w:color w:val="auto"/>
        </w:rPr>
        <w:t>‑</w:t>
      </w:r>
      <w:r>
        <w:rPr>
          <w:rFonts w:ascii="Arial" w:cs="Arial" w:eastAsia="Arial" w:hAnsi="Arial"/>
          <w:sz w:val="14"/>
          <w:szCs w:val="14"/>
          <w:color w:val="auto"/>
        </w:rPr>
        <w:t xml:space="preserve"> 46</w:t>
      </w:r>
    </w:p>
    <w:p>
      <w:pPr>
        <w:spacing w:after="0" w:line="194" w:lineRule="exact"/>
        <w:rPr>
          <w:sz w:val="20"/>
          <w:szCs w:val="20"/>
          <w:color w:val="auto"/>
        </w:rPr>
      </w:pPr>
    </w:p>
    <w:p>
      <w:pPr>
        <w:ind w:right="40"/>
        <w:spacing w:after="0" w:line="165" w:lineRule="exact"/>
        <w:rPr>
          <w:sz w:val="20"/>
          <w:szCs w:val="20"/>
          <w:color w:val="auto"/>
        </w:rPr>
      </w:pPr>
      <w:r>
        <w:rPr>
          <w:rFonts w:ascii="Arial" w:cs="Arial" w:eastAsia="Arial" w:hAnsi="Arial"/>
          <w:sz w:val="14"/>
          <w:szCs w:val="14"/>
          <w:color w:val="auto"/>
        </w:rPr>
        <w:t xml:space="preserve">Part C: 32 (23 RPL554 / 9 placebo) moderate COPD patients, males and females, age 49 </w:t>
      </w:r>
      <w:r>
        <w:rPr>
          <w:rFonts w:ascii="MS PGothic" w:cs="MS PGothic" w:eastAsia="MS PGothic" w:hAnsi="MS PGothic"/>
          <w:sz w:val="14"/>
          <w:szCs w:val="14"/>
          <w:color w:val="auto"/>
        </w:rPr>
        <w:t>‑</w:t>
      </w:r>
      <w:r>
        <w:rPr>
          <w:rFonts w:ascii="Arial" w:cs="Arial" w:eastAsia="Arial" w:hAnsi="Arial"/>
          <w:sz w:val="14"/>
          <w:szCs w:val="14"/>
          <w:color w:val="auto"/>
        </w:rPr>
        <w:t xml:space="preserve"> 73</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0" w:lineRule="exact"/>
        <w:rPr>
          <w:sz w:val="20"/>
          <w:szCs w:val="20"/>
          <w:color w:val="auto"/>
        </w:rPr>
      </w:pPr>
    </w:p>
    <w:p>
      <w:pPr>
        <w:spacing w:after="0" w:line="34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12 healthy male volunteers. 1 location in US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Part A: Single dose of 1.5 mg to 24 mg</w:t>
      </w:r>
    </w:p>
    <w:p>
      <w:pPr>
        <w:spacing w:after="0" w:line="181"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Part B: Multiple dose (twice daily for 5.5 days) of 6 mg to 24 mg</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Part C: Multiple dose (twice daily for 5.5 days) of 1.5 mg to 12 mg</w:t>
      </w:r>
    </w:p>
    <w:p>
      <w:pPr>
        <w:spacing w:after="0" w:line="37"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Singe dose of RPL554 6mg given with, or without, a charcoal block to prevent absorption of RPL554 from the GI tract</w:t>
      </w:r>
    </w:p>
    <w:p>
      <w:pPr>
        <w:spacing w:after="0" w:line="20" w:lineRule="exact"/>
        <w:rPr>
          <w:sz w:val="20"/>
          <w:szCs w:val="20"/>
          <w:color w:val="auto"/>
        </w:rPr>
      </w:pPr>
      <w:r>
        <w:rPr>
          <w:sz w:val="20"/>
          <w:szCs w:val="20"/>
          <w:color w:val="auto"/>
        </w:rPr>
        <w:br w:type="column"/>
      </w:r>
    </w:p>
    <w:p>
      <w:pPr>
        <w:ind w:left="320" w:right="260"/>
        <w:spacing w:after="0" w:line="241" w:lineRule="auto"/>
        <w:rPr>
          <w:sz w:val="20"/>
          <w:szCs w:val="20"/>
          <w:color w:val="auto"/>
        </w:rPr>
      </w:pPr>
      <w:r>
        <w:rPr>
          <w:rFonts w:ascii="Arial" w:cs="Arial" w:eastAsia="Arial" w:hAnsi="Arial"/>
          <w:sz w:val="14"/>
          <w:szCs w:val="14"/>
          <w:color w:val="auto"/>
        </w:rPr>
        <w:t>Improvement in lung function, as measured by FEV</w:t>
      </w:r>
      <w:r>
        <w:rPr>
          <w:rFonts w:ascii="Arial" w:cs="Arial" w:eastAsia="Arial" w:hAnsi="Arial"/>
          <w:sz w:val="8"/>
          <w:szCs w:val="8"/>
          <w:color w:val="auto"/>
        </w:rPr>
        <w:t>1</w:t>
      </w:r>
      <w:r>
        <w:rPr>
          <w:rFonts w:ascii="Arial" w:cs="Arial" w:eastAsia="Arial" w:hAnsi="Arial"/>
          <w:sz w:val="14"/>
          <w:szCs w:val="14"/>
          <w:color w:val="auto"/>
        </w:rPr>
        <w:t>, observed in healthy subjects and COPD patients</w:t>
      </w:r>
    </w:p>
    <w:p>
      <w:pPr>
        <w:spacing w:after="0" w:line="1" w:lineRule="exact"/>
        <w:rPr>
          <w:sz w:val="20"/>
          <w:szCs w:val="20"/>
          <w:color w:val="auto"/>
        </w:rPr>
      </w:pPr>
    </w:p>
    <w:p>
      <w:pPr>
        <w:ind w:left="320" w:right="20"/>
        <w:spacing w:after="0" w:line="241" w:lineRule="auto"/>
        <w:rPr>
          <w:sz w:val="20"/>
          <w:szCs w:val="20"/>
          <w:color w:val="auto"/>
        </w:rPr>
      </w:pPr>
      <w:r>
        <w:rPr>
          <w:rFonts w:ascii="Arial" w:cs="Arial" w:eastAsia="Arial" w:hAnsi="Arial"/>
          <w:sz w:val="14"/>
          <w:szCs w:val="14"/>
          <w:color w:val="auto"/>
        </w:rPr>
        <w:t>Part A: RPL554 was well tolerated and there was a dose dependent increase in lung function, as measured by FEV</w:t>
      </w:r>
      <w:r>
        <w:rPr>
          <w:rFonts w:ascii="Arial" w:cs="Arial" w:eastAsia="Arial" w:hAnsi="Arial"/>
          <w:sz w:val="8"/>
          <w:szCs w:val="8"/>
          <w:color w:val="auto"/>
        </w:rPr>
        <w:t>1</w:t>
      </w:r>
      <w:r>
        <w:rPr>
          <w:rFonts w:ascii="Arial" w:cs="Arial" w:eastAsia="Arial" w:hAnsi="Arial"/>
          <w:sz w:val="14"/>
          <w:szCs w:val="14"/>
          <w:color w:val="auto"/>
        </w:rPr>
        <w:t>, of up to 360 mL (9%) from baseline</w:t>
      </w:r>
    </w:p>
    <w:p>
      <w:pPr>
        <w:spacing w:after="0" w:line="1" w:lineRule="exact"/>
        <w:rPr>
          <w:sz w:val="20"/>
          <w:szCs w:val="20"/>
          <w:color w:val="auto"/>
        </w:rPr>
      </w:pPr>
    </w:p>
    <w:p>
      <w:pPr>
        <w:ind w:left="320" w:right="380"/>
        <w:spacing w:after="0" w:line="241" w:lineRule="auto"/>
        <w:rPr>
          <w:sz w:val="20"/>
          <w:szCs w:val="20"/>
          <w:color w:val="auto"/>
        </w:rPr>
      </w:pPr>
      <w:r>
        <w:rPr>
          <w:rFonts w:ascii="Arial" w:cs="Arial" w:eastAsia="Arial" w:hAnsi="Arial"/>
          <w:sz w:val="14"/>
          <w:szCs w:val="14"/>
          <w:color w:val="auto"/>
        </w:rPr>
        <w:t>Part B: RPL554 was well tolerated and there was a sustained increase in FEV</w:t>
      </w:r>
      <w:r>
        <w:rPr>
          <w:rFonts w:ascii="Arial" w:cs="Arial" w:eastAsia="Arial" w:hAnsi="Arial"/>
          <w:sz w:val="8"/>
          <w:szCs w:val="8"/>
          <w:color w:val="auto"/>
        </w:rPr>
        <w:t>1</w:t>
      </w:r>
    </w:p>
    <w:p>
      <w:pPr>
        <w:spacing w:after="0" w:line="1" w:lineRule="exact"/>
        <w:rPr>
          <w:sz w:val="20"/>
          <w:szCs w:val="20"/>
          <w:color w:val="auto"/>
        </w:rPr>
      </w:pPr>
    </w:p>
    <w:p>
      <w:pPr>
        <w:ind w:left="320" w:right="280"/>
        <w:spacing w:after="0" w:line="247" w:lineRule="auto"/>
        <w:rPr>
          <w:sz w:val="20"/>
          <w:szCs w:val="20"/>
          <w:color w:val="auto"/>
        </w:rPr>
      </w:pPr>
      <w:r>
        <w:rPr>
          <w:rFonts w:ascii="Arial" w:cs="Arial" w:eastAsia="Arial" w:hAnsi="Arial"/>
          <w:sz w:val="14"/>
          <w:szCs w:val="14"/>
          <w:color w:val="auto"/>
        </w:rPr>
        <w:t>Part C: RPL554 was well tolerated and there was a significant increase in lung function, as measured by FEV</w:t>
      </w:r>
      <w:r>
        <w:rPr>
          <w:rFonts w:ascii="Arial" w:cs="Arial" w:eastAsia="Arial" w:hAnsi="Arial"/>
          <w:sz w:val="8"/>
          <w:szCs w:val="8"/>
          <w:color w:val="auto"/>
        </w:rPr>
        <w:t>1</w:t>
      </w:r>
      <w:r>
        <w:rPr>
          <w:rFonts w:ascii="Arial" w:cs="Arial" w:eastAsia="Arial" w:hAnsi="Arial"/>
          <w:sz w:val="14"/>
          <w:szCs w:val="14"/>
          <w:color w:val="auto"/>
        </w:rPr>
        <w:t>, of up to 360 mL (24%) from baseline, with a duration of action of 12 hours</w:t>
      </w:r>
    </w:p>
    <w:p>
      <w:pPr>
        <w:spacing w:after="0" w:line="364"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Demonstrated a low oral bioavailability (GI absorption) of RPL554 of 10.4%. The terminal serum half life of RPL554 was 11.9 hours. RPL554 was well tolerated in this study.</w:t>
      </w:r>
    </w:p>
    <w:p>
      <w:pPr>
        <w:spacing w:after="0" w:line="205" w:lineRule="exact"/>
        <w:rPr>
          <w:sz w:val="20"/>
          <w:szCs w:val="20"/>
          <w:color w:val="auto"/>
        </w:rPr>
      </w:pPr>
    </w:p>
    <w:p>
      <w:pPr>
        <w:sectPr>
          <w:pgSz w:w="11900" w:h="16838" w:orient="portrait"/>
          <w:cols w:equalWidth="0" w:num="4">
            <w:col w:w="2660" w:space="60"/>
            <w:col w:w="1880" w:space="140"/>
            <w:col w:w="1940" w:space="80"/>
            <w:col w:w="3940"/>
          </w:cols>
          <w:pgMar w:left="240" w:top="558"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Clinical Trials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two Phase 1 and four Phase 2a clinical trials using our new nebulized suspension formulation of RPL554.</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00"/>
          </w:cols>
          <w:pgMar w:left="240" w:top="558" w:right="959" w:bottom="1440" w:gutter="0" w:footer="0" w:header="0"/>
          <w:type w:val="continuous"/>
        </w:sectPr>
      </w:pPr>
    </w:p>
    <w:bookmarkStart w:id="59" w:name="page60"/>
    <w:bookmarkEnd w:id="59"/>
    <w:p>
      <w:pPr>
        <w:ind w:right="80"/>
        <w:spacing w:after="0" w:line="252" w:lineRule="auto"/>
        <w:rPr>
          <w:sz w:val="20"/>
          <w:szCs w:val="20"/>
          <w:color w:val="auto"/>
        </w:rPr>
      </w:pPr>
      <w:r>
        <w:rPr>
          <w:rFonts w:ascii="Arial" w:cs="Arial" w:eastAsia="Arial" w:hAnsi="Arial"/>
          <w:sz w:val="18"/>
          <w:szCs w:val="18"/>
          <w:color w:val="auto"/>
        </w:rPr>
        <w:t>In February 2016, we completed a single-dose, double-blinded, placebo-controlled, six-way cross-over Phase 2a clinical trial for RPL554 conducted in the United Kingdom. A total of 36 patients were randomized to receive each of the six treatments, which were albuterol, ipratropium, RPL554, placebo, RPL554 as an add-on therapy to albuterol and RPL554 as an add-on therapy to ipratropium. The primary objective of this trial was to establish the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of RPL554 as an add-on therapy to albuterol (200 mg), as an add-on therapy to ipratropium (40 mg) and as a single agent, each as compared to standard doses of each of albuterol and ipratropium alone and to placebo. The testing dose level for RPL554 was 6 mg. The secondary objective of this trial was to measure the change in residual lung volume, a measure of the volume of air trapped in the lung, airway conductance, a measure of the ease with which air moves down the airways, time of onset of action and safety and tolerability of RPL554.</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this clinical trial, RPL554 produced clinically meaningful and statistically significant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as an add-on therapy to standard doses of each of albuterol and ipratropium as compared to standard doses of either bronchodilator alone. In this clinical trial, we observed the effect size, or peak improvement minus placebo improvement, was 51% higher for the add-on therapy of RPL554 with albuterol as compared to albuterol alone, and 66% higher for the add-on therapy of RPL554 with ipratropium as compared to ipratropium alone. We also observed in this trial that RPL554 as a single agent produced numerically greater improvements in lung function, as measured by FEV</w:t>
      </w:r>
      <w:r>
        <w:rPr>
          <w:rFonts w:ascii="Arial" w:cs="Arial" w:eastAsia="Arial" w:hAnsi="Arial"/>
          <w:sz w:val="14"/>
          <w:szCs w:val="14"/>
          <w:color w:val="auto"/>
        </w:rPr>
        <w:t>1</w:t>
      </w:r>
      <w:r>
        <w:rPr>
          <w:rFonts w:ascii="Arial" w:cs="Arial" w:eastAsia="Arial" w:hAnsi="Arial"/>
          <w:sz w:val="18"/>
          <w:szCs w:val="18"/>
          <w:color w:val="auto"/>
        </w:rPr>
        <w:t>, as compared to albuterol or ipratropium alone, and statistically significant improvements as compared to placebo. These results are illustrated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166370</wp:posOffset>
            </wp:positionV>
            <wp:extent cx="5848985" cy="3173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patients treated with RPL554 as a single agent experienced numerically greater improvements in residual lung volume as compared to albuterol or ipratropium alone, and statistically significant improvements as compared to placebo. The add-on therapy of RPL554 with albuterol or ipratropium caused a statistically significant reduction in residual lung volume as compared to albuterol or ipratropium alone, suggesting that RPL554 treatment may reduce dyspnea, or shortness of breath, a major debilitating symptom of COPD.</w:t>
      </w: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Another important parameter in COPD is the resistance of the airways to airflow. The inverse of this is airway conductance. Similar to the effect on residual lung volume, patients treated with RPL554 as a single agent experienced numerically greater increases in airway conductance as compared to each of albuterol and ipratropium, and statistically significant improvements as compared to placebo. We also observed, that the administration of RPL554 as an add-on therapy to either albuterol or ipratropium resulted in a statistically significant increase in airway conductance as compared to albuterol or ipratropium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517" w:right="299" w:bottom="1440" w:gutter="0" w:footer="0" w:header="0"/>
        </w:sectPr>
      </w:pPr>
    </w:p>
    <w:bookmarkStart w:id="60" w:name="page61"/>
    <w:bookmarkEnd w:id="60"/>
    <w:p>
      <w:pPr>
        <w:ind w:right="660"/>
        <w:spacing w:after="0" w:line="254" w:lineRule="auto"/>
        <w:rPr>
          <w:sz w:val="20"/>
          <w:szCs w:val="20"/>
          <w:color w:val="auto"/>
        </w:rPr>
      </w:pPr>
      <w:r>
        <w:rPr>
          <w:rFonts w:ascii="Arial" w:cs="Arial" w:eastAsia="Arial" w:hAnsi="Arial"/>
          <w:sz w:val="18"/>
          <w:szCs w:val="18"/>
          <w:color w:val="auto"/>
        </w:rPr>
        <w:t>In this trial, the time of onset of action of ipratropium was approximately 20 minutes. The time of onset of action for RPL554 alone was approximately 15 minutes. When RPL554 was administered as an add-on therapy to ipratropium, the time of onset was reduced to approximately 5 minutes, which is similar to albuterol. In both cases, RPL554 as an add-on therapy resulted in a statistically significant reduction in time of onset as compared to ipratropium or albuterol alone.</w:t>
      </w:r>
    </w:p>
    <w:p>
      <w:pPr>
        <w:spacing w:after="0" w:line="258"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 xml:space="preserve">Consistent with prior trials, RPL554 was well tolerated both alone and as an add-on therapy and was not observed to increase the incidence of any adverse event over standard bronchodilators when used alone. In addition, we did not observe the gastrointestinal or other side effects associated with roflumilast, the only PDE4 inhibitor currently on the market approved for the treatment of COPD. In this trial, RPL554 had no observed effect on cardiac function as measured by electrocardiograms, including QT intervals, a measure of time between certain waves in the heart's electrical cycle and measure of a potential cardiovascular adverse event. Finally, the serum levels of RPL554 were not affected by use of albuterol or ipratropium.In September 2017, we completed a multiple </w:t>
      </w:r>
      <w:r>
        <w:rPr>
          <w:rFonts w:ascii="MS PGothic" w:cs="MS PGothic" w:eastAsia="MS PGothic" w:hAnsi="MS PGothic"/>
          <w:sz w:val="18"/>
          <w:szCs w:val="18"/>
          <w:color w:val="auto"/>
        </w:rPr>
        <w:t>‑</w:t>
      </w:r>
      <w:r>
        <w:rPr>
          <w:rFonts w:ascii="Arial" w:cs="Arial" w:eastAsia="Arial" w:hAnsi="Arial"/>
          <w:sz w:val="18"/>
          <w:szCs w:val="18"/>
          <w:color w:val="auto"/>
        </w:rPr>
        <w:t>dose, double</w:t>
      </w:r>
      <w:r>
        <w:rPr>
          <w:rFonts w:ascii="MS PGothic" w:cs="MS PGothic" w:eastAsia="MS PGothic" w:hAnsi="MS PGothic"/>
          <w:sz w:val="18"/>
          <w:szCs w:val="18"/>
          <w:color w:val="auto"/>
        </w:rPr>
        <w:t>‑</w:t>
      </w:r>
      <w:r>
        <w:rPr>
          <w:rFonts w:ascii="Arial" w:cs="Arial" w:eastAsia="Arial" w:hAnsi="Arial"/>
          <w:sz w:val="18"/>
          <w:szCs w:val="18"/>
          <w:color w:val="auto"/>
        </w:rPr>
        <w:t>blinded, placebo</w:t>
      </w:r>
      <w:r>
        <w:rPr>
          <w:rFonts w:ascii="MS PGothic" w:cs="MS PGothic" w:eastAsia="MS PGothic" w:hAnsi="MS PGothic"/>
          <w:sz w:val="18"/>
          <w:szCs w:val="18"/>
          <w:color w:val="auto"/>
        </w:rPr>
        <w:t>‑</w:t>
      </w:r>
      <w:r>
        <w:rPr>
          <w:rFonts w:ascii="Arial" w:cs="Arial" w:eastAsia="Arial" w:hAnsi="Arial"/>
          <w:sz w:val="18"/>
          <w:szCs w:val="18"/>
          <w:color w:val="auto"/>
        </w:rPr>
        <w:t>controlled, three</w:t>
      </w:r>
      <w:r>
        <w:rPr>
          <w:rFonts w:ascii="MS PGothic" w:cs="MS PGothic" w:eastAsia="MS PGothic" w:hAnsi="MS PGothic"/>
          <w:sz w:val="18"/>
          <w:szCs w:val="18"/>
          <w:color w:val="auto"/>
        </w:rPr>
        <w:t>‑</w:t>
      </w:r>
      <w:r>
        <w:rPr>
          <w:rFonts w:ascii="Arial" w:cs="Arial" w:eastAsia="Arial" w:hAnsi="Arial"/>
          <w:sz w:val="18"/>
          <w:szCs w:val="18"/>
          <w:color w:val="auto"/>
        </w:rPr>
        <w:t>way cross</w:t>
      </w:r>
      <w:r>
        <w:rPr>
          <w:rFonts w:ascii="MS PGothic" w:cs="MS PGothic" w:eastAsia="MS PGothic" w:hAnsi="MS PGothic"/>
          <w:sz w:val="18"/>
          <w:szCs w:val="18"/>
          <w:color w:val="auto"/>
        </w:rPr>
        <w:t>‑</w:t>
      </w:r>
      <w:r>
        <w:rPr>
          <w:rFonts w:ascii="Arial" w:cs="Arial" w:eastAsia="Arial" w:hAnsi="Arial"/>
          <w:sz w:val="18"/>
          <w:szCs w:val="18"/>
          <w:color w:val="auto"/>
        </w:rPr>
        <w:t>over Phase 2a clinical trial for RPL554 conducted in the United Kingdom. A total of 30 patients were randomized to receive each of the three treatments, which were in each case tiotropium 18 mcg dosed once a day, administered together with an add-on of placebo, RPL554 dosed at 1.5 mg or RPL554 dosed at 6.0 mg (all three add-on treatments were dosed twice per day). The primary objective of this trial was to establish the improvement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of RPL554 as an add</w:t>
      </w:r>
      <w:r>
        <w:rPr>
          <w:rFonts w:ascii="MS PGothic" w:cs="MS PGothic" w:eastAsia="MS PGothic" w:hAnsi="MS PGothic"/>
          <w:sz w:val="18"/>
          <w:szCs w:val="18"/>
          <w:color w:val="auto"/>
        </w:rPr>
        <w:t>‑</w:t>
      </w:r>
      <w:r>
        <w:rPr>
          <w:rFonts w:ascii="Arial" w:cs="Arial" w:eastAsia="Arial" w:hAnsi="Arial"/>
          <w:sz w:val="18"/>
          <w:szCs w:val="18"/>
          <w:color w:val="auto"/>
        </w:rPr>
        <w:t>on therapy to tiotropium 18 mcg as compared to placebo and tiotropium. The testing dose levels for RPL554 were 1.5 mg and 6 mg. The secondary objective of this trial was to measure the change in residual lung volume, a measure of the volume of air trapped in the lung, airway conductance, a measure of the ease with which air moves down the airways, time of onset of action and safety and tolerability of RPL554.</w:t>
      </w:r>
    </w:p>
    <w:p>
      <w:pPr>
        <w:spacing w:after="0" w:line="85" w:lineRule="exact"/>
        <w:rPr>
          <w:sz w:val="20"/>
          <w:szCs w:val="20"/>
          <w:color w:val="auto"/>
        </w:rPr>
      </w:pPr>
    </w:p>
    <w:p>
      <w:pPr>
        <w:ind w:right="120"/>
        <w:spacing w:after="0" w:line="230" w:lineRule="exact"/>
        <w:rPr>
          <w:sz w:val="20"/>
          <w:szCs w:val="20"/>
          <w:color w:val="auto"/>
        </w:rPr>
      </w:pPr>
      <w:r>
        <w:rPr>
          <w:rFonts w:ascii="Arial" w:cs="Arial" w:eastAsia="Arial" w:hAnsi="Arial"/>
          <w:sz w:val="18"/>
          <w:szCs w:val="18"/>
          <w:color w:val="auto"/>
        </w:rPr>
        <w:t>In this clinical trial, RPL554 produced clinically meaningful and statistically significant improvement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as an add</w:t>
      </w:r>
      <w:r>
        <w:rPr>
          <w:rFonts w:ascii="MS PGothic" w:cs="MS PGothic" w:eastAsia="MS PGothic" w:hAnsi="MS PGothic"/>
          <w:sz w:val="18"/>
          <w:szCs w:val="18"/>
          <w:color w:val="auto"/>
        </w:rPr>
        <w:t>‑</w:t>
      </w:r>
      <w:r>
        <w:rPr>
          <w:rFonts w:ascii="Arial" w:cs="Arial" w:eastAsia="Arial" w:hAnsi="Arial"/>
          <w:sz w:val="18"/>
          <w:szCs w:val="18"/>
          <w:color w:val="auto"/>
        </w:rPr>
        <w:t>on therapy to standard doses of tiotropium as compared to standard doses of tiotropium alone. In this clinical trial, we observed the peak improvement was 104 ml higher for the add</w:t>
      </w:r>
      <w:r>
        <w:rPr>
          <w:rFonts w:ascii="MS PGothic" w:cs="MS PGothic" w:eastAsia="MS PGothic" w:hAnsi="MS PGothic"/>
          <w:sz w:val="18"/>
          <w:szCs w:val="18"/>
          <w:color w:val="auto"/>
        </w:rPr>
        <w:t>‑</w:t>
      </w:r>
      <w:r>
        <w:rPr>
          <w:rFonts w:ascii="Arial" w:cs="Arial" w:eastAsia="Arial" w:hAnsi="Arial"/>
          <w:sz w:val="18"/>
          <w:szCs w:val="18"/>
          <w:color w:val="auto"/>
        </w:rPr>
        <w:t>on therapy of 1.5 mg RPL554 and 127 ml higher for the add-on therapy of 6 mg RPL554, in each case as compared to tiotropium alone. These results are illustrated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848985" cy="3353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Improvement in Lung Function</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patients treated with both 1.5 mg or 6 mg RPL554 as an add-on to tiotropium experienced statistically significant improvements in residual lung volume as compared to placebo, suggesting that RPL554 treatment may</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517" w:right="319" w:bottom="1440" w:gutter="0" w:footer="0" w:header="0"/>
        </w:sectPr>
      </w:pPr>
    </w:p>
    <w:bookmarkStart w:id="61" w:name="page62"/>
    <w:bookmarkEnd w:id="61"/>
    <w:p>
      <w:pPr>
        <w:spacing w:after="0" w:line="262" w:lineRule="auto"/>
        <w:rPr>
          <w:sz w:val="20"/>
          <w:szCs w:val="20"/>
          <w:color w:val="auto"/>
        </w:rPr>
      </w:pPr>
      <w:r>
        <w:rPr>
          <w:rFonts w:ascii="Arial" w:cs="Arial" w:eastAsia="Arial" w:hAnsi="Arial"/>
          <w:sz w:val="18"/>
          <w:szCs w:val="18"/>
          <w:color w:val="auto"/>
        </w:rPr>
        <w:t>reduce dyspnea, or shortness of breath, a major debilitating symptom of COPD. This reduction in residual lung volume as measured in liters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848985" cy="4442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80"/>
        <w:spacing w:after="0" w:line="216" w:lineRule="exact"/>
        <w:rPr>
          <w:sz w:val="20"/>
          <w:szCs w:val="20"/>
          <w:color w:val="auto"/>
        </w:rPr>
      </w:pPr>
      <w:r>
        <w:rPr>
          <w:rFonts w:ascii="Arial" w:cs="Arial" w:eastAsia="Arial" w:hAnsi="Arial"/>
          <w:sz w:val="18"/>
          <w:szCs w:val="18"/>
          <w:color w:val="auto"/>
        </w:rPr>
        <w:t>In this trial, the time of onset of action of tiotropium was approximately 37 minutes. When RPL554 was administered, either at 1.5 mg or at 6 mg, as an add</w:t>
      </w:r>
      <w:r>
        <w:rPr>
          <w:rFonts w:ascii="MS PGothic" w:cs="MS PGothic" w:eastAsia="MS PGothic" w:hAnsi="MS PGothic"/>
          <w:sz w:val="18"/>
          <w:szCs w:val="18"/>
          <w:color w:val="auto"/>
        </w:rPr>
        <w:t>‑</w:t>
      </w:r>
      <w:r>
        <w:rPr>
          <w:rFonts w:ascii="Arial" w:cs="Arial" w:eastAsia="Arial" w:hAnsi="Arial"/>
          <w:sz w:val="18"/>
          <w:szCs w:val="18"/>
          <w:color w:val="auto"/>
        </w:rPr>
        <w:t>on therapy to tiotropium, the time of onset was reduced to less than 5 minutes. In both cases, RPL554 as an add</w:t>
      </w:r>
      <w:r>
        <w:rPr>
          <w:rFonts w:ascii="MS PGothic" w:cs="MS PGothic" w:eastAsia="MS PGothic" w:hAnsi="MS PGothic"/>
          <w:sz w:val="18"/>
          <w:szCs w:val="18"/>
          <w:color w:val="auto"/>
        </w:rPr>
        <w:t>‑</w:t>
      </w:r>
      <w:r>
        <w:rPr>
          <w:rFonts w:ascii="Arial" w:cs="Arial" w:eastAsia="Arial" w:hAnsi="Arial"/>
          <w:sz w:val="18"/>
          <w:szCs w:val="18"/>
          <w:color w:val="auto"/>
        </w:rPr>
        <w:t>on therapy resulted in a statistically significant reduction in time of onset as compared to tiotropium alone. The time of onset in minutes is shown in the figure below.</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382" w:right="339" w:bottom="1440" w:gutter="0" w:footer="0" w:header="0"/>
        </w:sectPr>
      </w:pPr>
    </w:p>
    <w:bookmarkStart w:id="62" w:name="page63"/>
    <w:bookmarkEnd w:id="62"/>
    <w:p>
      <w:pPr>
        <w:ind w:right="20"/>
        <w:spacing w:after="0" w:line="1305" w:lineRule="exact"/>
        <w:rPr>
          <w:sz w:val="20"/>
          <w:szCs w:val="20"/>
          <w:color w:val="auto"/>
        </w:rPr>
      </w:pPr>
      <w:r>
        <w:rPr>
          <w:sz w:val="1"/>
          <w:szCs w:val="1"/>
          <w:color w:val="auto"/>
        </w:rPr>
        <w:drawing>
          <wp:inline distT="0" distB="0" distL="0" distR="0">
            <wp:extent cx="5848985" cy="42538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4253865"/>
                    </a:xfrm>
                    <a:prstGeom prst="rect">
                      <a:avLst/>
                    </a:prstGeom>
                    <a:noFill/>
                    <a:ln>
                      <a:noFill/>
                    </a:ln>
                  </pic:spPr>
                </pic:pic>
              </a:graphicData>
            </a:graphic>
          </wp:inline>
        </w:drawing>
      </w:r>
      <w:r>
        <w:rPr>
          <w:rFonts w:ascii="Arial" w:cs="Arial" w:eastAsia="Arial" w:hAnsi="Arial"/>
          <w:sz w:val="18"/>
          <w:szCs w:val="18"/>
          <w:color w:val="auto"/>
        </w:rPr>
        <w:t>Consistent with prior trials, RPL554 was well tolerated as an add</w:t>
      </w:r>
      <w:r>
        <w:rPr>
          <w:rFonts w:ascii="MS PGothic" w:cs="MS PGothic" w:eastAsia="MS PGothic" w:hAnsi="MS PGothic"/>
          <w:sz w:val="18"/>
          <w:szCs w:val="18"/>
          <w:color w:val="auto"/>
        </w:rPr>
        <w:t>‑</w:t>
      </w:r>
      <w:r>
        <w:rPr>
          <w:rFonts w:ascii="Arial" w:cs="Arial" w:eastAsia="Arial" w:hAnsi="Arial"/>
          <w:sz w:val="18"/>
          <w:szCs w:val="18"/>
          <w:color w:val="auto"/>
        </w:rPr>
        <w:t>on therapy and was not observed to increase the incidence of any adverse event over tiotropium when used alone. In addition, we did not observe the gastrointestinal or other side effects associated with roflumilast, the only PDE4 inhibitor currently on the market approved for the treatment of COPD. In this trial, RPL554 had no observed effect on cardiac function as measured by electrocardiograms, including QT intervals, a measure of time between certain waves in the heart’s electrical cycle and measure of a potential cardiovascular adverse event. Finally, the serum levels of RPL554 were not affected by use of tiotropium.</w:t>
      </w:r>
    </w:p>
    <w:p>
      <w:pPr>
        <w:spacing w:after="0" w:line="3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2016, we completed a single-dose, double-blind, placebo-controlled, seven-way cross-over Phase 2a dose-finding trial of nebulized RPL554 in 29 male and female chronic asthma patients conducted in Sweden and the United Kingdom. The testing dose levels of RPL554 ranged from 0.4 mg to 24 mg, a sixty-fold range. The primary objective of this trial was to establish the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of RPL554 as compared to albuterol and placebo. The secondary objective of this study was to assess the safety and tolerability of RPL554.</w:t>
      </w:r>
    </w:p>
    <w:p>
      <w:pPr>
        <w:spacing w:after="0" w:line="26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this trial, all doses of RPL554 showed a dose-dependent and statistically significant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with a p-value of less than 0.001, as compared to placebo. The maximum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of RPL554 observed in this trial was comparable to the maximum effect observed with a dose of 7.5 mg, or three times the recommended dose, of nebulized albuterol. In this trial, RPL554 was well tolerated and there were no serious adverse events or adverse events of concern at any dose. RPL554 treatment resulted in no gastrointestinal adverse events or cardiovascular events of concern. The figure below illustrates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as compared to albuterol and placebo.</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383" w:right="31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721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Trials</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September 2017 we reported top-line data from an IND-opening single-dose pharmacokinetic, or PK, trial in 12 healthy volunteers in the United States. A PK trial involves the study of the process of bodily absorption, distribution, metabolism and excretion of a drug. With any inhaled or nebulized medication, a portion of the substance is deposited in the mouth and then swallowed by the patient. The results showed that in the study subjects only 10.4 percent of the inhaled dose entered the bloodstream via the gastrointestinal tract. The low oral bioavailability of nebulized RPL554, as demonstrated in the study, is consistent with optimal inhaled delivery of medications for the treatment of COPD and asthma. The half life of the drug was found to be 11.9 hours, which is consistent with prior studies, and demonstrates that RPL554 is appropriate to be studied as a twice daily medication. Therefore, the results from this study confirmed that inhaled RPL554 is an appropriate form of administration for patients.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2015, we completed a Phase 1 clinical trial that had three parts consisting of a single ascending dose, or SAD, trial in 50 healthy male subjects, a multiple ascending dose, or MAD, trial in 30 healthy male subjects and a MAD trial in 32 male and female patients with COPD. Doses in the SAD trial and the MAD trial with healthy subjects ranged from 6 mg to 24 mg, and doses in the MAD trial with COPD patients ranged from 1.5 mg to 12 mg. Each of the MAD trials continued for five and a half days with twice-daily dosing.</w:t>
      </w:r>
    </w:p>
    <w:p>
      <w:pPr>
        <w:spacing w:after="0" w:line="2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primary objective of the SAD and MAD trials in healthy subjects was to assess the safety and tolerability of single and multiple doses of RPL554. The secondary objective of these trials was to measure the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in healthy subjects receiving RPL554 as compared to placebo.</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SAD and MAD trials in healthy subjects, RPL554 was well tolerated. In these trials, we also observed a longer residence time in the lung, lower peak plasma concentrations and a longer plasma half-life (10 to 12 hours) than our initial proof-of-concept formulation of RPL554, suggesting that twice-daily dosing is appropriate. The lung function testing in the SAD trial showed a dose-dependent improvement in lung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function, as measured by FEV</w:t>
      </w:r>
      <w:r>
        <w:rPr>
          <w:rFonts w:ascii="Arial" w:cs="Arial" w:eastAsia="Arial" w:hAnsi="Arial"/>
          <w:sz w:val="14"/>
          <w:szCs w:val="14"/>
          <w:color w:val="auto"/>
        </w:rPr>
        <w:t>1</w:t>
      </w:r>
      <w:r>
        <w:rPr>
          <w:rFonts w:ascii="Arial" w:cs="Arial" w:eastAsia="Arial" w:hAnsi="Arial"/>
          <w:sz w:val="18"/>
          <w:szCs w:val="18"/>
          <w:color w:val="auto"/>
        </w:rPr>
        <w:t>, in these healthy individuals, despite none of them having asthma or COPD, as illustrated in the figure below.</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440" w:right="2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550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Similarly, in the MAD trial in 30 healthy male subjects, RPL554 continued to show an increase in lung function compared to baseline on each day of the study, as measured by FEV</w:t>
      </w:r>
      <w:r>
        <w:rPr>
          <w:rFonts w:ascii="Arial" w:cs="Arial" w:eastAsia="Arial" w:hAnsi="Arial"/>
          <w:sz w:val="14"/>
          <w:szCs w:val="14"/>
          <w:color w:val="auto"/>
        </w:rPr>
        <w:t>1</w:t>
      </w:r>
      <w:r>
        <w:rPr>
          <w:rFonts w:ascii="Arial" w:cs="Arial" w:eastAsia="Arial" w:hAnsi="Arial"/>
          <w:sz w:val="18"/>
          <w:szCs w:val="18"/>
          <w:color w:val="auto"/>
        </w:rPr>
        <w:t>, in these healthy individuals, despite none of them having asthma or COPD.</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primary objective of the third part of the trial, which was a MAD trial in 32 patients with moderate COPD, was to assess safety and tolerability and measure the PK profile of RPL554 in COPD patients receiving RPL554 as compared to placebo. The secondary objective was to assess the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in these patients. In this clinical trial, RPL554 was well tolerated at all doses with no reports of serious adverse events or adverse events of concern. Specifically, we did not observe the gastrointestinal or other side effects associated with roflumilast, the only PDE4 inhibitor currently on the market approved for the treatment of COPD, and RPL554 was not observed to have any effect on cardiac function as measured by electrocardiograms, including QT intervals, and Holter monitoring, which uses a portable device that continuously measures and records the heart's activity for at least 24 hours. We also observed a statistically significant increase in lung function, as measured by FEV</w:t>
      </w:r>
      <w:r>
        <w:rPr>
          <w:rFonts w:ascii="Arial" w:cs="Arial" w:eastAsia="Arial" w:hAnsi="Arial"/>
          <w:sz w:val="14"/>
          <w:szCs w:val="14"/>
          <w:color w:val="auto"/>
        </w:rPr>
        <w:t>1</w:t>
      </w:r>
      <w:r>
        <w:rPr>
          <w:rFonts w:ascii="Arial" w:cs="Arial" w:eastAsia="Arial" w:hAnsi="Arial"/>
          <w:sz w:val="18"/>
          <w:szCs w:val="18"/>
          <w:color w:val="auto"/>
        </w:rPr>
        <w:t>, with a p-value of less than 0.05, in patients receiving RPL554 in all dose groups as compared to placebo. The figure below illustrates a consistent increase in lung function compared to baseline with no evidence of reduction in effect level, as measured by FEV</w:t>
      </w:r>
      <w:r>
        <w:rPr>
          <w:rFonts w:ascii="Arial" w:cs="Arial" w:eastAsia="Arial" w:hAnsi="Arial"/>
          <w:sz w:val="14"/>
          <w:szCs w:val="14"/>
          <w:color w:val="auto"/>
        </w:rPr>
        <w:t>1</w:t>
      </w:r>
      <w:r>
        <w:rPr>
          <w:rFonts w:ascii="Arial" w:cs="Arial" w:eastAsia="Arial" w:hAnsi="Arial"/>
          <w:sz w:val="18"/>
          <w:szCs w:val="18"/>
          <w:color w:val="auto"/>
        </w:rPr>
        <w:t>, on each day of the study.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440" w:right="2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507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figure below, which represents the effects of the final dose after five and a half days of treatment with RPL554, shows that patients with moderate COPD that were administered RPL554 experienced an improvement in lung function, as measured by FEV</w:t>
      </w:r>
      <w:r>
        <w:rPr>
          <w:rFonts w:ascii="Arial" w:cs="Arial" w:eastAsia="Arial" w:hAnsi="Arial"/>
          <w:sz w:val="14"/>
          <w:szCs w:val="14"/>
          <w:color w:val="auto"/>
        </w:rPr>
        <w:t>1</w:t>
      </w:r>
      <w:r>
        <w:rPr>
          <w:rFonts w:ascii="Arial" w:cs="Arial" w:eastAsia="Arial" w:hAnsi="Arial"/>
          <w:sz w:val="18"/>
          <w:szCs w:val="18"/>
          <w:color w:val="auto"/>
        </w:rPr>
        <w:t>, and that the improvement peaked at two hours and continued through the 12-hour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77470</wp:posOffset>
            </wp:positionV>
            <wp:extent cx="5848985" cy="352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1440" w:right="559" w:bottom="1440" w:gutter="0" w:footer="0" w:header="0"/>
        </w:sectPr>
      </w:pPr>
    </w:p>
    <w:bookmarkStart w:id="66" w:name="page67"/>
    <w:bookmarkEnd w:id="66"/>
    <w:p>
      <w:pPr>
        <w:spacing w:after="0" w:line="252" w:lineRule="auto"/>
        <w:rPr>
          <w:sz w:val="20"/>
          <w:szCs w:val="20"/>
          <w:color w:val="auto"/>
        </w:rPr>
      </w:pPr>
      <w:r>
        <w:rPr>
          <w:rFonts w:ascii="Arial" w:cs="Arial" w:eastAsia="Arial" w:hAnsi="Arial"/>
          <w:sz w:val="18"/>
          <w:szCs w:val="18"/>
          <w:color w:val="auto"/>
        </w:rPr>
        <w:t>In May 2013, we completed a Phase 1 clinical trial in which 21 healthy evaluable subjects were treated with either our initial proof-of-concept formulation of RPL554 or placebo once daily for six days before airway challenge with aerosolized LPS. Subjects that were administered RPL554 had significantly lower absolute numbers of neutrophils in sputum collected six hours after LPS challenge, and a significant reduction in the absolute numbers of other inflammatory cells, including lymphocytes, macrophages and eosinophils, at the same time point. These observations suggest that RPL554 also has the potential to target the chronic inflammatory processes in COPD. The figure below illustrates the reduction in inflammatory cells observed in this trial as measured by absolute cell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167005</wp:posOffset>
            </wp:positionV>
            <wp:extent cx="5848985" cy="3310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Safety Results</w:t>
      </w:r>
    </w:p>
    <w:p>
      <w:pPr>
        <w:spacing w:after="0" w:line="2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RPL554 was well tolerated in each of our ten Phase 1 and 2a clinical trials that has been reported, at dose levels ranging from 0.4 mg to 24 mg. RPL554 was well tolerated both when administered alone and as an add-on therapy to commonly used bronchodilators. In our completed clinical trials, we did not observe any gastrointestinal adverse events or cardiovascular effects, other than a small increase in heart rate at the highest doses tested. RPL554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over commonly used bronchodilators when RPL554 was used alone. In these trials, some subjects experienced mild to moderate adverse reactions, including headache, dizziness, cough, heart palpitation, nausea, dry mouth, parenthesis (tingling), nasopharyngitis (throat irritation) and rash, which occurred with comparable frequency to placebo.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effects of RPL554 and albuterol on serum levels of potassium: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17" w:right="2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670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6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plan to conduct further trials to support our plans to develop RPL554 in a nebulized formulation for the maintenance treatment of COPD and as an add</w:t>
      </w:r>
      <w:r>
        <w:rPr>
          <w:rFonts w:ascii="MS PGothic" w:cs="MS PGothic" w:eastAsia="MS PGothic" w:hAnsi="MS PGothic"/>
          <w:sz w:val="18"/>
          <w:szCs w:val="18"/>
          <w:color w:val="auto"/>
        </w:rPr>
        <w:t>‑</w:t>
      </w:r>
      <w:r>
        <w:rPr>
          <w:rFonts w:ascii="Arial" w:cs="Arial" w:eastAsia="Arial" w:hAnsi="Arial"/>
          <w:sz w:val="18"/>
          <w:szCs w:val="18"/>
          <w:color w:val="auto"/>
        </w:rPr>
        <w:t>on therapy to short</w:t>
      </w:r>
      <w:r>
        <w:rPr>
          <w:rFonts w:ascii="MS PGothic" w:cs="MS PGothic" w:eastAsia="MS PGothic" w:hAnsi="MS PGothic"/>
          <w:sz w:val="18"/>
          <w:szCs w:val="18"/>
          <w:color w:val="auto"/>
        </w:rPr>
        <w:t>‑</w:t>
      </w:r>
      <w:r>
        <w:rPr>
          <w:rFonts w:ascii="Arial" w:cs="Arial" w:eastAsia="Arial" w:hAnsi="Arial"/>
          <w:sz w:val="18"/>
          <w:szCs w:val="18"/>
          <w:color w:val="auto"/>
        </w:rPr>
        <w:t>acting bronchodilators and other commonly used therapies for the treatment of hospitalized patients with acute exacerbations of COPD. We also are developing RPL554 in both DPI and pMDI formulations for the maintenance treatment of COPD. In addition, we may explore the development of RPL554 in these formulations for the treatment of asthma and other respiratory diseases.</w:t>
      </w:r>
    </w:p>
    <w:p>
      <w:pPr>
        <w:spacing w:after="0" w:line="196" w:lineRule="exact"/>
        <w:rPr>
          <w:sz w:val="20"/>
          <w:szCs w:val="20"/>
          <w:color w:val="auto"/>
        </w:rPr>
      </w:pPr>
    </w:p>
    <w:p>
      <w:pPr>
        <w:ind w:left="660" w:right="40" w:hanging="328"/>
        <w:spacing w:after="0" w:line="249" w:lineRule="auto"/>
        <w:tabs>
          <w:tab w:leader="none" w:pos="6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Maintenance treatment of COPD. </w:t>
      </w:r>
      <w:r>
        <w:rPr>
          <w:rFonts w:ascii="Arial" w:cs="Arial" w:eastAsia="Arial" w:hAnsi="Arial"/>
          <w:sz w:val="18"/>
          <w:szCs w:val="18"/>
          <w:color w:val="auto"/>
        </w:rPr>
        <w:t>In July 2017 we announced the commencement of a Phase 2b dose-ranging study for RPL554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maintenance treatment in approximately 400 patients with COPD in Europe. The Phase 2b clinical trial is a four-week double-blind placebo-controlled parallel group trial. The primary endpoint is improvement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after dosing with RPL554 or placebo. We expect to report top-line data from the Phase 2b trial early in the second quarter of 2018.</w:t>
      </w:r>
    </w:p>
    <w:p>
      <w:pPr>
        <w:spacing w:after="0" w:line="207" w:lineRule="exact"/>
        <w:rPr>
          <w:rFonts w:ascii="Arial" w:cs="Arial" w:eastAsia="Arial" w:hAnsi="Arial"/>
          <w:sz w:val="18"/>
          <w:szCs w:val="18"/>
          <w:b w:val="1"/>
          <w:bCs w:val="1"/>
          <w:i w:val="1"/>
          <w:iCs w:val="1"/>
          <w:color w:val="auto"/>
        </w:rPr>
      </w:pPr>
    </w:p>
    <w:p>
      <w:pPr>
        <w:ind w:left="660" w:right="4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study investigates the effect of 4 weeks of twice daily treatment of four different doses of RPL554 (0.75mg, 1.5mg, 3mg and 6mg) or placebo, each administered twice per day, in patients with moderate to severe COPD. Patients will be instructed to wash out any long-acting bronchodilators but can continue with an inhaled corticosteroid if maintained at the same dose throughout the study. Albuterol may be used as rescue medication.</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primary outcome measure is the effect of RPL554 or placebo on change from baseline in peak FEV1 over 4 weeks.</w:t>
      </w:r>
    </w:p>
    <w:p>
      <w:pPr>
        <w:spacing w:after="0" w:line="225"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Secondary outcome measures include various additional measurements of lung function, COPD symptoms based on a range of different scales and methodologies, and tolerability.</w:t>
      </w:r>
    </w:p>
    <w:p>
      <w:pPr>
        <w:spacing w:after="0" w:line="196"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Following completion of this ongoing 4-week Phase 2b clinical trial we will evaluate and possibly adjust the overall and near-term development plans for RPL554. 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1440" w:right="319" w:bottom="1440" w:gutter="0" w:footer="0" w:header="0"/>
        </w:sectPr>
      </w:pPr>
    </w:p>
    <w:bookmarkStart w:id="68" w:name="page69"/>
    <w:bookmarkEnd w:id="68"/>
    <w:p>
      <w:pPr>
        <w:ind w:left="660" w:right="60"/>
        <w:spacing w:after="0" w:line="301" w:lineRule="auto"/>
        <w:rPr>
          <w:sz w:val="20"/>
          <w:szCs w:val="20"/>
          <w:color w:val="auto"/>
        </w:rPr>
      </w:pPr>
      <w:r>
        <w:rPr>
          <w:rFonts w:ascii="Arial" w:cs="Arial" w:eastAsia="Arial" w:hAnsi="Arial"/>
          <w:sz w:val="18"/>
          <w:szCs w:val="18"/>
          <w:color w:val="auto"/>
        </w:rPr>
        <w:t>trials, particularly with nebulized RPL554 for the maintenance treatment of COPD.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in hospitalized patients and as a treatment for CF patients.</w:t>
      </w:r>
    </w:p>
    <w:p>
      <w:pPr>
        <w:spacing w:after="0" w:line="155" w:lineRule="exact"/>
        <w:rPr>
          <w:sz w:val="20"/>
          <w:szCs w:val="20"/>
          <w:color w:val="auto"/>
        </w:rPr>
      </w:pPr>
    </w:p>
    <w:p>
      <w:pPr>
        <w:ind w:left="660" w:right="80" w:hanging="328"/>
        <w:spacing w:after="0" w:line="219" w:lineRule="exact"/>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pMDI and DPI development for treatment of COPD patients. </w:t>
      </w:r>
      <w:r>
        <w:rPr>
          <w:rFonts w:ascii="Arial" w:cs="Arial" w:eastAsia="Arial" w:hAnsi="Arial"/>
          <w:sz w:val="18"/>
          <w:szCs w:val="18"/>
          <w:color w:val="auto"/>
        </w:rPr>
        <w:t>In addition to our nebulized formulation of RPL554,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both DPI and pMDI formulations for the maintenance treatment of COPD. In addition, we may explore the development of RPL554 in these formulations for the treatment of asthma and other respiratory diseases. DPI and pMDI inhaler devices are the most common forms of drug delivery in non</w:t>
      </w:r>
      <w:r>
        <w:rPr>
          <w:rFonts w:ascii="MS PGothic" w:cs="MS PGothic" w:eastAsia="MS PGothic" w:hAnsi="MS PGothic"/>
          <w:sz w:val="18"/>
          <w:szCs w:val="18"/>
          <w:color w:val="auto"/>
        </w:rPr>
        <w:t>‑</w:t>
      </w:r>
      <w:r>
        <w:rPr>
          <w:rFonts w:ascii="Arial" w:cs="Arial" w:eastAsia="Arial" w:hAnsi="Arial"/>
          <w:sz w:val="18"/>
          <w:szCs w:val="18"/>
          <w:color w:val="auto"/>
        </w:rPr>
        <w:t>hospitalized patients with COPD and are well</w:t>
      </w:r>
      <w:r>
        <w:rPr>
          <w:rFonts w:ascii="MS PGothic" w:cs="MS PGothic" w:eastAsia="MS PGothic" w:hAnsi="MS PGothic"/>
          <w:sz w:val="18"/>
          <w:szCs w:val="18"/>
          <w:color w:val="auto"/>
        </w:rPr>
        <w:t>‑</w:t>
      </w:r>
      <w:r>
        <w:rPr>
          <w:rFonts w:ascii="Arial" w:cs="Arial" w:eastAsia="Arial" w:hAnsi="Arial"/>
          <w:sz w:val="18"/>
          <w:szCs w:val="18"/>
          <w:color w:val="auto"/>
        </w:rPr>
        <w:t>suited for the maintenance therapy of COPD patients. We believe the development of DPI and pMDI formulations has the potential to significantly increase the market opportunity for RPL554, if approved, for the maintenance treatment of COPD. Following the progression of our DPI and pMDI formulation process, we plan to commence pre</w:t>
      </w:r>
      <w:r>
        <w:rPr>
          <w:rFonts w:ascii="MS PGothic" w:cs="MS PGothic" w:eastAsia="MS PGothic" w:hAnsi="MS PGothic"/>
          <w:sz w:val="18"/>
          <w:szCs w:val="18"/>
          <w:color w:val="auto"/>
        </w:rPr>
        <w:t>‑</w:t>
      </w:r>
      <w:r>
        <w:rPr>
          <w:rFonts w:ascii="Arial" w:cs="Arial" w:eastAsia="Arial" w:hAnsi="Arial"/>
          <w:sz w:val="18"/>
          <w:szCs w:val="18"/>
          <w:color w:val="auto"/>
        </w:rPr>
        <w:t>clinical studies for RPL554 in these formulations in 2018, to be followed by the first clinical trials in healthy subjects or patients with COPD.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660" w:hanging="328"/>
        <w:spacing w:after="0" w:line="218" w:lineRule="exact"/>
        <w:tabs>
          <w:tab w:leader="none" w:pos="6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Treatment of hospitalized patients with acute exacerbations of COPD. </w:t>
      </w:r>
      <w:r>
        <w:rPr>
          <w:rFonts w:ascii="Arial" w:cs="Arial" w:eastAsia="Arial" w:hAnsi="Arial"/>
          <w:sz w:val="18"/>
          <w:szCs w:val="18"/>
          <w:color w:val="auto"/>
        </w:rPr>
        <w:t>We plan to commence a Phase 2 clinical trial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for RPL554 for the treatment of acute COPD patients requiring hospitalization. We plan this Phase 2 clinical trial as a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parallel group trial starting during the patients’ hospitalization for COPD exacerbation and continuing for 30 days after discharge. RPL554 will be added to the standard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care treatment these patients receive. This trial will be designed to evaluate the efficacy and safety of RPL554 when administered for patients experiencing a COPD exacerbation requiring hospitalization. 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in hospitalized patients and as a treatment for CF patients.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Cystic Fibrosis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right="180"/>
        <w:spacing w:after="0" w:line="217" w:lineRule="exact"/>
        <w:rPr>
          <w:sz w:val="20"/>
          <w:szCs w:val="20"/>
          <w:color w:val="auto"/>
        </w:rPr>
      </w:pPr>
      <w:r>
        <w:rPr>
          <w:rFonts w:ascii="Arial" w:cs="Arial" w:eastAsia="Arial" w:hAnsi="Arial"/>
          <w:sz w:val="18"/>
          <w:szCs w:val="18"/>
          <w:color w:val="auto"/>
        </w:rPr>
        <w:t>We are evaluating RPL554 for the treatment of CF. We believe RPL554, if approved, has the potential to be an important and novel treatment and standard of care for patients with CF based on its favorable bronchodilator and anti</w:t>
      </w:r>
      <w:r>
        <w:rPr>
          <w:rFonts w:ascii="MS PGothic" w:cs="MS PGothic" w:eastAsia="MS PGothic" w:hAnsi="MS PGothic"/>
          <w:sz w:val="18"/>
          <w:szCs w:val="18"/>
          <w:color w:val="auto"/>
        </w:rPr>
        <w:t>‑</w:t>
      </w:r>
      <w:r>
        <w:rPr>
          <w:rFonts w:ascii="Arial" w:cs="Arial" w:eastAsia="Arial" w:hAnsi="Arial"/>
          <w:sz w:val="18"/>
          <w:szCs w:val="18"/>
          <w:color w:val="auto"/>
        </w:rPr>
        <w:t>inflammatory properties observed to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Background</w:t>
      </w:r>
    </w:p>
    <w:p>
      <w:pPr>
        <w:spacing w:after="0" w:line="193"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CF is the most common fatal inherited disease in the United States and Europe. CF causes impaired lung function and is commonly associated with repeat and persistent lung infections due to the inability to clear thickened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We plan to seek orphan drug designation for RPL554 in treating CF. CF patients require lifelong treatment with multiple daily medications, frequent hospitalizations and, ultimately, lung transplants in some end</w:t>
      </w:r>
      <w:r>
        <w:rPr>
          <w:rFonts w:ascii="MS PGothic" w:cs="MS PGothic" w:eastAsia="MS PGothic" w:hAnsi="MS PGothic"/>
          <w:sz w:val="18"/>
          <w:szCs w:val="18"/>
          <w:color w:val="auto"/>
        </w:rPr>
        <w:t>‑</w:t>
      </w:r>
      <w:r>
        <w:rPr>
          <w:rFonts w:ascii="Arial" w:cs="Arial" w:eastAsia="Arial" w:hAnsi="Arial"/>
          <w:sz w:val="18"/>
          <w:szCs w:val="18"/>
          <w:color w:val="auto"/>
        </w:rPr>
        <w:t>stage patients. The quality of life for CF patients is compromised as a result of spending significant time on self</w:t>
      </w:r>
      <w:r>
        <w:rPr>
          <w:rFonts w:ascii="MS PGothic" w:cs="MS PGothic" w:eastAsia="MS PGothic" w:hAnsi="MS PGothic"/>
          <w:sz w:val="18"/>
          <w:szCs w:val="18"/>
          <w:color w:val="auto"/>
        </w:rPr>
        <w:t>‑</w:t>
      </w:r>
      <w:r>
        <w:rPr>
          <w:rFonts w:ascii="Arial" w:cs="Arial" w:eastAsia="Arial" w:hAnsi="Arial"/>
          <w:sz w:val="18"/>
          <w:szCs w:val="18"/>
          <w:color w:val="auto"/>
        </w:rPr>
        <w:t>care every day and frequent outpatient doctor visits and hospitalizations. CF patients take an average of seven medications daily. In the 12</w:t>
      </w:r>
      <w:r>
        <w:rPr>
          <w:rFonts w:ascii="MS PGothic" w:cs="MS PGothic" w:eastAsia="MS PGothic" w:hAnsi="MS PGothic"/>
          <w:sz w:val="18"/>
          <w:szCs w:val="18"/>
          <w:color w:val="auto"/>
        </w:rPr>
        <w:t>‑</w:t>
      </w:r>
      <w:r>
        <w:rPr>
          <w:rFonts w:ascii="Arial" w:cs="Arial" w:eastAsia="Arial" w:hAnsi="Arial"/>
          <w:sz w:val="18"/>
          <w:szCs w:val="18"/>
          <w:color w:val="auto"/>
        </w:rPr>
        <w:t>month period ended June 30, 2016, global sales of drugs currently indicated for CF totaled $4.1 billion. The global market for CF drugs is expected to increase to $7.0 billion in 2020.</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09" w:right="239" w:bottom="1440" w:gutter="0" w:footer="0" w:header="0"/>
        </w:sectPr>
      </w:pPr>
    </w:p>
    <w:bookmarkStart w:id="69" w:name="page70"/>
    <w:bookmarkEnd w:id="69"/>
    <w:p>
      <w:pPr>
        <w:ind w:right="120"/>
        <w:spacing w:after="0" w:line="253" w:lineRule="auto"/>
        <w:rPr>
          <w:sz w:val="20"/>
          <w:szCs w:val="20"/>
          <w:color w:val="auto"/>
        </w:rPr>
      </w:pPr>
      <w:r>
        <w:rPr>
          <w:rFonts w:ascii="Arial" w:cs="Arial" w:eastAsia="Arial" w:hAnsi="Arial"/>
          <w:sz w:val="18"/>
          <w:szCs w:val="18"/>
          <w:color w:val="auto"/>
        </w:rPr>
        <w:t>CF is caused by mutations in a gene that encodes the CFTR protein. The CFTR protein channel regulates the movement, or efflux, of specific ions such as chloride in and out of the cells of organs like the lungs, pancreas and gastrointestinal tract. Through regulation of these ions, the amount of salts in the fluid both inside and outside the cell remains balanced. In CF patients, however, the CFTR protein is defective and cannot perform its normal function of transporting ions across the cell membrane, resulting in an environment characterized by thick mucus in vital organs such as the lung, the pancreas and the gastrointestinal tract.</w:t>
      </w:r>
    </w:p>
    <w:p>
      <w:pPr>
        <w:spacing w:after="0" w:line="15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The lack of functional CFTR in CF patients is particularly problematic in the lungs, where the build</w:t>
      </w:r>
      <w:r>
        <w:rPr>
          <w:rFonts w:ascii="MS PGothic" w:cs="MS PGothic" w:eastAsia="MS PGothic" w:hAnsi="MS PGothic"/>
          <w:sz w:val="18"/>
          <w:szCs w:val="18"/>
          <w:color w:val="auto"/>
        </w:rPr>
        <w:t>‑</w:t>
      </w:r>
      <w:r>
        <w:rPr>
          <w:rFonts w:ascii="Arial" w:cs="Arial" w:eastAsia="Arial" w:hAnsi="Arial"/>
          <w:sz w:val="18"/>
          <w:szCs w:val="18"/>
          <w:color w:val="auto"/>
        </w:rPr>
        <w:t>up of thick mucus obstructs parts of the lung, allows bacteria to grow unfettered and impairs the functionality of the local immune system. Of all the manifestations of CF, chronic pulmonary disease is the most critical and is characterized by a combination of airway obstruction, infection and inflammation such that more than 90% of all CF patients die of respiratory failure, and thus have a shortened life expectancy.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CF</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Until recently, approved therapies to treat CF patients have been designed to treat the symptoms of CF, by preventing and controlling infections</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that occur in the lungs, rather than address the underlying cause. Accordingly, antibiotics are frequently used along with mucus</w:t>
      </w:r>
      <w:r>
        <w:rPr>
          <w:rFonts w:ascii="MS PGothic" w:cs="MS PGothic" w:eastAsia="MS PGothic" w:hAnsi="MS PGothic"/>
          <w:sz w:val="18"/>
          <w:szCs w:val="18"/>
          <w:color w:val="auto"/>
        </w:rPr>
        <w:t>‑</w:t>
      </w:r>
      <w:r>
        <w:rPr>
          <w:rFonts w:ascii="Arial" w:cs="Arial" w:eastAsia="Arial" w:hAnsi="Arial"/>
          <w:sz w:val="18"/>
          <w:szCs w:val="18"/>
          <w:color w:val="auto"/>
        </w:rPr>
        <w:t>thinning drugs.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CF patients are prescribed bronchodilators, although no bronchodilator is currently approved by the FDA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treatment of patients with CF. For patients with certain gene mutations, a new medication called ivacaftor, or Kalydeco, which is a CFTR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potentiator, is used to improve CFTR function and thereby improve lung function. A combination drug consisting of ivacaftor and lumacaftor,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Orkambi, which is a CFTR corrector, can be used in a somewhat broader group of CF patients with partly different gene mutations. While not</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indicated specifically for CF, high doses of ibuprofen also have been studied in CF patients and have demonstrated some anti</w:t>
      </w:r>
      <w:r>
        <w:rPr>
          <w:rFonts w:ascii="MS PGothic" w:cs="MS PGothic" w:eastAsia="MS PGothic" w:hAnsi="MS PGothic"/>
          <w:sz w:val="18"/>
          <w:szCs w:val="18"/>
          <w:color w:val="auto"/>
        </w:rPr>
        <w:t>‑</w:t>
      </w:r>
      <w:r>
        <w:rPr>
          <w:rFonts w:ascii="Arial" w:cs="Arial" w:eastAsia="Arial" w:hAnsi="Arial"/>
          <w:sz w:val="18"/>
          <w:szCs w:val="18"/>
          <w:color w:val="auto"/>
        </w:rPr>
        <w:t>inflammatory</w:t>
      </w:r>
    </w:p>
    <w:p>
      <w:pPr>
        <w:spacing w:after="0" w:line="223" w:lineRule="auto"/>
        <w:rPr>
          <w:sz w:val="20"/>
          <w:szCs w:val="20"/>
          <w:color w:val="auto"/>
        </w:rPr>
      </w:pPr>
      <w:r>
        <w:rPr>
          <w:rFonts w:ascii="Arial" w:cs="Arial" w:eastAsia="Arial" w:hAnsi="Arial"/>
          <w:sz w:val="18"/>
          <w:szCs w:val="18"/>
          <w:color w:val="auto"/>
        </w:rPr>
        <w:t>efficacy resulting in a beneficial effect on the annual rate of decline of FEV</w:t>
      </w:r>
      <w:r>
        <w:rPr>
          <w:rFonts w:ascii="Arial" w:cs="Arial" w:eastAsia="Arial" w:hAnsi="Arial"/>
          <w:sz w:val="21"/>
          <w:szCs w:val="21"/>
          <w:color w:val="auto"/>
          <w:vertAlign w:val="subscript"/>
        </w:rPr>
        <w:t>1</w:t>
      </w:r>
      <w:r>
        <w:rPr>
          <w:rFonts w:ascii="Arial" w:cs="Arial" w:eastAsia="Arial" w:hAnsi="Arial"/>
          <w:sz w:val="18"/>
          <w:szCs w:val="18"/>
          <w:color w:val="auto"/>
        </w:rPr>
        <w:t>. However, CF patients commonly experience adverse events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ibuprofen, including gastrointestinal and liver side effects, and as a result it is infrequently used. However, it demonstrates that an</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anti</w:t>
      </w:r>
      <w:r>
        <w:rPr>
          <w:rFonts w:ascii="MS PGothic" w:cs="MS PGothic" w:eastAsia="MS PGothic" w:hAnsi="MS PGothic"/>
          <w:sz w:val="18"/>
          <w:szCs w:val="18"/>
          <w:color w:val="auto"/>
        </w:rPr>
        <w:t>‑</w:t>
      </w:r>
      <w:r>
        <w:rPr>
          <w:rFonts w:ascii="Arial" w:cs="Arial" w:eastAsia="Arial" w:hAnsi="Arial"/>
          <w:sz w:val="18"/>
          <w:szCs w:val="18"/>
          <w:color w:val="auto"/>
        </w:rPr>
        <w:t>inflammatory medication in CF might change the course of the disease. There is currently no anti</w:t>
      </w:r>
      <w:r>
        <w:rPr>
          <w:rFonts w:ascii="MS PGothic" w:cs="MS PGothic" w:eastAsia="MS PGothic" w:hAnsi="MS PGothic"/>
          <w:sz w:val="18"/>
          <w:szCs w:val="18"/>
          <w:color w:val="auto"/>
        </w:rPr>
        <w:t>‑</w:t>
      </w:r>
      <w:r>
        <w:rPr>
          <w:rFonts w:ascii="Arial" w:cs="Arial" w:eastAsia="Arial" w:hAnsi="Arial"/>
          <w:sz w:val="18"/>
          <w:szCs w:val="18"/>
          <w:color w:val="auto"/>
        </w:rPr>
        <w:t>inflammatory medication which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to treat the underlying inflammation in CF.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recent approval of novel targeted therapies for patients with CF, only a subset of CF patients is indicated for treatment with these two therapies. As a result, we believe CF remains a significant unmet medical need. If we obtain orphan drug designation and FDA approval for this indication, RPL554 may be entitled to orphan drug exclusivity, which means the FDA may not approve any other application to market the same drug for this indication for a period of seven years, except in limited circumstances.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47"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By inhibiting PDE3 and PDE4, RPL554 increases the levels of cAMP and CGMP, resulting in bronchodilator and anti</w:t>
      </w:r>
      <w:r>
        <w:rPr>
          <w:rFonts w:ascii="MS PGothic" w:cs="MS PGothic" w:eastAsia="MS PGothic" w:hAnsi="MS PGothic"/>
          <w:sz w:val="18"/>
          <w:szCs w:val="18"/>
          <w:color w:val="auto"/>
        </w:rPr>
        <w:t>‑</w:t>
      </w:r>
      <w:r>
        <w:rPr>
          <w:rFonts w:ascii="Arial" w:cs="Arial" w:eastAsia="Arial" w:hAnsi="Arial"/>
          <w:sz w:val="18"/>
          <w:szCs w:val="18"/>
          <w:color w:val="auto"/>
        </w:rPr>
        <w:t>inflammatory effects, and stimulates the CFTR.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w:t>
      </w:r>
      <w:r>
        <w:rPr>
          <w:rFonts w:ascii="MS PGothic" w:cs="MS PGothic" w:eastAsia="MS PGothic" w:hAnsi="MS PGothic"/>
          <w:sz w:val="18"/>
          <w:szCs w:val="18"/>
          <w:color w:val="auto"/>
        </w:rPr>
        <w:t>‑</w:t>
      </w:r>
      <w:r>
        <w:rPr>
          <w:rFonts w:ascii="Arial" w:cs="Arial" w:eastAsia="Arial" w:hAnsi="Arial"/>
          <w:sz w:val="18"/>
          <w:szCs w:val="18"/>
          <w:color w:val="auto"/>
        </w:rPr>
        <w:t>inflammatory cells residing in the lung, both of which are commonly understood to play a significant role in CF.</w:t>
      </w:r>
    </w:p>
    <w:p>
      <w:pPr>
        <w:spacing w:after="0" w:line="218" w:lineRule="exact"/>
        <w:rPr>
          <w:sz w:val="20"/>
          <w:szCs w:val="20"/>
          <w:color w:val="auto"/>
        </w:rPr>
      </w:pPr>
    </w:p>
    <w:p>
      <w:pPr>
        <w:ind w:right="20"/>
        <w:spacing w:after="0" w:line="216" w:lineRule="exact"/>
        <w:rPr>
          <w:sz w:val="20"/>
          <w:szCs w:val="20"/>
          <w:color w:val="auto"/>
        </w:rPr>
      </w:pPr>
      <w:r>
        <w:rPr>
          <w:rFonts w:ascii="Arial" w:cs="Arial" w:eastAsia="Arial" w:hAnsi="Arial"/>
          <w:sz w:val="17"/>
          <w:szCs w:val="17"/>
          <w:color w:val="auto"/>
        </w:rPr>
        <w:t>In our pre</w:t>
      </w:r>
      <w:r>
        <w:rPr>
          <w:rFonts w:ascii="MS PGothic" w:cs="MS PGothic" w:eastAsia="MS PGothic" w:hAnsi="MS PGothic"/>
          <w:sz w:val="17"/>
          <w:szCs w:val="17"/>
          <w:color w:val="auto"/>
        </w:rPr>
        <w:t>‑</w:t>
      </w:r>
      <w:r>
        <w:rPr>
          <w:rFonts w:ascii="Arial" w:cs="Arial" w:eastAsia="Arial" w:hAnsi="Arial"/>
          <w:sz w:val="17"/>
          <w:szCs w:val="17"/>
          <w:color w:val="auto"/>
        </w:rPr>
        <w:t>clinical studies, RPL554 has been observed to stimulate the CFTR, as well as increase ciliary beat frequency, a key parameter determining the rate of mucus clearance, in primary airway cells and to improve electrolyte balance in the lung. Based on available data, we believe that RPL554 has the potential to inhibit deleterious inflammation, reduce airway obstruction through bronchodilation and enhance mucociliary clearance through stimulation of the CFTR on airway epithelial cells, thereby making it an attractive therapy for the treatment of CF.</w:t>
      </w:r>
    </w:p>
    <w:p>
      <w:pPr>
        <w:spacing w:after="0" w:line="19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clinical Studies</w:t>
      </w:r>
    </w:p>
    <w:p>
      <w:pPr>
        <w:spacing w:after="0" w:line="247" w:lineRule="exact"/>
        <w:rPr>
          <w:sz w:val="20"/>
          <w:szCs w:val="20"/>
          <w:color w:val="auto"/>
        </w:rPr>
      </w:pPr>
    </w:p>
    <w:p>
      <w:pPr>
        <w:jc w:val="both"/>
        <w:ind w:right="160"/>
        <w:spacing w:after="0" w:line="216" w:lineRule="exact"/>
        <w:rPr>
          <w:sz w:val="20"/>
          <w:szCs w:val="20"/>
          <w:color w:val="auto"/>
        </w:rPr>
      </w:pPr>
      <w:r>
        <w:rPr>
          <w:rFonts w:ascii="Arial" w:cs="Arial" w:eastAsia="Arial" w:hAnsi="Arial"/>
          <w:sz w:val="18"/>
          <w:szCs w:val="18"/>
          <w:color w:val="auto"/>
        </w:rPr>
        <w:t>In a series of pre</w:t>
      </w:r>
      <w:r>
        <w:rPr>
          <w:rFonts w:ascii="MS PGothic" w:cs="MS PGothic" w:eastAsia="MS PGothic" w:hAnsi="MS PGothic"/>
          <w:sz w:val="18"/>
          <w:szCs w:val="18"/>
          <w:color w:val="auto"/>
        </w:rPr>
        <w:t>‑</w:t>
      </w:r>
      <w:r>
        <w:rPr>
          <w:rFonts w:ascii="Arial" w:cs="Arial" w:eastAsia="Arial" w:hAnsi="Arial"/>
          <w:sz w:val="18"/>
          <w:szCs w:val="18"/>
          <w:color w:val="auto"/>
        </w:rPr>
        <w:t>clinical studies we conducted, RPL554 was observed to stimulate the CFTR. As shown in the figure below, administration of increasing concentrations of RPL554 resulted in improvement in CFTR function, as measured by ion currents in a human bronchial</w:t>
      </w:r>
      <w:r>
        <w:rPr>
          <w:rFonts w:ascii="MS PGothic" w:cs="MS PGothic" w:eastAsia="MS PGothic" w:hAnsi="MS PGothic"/>
          <w:sz w:val="18"/>
          <w:szCs w:val="18"/>
          <w:color w:val="auto"/>
        </w:rPr>
        <w:t>‑</w:t>
      </w:r>
      <w:r>
        <w:rPr>
          <w:rFonts w:ascii="Arial" w:cs="Arial" w:eastAsia="Arial" w:hAnsi="Arial"/>
          <w:sz w:val="18"/>
          <w:szCs w:val="18"/>
          <w:color w:val="auto"/>
        </w:rPr>
        <w:t>epithelial cell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82" w:right="25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637540</wp:posOffset>
            </wp:positionV>
            <wp:extent cx="5848985" cy="4433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in a pre-clinical study comparing RPL554 to Kalydeco, both compounds increased CFTR activity in cells from a CF patient with the mutation that is appropriate for treatment with Kalydeco. When RPL554 was administered before Kalydeco, it had an additive effect, which was smaller when the compounds were delivered in the reverse order. This stimulatory effect on the CFTR, as measured by ion currents, is shown in the figure below.</w:t>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1440" w:right="35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95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in a pre-clinical study RPL554 was observed to increase ciliary beat frequency in primary human airway cells at similar levels to the PDE4 inhibitor, roflumilast. We believe RPL554 may increase ciliary beat frequency and therefore promote mucociliary clearance in CF patients. This is illustrated in the figure below.</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440" w:right="29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328930</wp:posOffset>
            </wp:positionV>
            <wp:extent cx="5848985" cy="385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We believe this pre-clinical data, combined with the anti-inflammatory and bronchodilator effects of RPL554, suggest that RPL554 is appropriate for clinical trials for, and may prove effective in the treatment of, CF patients.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2017, we commenced a Phase 2a single-dose trial in the United Kingdom evaluating RPL554 in up to ten CF patients in the United Kingdom. This trial will evaluate the PK and PD profile and tolerability of RPL554 in patients with CF, as well as the tolerability of the compound. We expect to report top-line data from this trial in the first quarter of 2018. The results of this trial will support dose selection for a proof-of-concept Phase 2b trial in Europe in patients with CF. Currently we plan to commence this proof-of-concept trial in 2018.{add more details about the trial design and dosing}</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 Earlier entry into Phase 3 clinical trials with nebulized RPL554 for the maintenance treatment of COPD could require us to focus our resources and funding initially on the maintenance market as a priority in the short term over progressing our planned trials to evaluate nebulized RPL554 as a treatment for acute exacerbations of COPD hospitalized patients and as a treatment for CF patients.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trials for RPL554 for the treatment of CF.</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440" w:right="279" w:bottom="1440" w:gutter="0" w:footer="0" w:header="0"/>
        </w:sectPr>
      </w:pPr>
    </w:p>
    <w:bookmarkStart w:id="73" w:name="page74"/>
    <w:bookmarkEnd w:id="73"/>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Trial Description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Phase 2a PK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PD trial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evaluate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tolerability in CF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patients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examine effect 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lung function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inflammatory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biomarkers</w:t>
      </w:r>
    </w:p>
    <w:p>
      <w:pPr>
        <w:spacing w:after="0" w:line="20" w:lineRule="exact"/>
        <w:rPr>
          <w:sz w:val="20"/>
          <w:szCs w:val="20"/>
          <w:color w:val="auto"/>
        </w:rPr>
      </w:pPr>
      <w:r>
        <w:rPr>
          <w:sz w:val="20"/>
          <w:szCs w:val="20"/>
          <w:color w:val="auto"/>
        </w:rPr>
        <w:br w:type="column"/>
      </w:r>
    </w:p>
    <w:p>
      <w:pPr>
        <w:jc w:val="center"/>
        <w:ind w:left="-139"/>
        <w:spacing w:after="0"/>
        <w:rPr>
          <w:sz w:val="20"/>
          <w:szCs w:val="20"/>
          <w:color w:val="auto"/>
        </w:rPr>
      </w:pPr>
      <w:r>
        <w:rPr>
          <w:rFonts w:ascii="Arial" w:cs="Arial" w:eastAsia="Arial" w:hAnsi="Arial"/>
          <w:sz w:val="14"/>
          <w:szCs w:val="14"/>
          <w:b w:val="1"/>
          <w:bCs w:val="1"/>
          <w:color w:val="auto"/>
        </w:rPr>
        <w:t>Trial</w:t>
      </w:r>
    </w:p>
    <w:p>
      <w:pPr>
        <w:spacing w:after="0" w:line="19"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14605</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Double-blind, placebo-controlled, cross-over trial Dosing: Single dose</w:t>
      </w:r>
    </w:p>
    <w:p>
      <w:pPr>
        <w:spacing w:after="0" w:line="20" w:lineRule="exact"/>
        <w:rPr>
          <w:sz w:val="20"/>
          <w:szCs w:val="20"/>
          <w:color w:val="auto"/>
        </w:rPr>
      </w:pPr>
      <w:r>
        <w:rPr>
          <w:sz w:val="20"/>
          <w:szCs w:val="20"/>
          <w:color w:val="auto"/>
        </w:rPr>
        <w:br w:type="column"/>
      </w:r>
    </w:p>
    <w:p>
      <w:pPr>
        <w:jc w:val="center"/>
        <w:ind w:left="-59"/>
        <w:spacing w:after="0"/>
        <w:rPr>
          <w:sz w:val="20"/>
          <w:szCs w:val="20"/>
          <w:color w:val="auto"/>
        </w:rPr>
      </w:pPr>
      <w:r>
        <w:rPr>
          <w:rFonts w:ascii="Arial" w:cs="Arial" w:eastAsia="Arial" w:hAnsi="Arial"/>
          <w:sz w:val="14"/>
          <w:szCs w:val="14"/>
          <w:b w:val="1"/>
          <w:bCs w:val="1"/>
          <w:color w:val="auto"/>
        </w:rPr>
        <w:t>Patient</w:t>
      </w:r>
    </w:p>
    <w:p>
      <w:pPr>
        <w:spacing w:after="0" w:line="19"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943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9"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Up to 10 CF patients, age 18 years and older, with FEV</w:t>
      </w:r>
      <w:r>
        <w:rPr>
          <w:rFonts w:ascii="Arial" w:cs="Arial" w:eastAsia="Arial" w:hAnsi="Arial"/>
          <w:sz w:val="10"/>
          <w:szCs w:val="10"/>
          <w:color w:val="auto"/>
        </w:rPr>
        <w:t>1</w:t>
      </w:r>
      <w:r>
        <w:rPr>
          <w:rFonts w:ascii="Arial" w:cs="Arial" w:eastAsia="Arial" w:hAnsi="Arial"/>
          <w:sz w:val="14"/>
          <w:szCs w:val="14"/>
          <w:color w:val="auto"/>
        </w:rPr>
        <w:t xml:space="preserve"> &gt; 40% of expected levels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Primary</w:t>
            </w:r>
          </w:p>
        </w:tc>
        <w:tc>
          <w:tcPr>
            <w:tcW w:w="22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Arial" w:cs="Arial" w:eastAsia="Arial" w:hAnsi="Arial"/>
                <w:sz w:val="14"/>
                <w:szCs w:val="14"/>
                <w:b w:val="1"/>
                <w:bCs w:val="1"/>
                <w:color w:val="auto"/>
              </w:rPr>
              <w:t>Secondary</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Anticipated</w:t>
            </w:r>
          </w:p>
        </w:tc>
      </w:tr>
      <w:tr>
        <w:trPr>
          <w:trHeight w:val="196"/>
        </w:trPr>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Endpoints</w:t>
            </w: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Endpoints</w:t>
            </w:r>
          </w:p>
        </w:tc>
        <w:tc>
          <w:tcPr>
            <w:tcW w:w="440" w:type="dxa"/>
            <w:vAlign w:val="bottom"/>
          </w:tcPr>
          <w:p>
            <w:pPr>
              <w:spacing w:after="0"/>
              <w:rPr>
                <w:sz w:val="17"/>
                <w:szCs w:val="17"/>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Milestones</w:t>
            </w:r>
          </w:p>
        </w:tc>
      </w:tr>
      <w:tr>
        <w:trPr>
          <w:trHeight w:val="193"/>
        </w:trPr>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ind w:left="140"/>
              <w:spacing w:after="0"/>
              <w:rPr>
                <w:sz w:val="20"/>
                <w:szCs w:val="20"/>
                <w:color w:val="auto"/>
              </w:rPr>
            </w:pPr>
            <w:r>
              <w:rPr>
                <w:rFonts w:ascii="Arial" w:cs="Arial" w:eastAsia="Arial" w:hAnsi="Arial"/>
                <w:sz w:val="14"/>
                <w:szCs w:val="14"/>
                <w:color w:val="auto"/>
              </w:rPr>
              <w:t>PK profile</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 AUC</w:t>
            </w:r>
          </w:p>
        </w:tc>
        <w:tc>
          <w:tcPr>
            <w:tcW w:w="1480" w:type="dxa"/>
            <w:vAlign w:val="bottom"/>
          </w:tcPr>
          <w:p>
            <w:pPr>
              <w:ind w:left="40"/>
              <w:spacing w:after="0"/>
              <w:rPr>
                <w:sz w:val="20"/>
                <w:szCs w:val="20"/>
                <w:color w:val="auto"/>
              </w:rPr>
            </w:pPr>
            <w:r>
              <w:rPr>
                <w:rFonts w:ascii="Arial" w:cs="Arial" w:eastAsia="Arial" w:hAnsi="Arial"/>
                <w:sz w:val="14"/>
                <w:szCs w:val="14"/>
                <w:color w:val="auto"/>
              </w:rPr>
              <w:t>Commenced in March</w:t>
            </w:r>
          </w:p>
        </w:tc>
      </w:tr>
      <w:tr>
        <w:trPr>
          <w:trHeight w:val="162"/>
        </w:trPr>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ind w:left="140"/>
              <w:spacing w:after="0"/>
              <w:rPr>
                <w:sz w:val="20"/>
                <w:szCs w:val="20"/>
                <w:color w:val="auto"/>
              </w:rPr>
            </w:pPr>
            <w:r>
              <w:rPr>
                <w:rFonts w:ascii="Arial" w:cs="Arial" w:eastAsia="Arial" w:hAnsi="Arial"/>
                <w:sz w:val="14"/>
                <w:szCs w:val="14"/>
                <w:color w:val="auto"/>
              </w:rPr>
              <w:t>Safety</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2017, with top-line</w:t>
            </w:r>
          </w:p>
        </w:tc>
      </w:tr>
      <w:tr>
        <w:trPr>
          <w:trHeight w:val="162"/>
        </w:trPr>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data expected late in</w:t>
            </w:r>
          </w:p>
        </w:tc>
      </w:tr>
      <w:tr>
        <w:trPr>
          <w:trHeight w:val="162"/>
        </w:trPr>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the first quarter of</w:t>
            </w:r>
          </w:p>
        </w:tc>
      </w:tr>
      <w:tr>
        <w:trPr>
          <w:trHeight w:val="172"/>
        </w:trPr>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410845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4">
            <w:col w:w="1160" w:space="600"/>
            <w:col w:w="1280" w:space="660"/>
            <w:col w:w="1360" w:space="560"/>
            <w:col w:w="5800"/>
          </w:cols>
          <w:pgMar w:left="240" w:top="531" w:right="239" w:bottom="1440" w:gutter="0" w:footer="0" w:header="0"/>
        </w:sectPr>
      </w:pPr>
    </w:p>
    <w:p>
      <w:pPr>
        <w:ind w:left="40"/>
        <w:spacing w:after="0" w:line="244" w:lineRule="auto"/>
        <w:rPr>
          <w:sz w:val="20"/>
          <w:szCs w:val="20"/>
          <w:color w:val="auto"/>
        </w:rPr>
      </w:pPr>
      <w:r>
        <w:rPr>
          <w:rFonts w:ascii="Arial" w:cs="Arial" w:eastAsia="Arial" w:hAnsi="Arial"/>
          <w:sz w:val="14"/>
          <w:szCs w:val="14"/>
          <w:color w:val="auto"/>
        </w:rPr>
        <w:t>Phase 2b proof-of-concept trial to determine the efficacy and safety of RPL554 in CF patients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Double-blind,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placebo-controlled,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three way, parallel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group trial</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Dosing: Multiple dose (twice-daily)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CF patients, age 18</w:t>
            </w:r>
          </w:p>
        </w:tc>
        <w:tc>
          <w:tcPr>
            <w:tcW w:w="1840" w:type="dxa"/>
            <w:vAlign w:val="bottom"/>
          </w:tcPr>
          <w:p>
            <w:pPr>
              <w:ind w:left="3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62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760" w:type="dxa"/>
            <w:vAlign w:val="bottom"/>
          </w:tcPr>
          <w:p>
            <w:pPr>
              <w:ind w:left="580"/>
              <w:spacing w:after="0"/>
              <w:rPr>
                <w:sz w:val="20"/>
                <w:szCs w:val="20"/>
                <w:color w:val="auto"/>
              </w:rPr>
            </w:pPr>
            <w:r>
              <w:rPr>
                <w:rFonts w:ascii="Arial" w:cs="Arial" w:eastAsia="Arial" w:hAnsi="Arial"/>
                <w:sz w:val="14"/>
                <w:szCs w:val="14"/>
                <w:color w:val="auto"/>
              </w:rPr>
              <w:t>Planned</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and older, with</w:t>
            </w:r>
          </w:p>
        </w:tc>
        <w:tc>
          <w:tcPr>
            <w:tcW w:w="184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620" w:type="dxa"/>
            <w:vAlign w:val="bottom"/>
          </w:tcPr>
          <w:p>
            <w:pPr>
              <w:ind w:left="120"/>
              <w:spacing w:after="0"/>
              <w:rPr>
                <w:sz w:val="20"/>
                <w:szCs w:val="20"/>
                <w:color w:val="auto"/>
              </w:rPr>
            </w:pPr>
            <w:r>
              <w:rPr>
                <w:rFonts w:ascii="Arial" w:cs="Arial" w:eastAsia="Arial" w:hAnsi="Arial"/>
                <w:sz w:val="14"/>
                <w:szCs w:val="14"/>
                <w:color w:val="auto"/>
              </w:rPr>
              <w:t>Inflammation</w:t>
            </w:r>
          </w:p>
        </w:tc>
        <w:tc>
          <w:tcPr>
            <w:tcW w:w="1760" w:type="dxa"/>
            <w:vAlign w:val="bottom"/>
          </w:tcPr>
          <w:p>
            <w:pPr>
              <w:ind w:left="580"/>
              <w:spacing w:after="0"/>
              <w:rPr>
                <w:sz w:val="20"/>
                <w:szCs w:val="20"/>
                <w:color w:val="auto"/>
              </w:rPr>
            </w:pPr>
            <w:r>
              <w:rPr>
                <w:rFonts w:ascii="Arial" w:cs="Arial" w:eastAsia="Arial" w:hAnsi="Arial"/>
                <w:sz w:val="14"/>
                <w:szCs w:val="14"/>
                <w:color w:val="auto"/>
              </w:rPr>
              <w:t>commencement in</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of &gt; 40% of</w:t>
            </w:r>
          </w:p>
        </w:tc>
        <w:tc>
          <w:tcPr>
            <w:tcW w:w="1840" w:type="dxa"/>
            <w:vAlign w:val="bottom"/>
          </w:tcPr>
          <w:p>
            <w:pPr>
              <w:spacing w:after="0"/>
              <w:rPr>
                <w:sz w:val="14"/>
                <w:szCs w:val="14"/>
                <w:color w:val="auto"/>
              </w:rPr>
            </w:pPr>
          </w:p>
        </w:tc>
        <w:tc>
          <w:tcPr>
            <w:tcW w:w="2260" w:type="dxa"/>
            <w:vAlign w:val="bottom"/>
            <w:gridSpan w:val="2"/>
          </w:tcPr>
          <w:p>
            <w:pPr>
              <w:ind w:left="440"/>
              <w:spacing w:after="0"/>
              <w:rPr>
                <w:sz w:val="20"/>
                <w:szCs w:val="20"/>
                <w:color w:val="auto"/>
              </w:rPr>
            </w:pPr>
            <w:r>
              <w:rPr>
                <w:rFonts w:ascii="Arial" w:cs="Arial" w:eastAsia="Arial" w:hAnsi="Arial"/>
                <w:sz w:val="14"/>
                <w:szCs w:val="14"/>
                <w:color w:val="auto"/>
              </w:rPr>
              <w:t>biomarkers</w:t>
            </w:r>
          </w:p>
        </w:tc>
        <w:tc>
          <w:tcPr>
            <w:tcW w:w="1760" w:type="dxa"/>
            <w:vAlign w:val="bottom"/>
          </w:tcPr>
          <w:p>
            <w:pPr>
              <w:ind w:left="580"/>
              <w:spacing w:after="0"/>
              <w:rPr>
                <w:sz w:val="20"/>
                <w:szCs w:val="20"/>
                <w:color w:val="auto"/>
              </w:rPr>
            </w:pPr>
            <w:r>
              <w:rPr>
                <w:rFonts w:ascii="Arial" w:cs="Arial" w:eastAsia="Arial" w:hAnsi="Arial"/>
                <w:sz w:val="14"/>
                <w:szCs w:val="14"/>
                <w:color w:val="auto"/>
              </w:rPr>
              <w:t>2018</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expected levels</w:t>
            </w:r>
          </w:p>
        </w:tc>
        <w:tc>
          <w:tcPr>
            <w:tcW w:w="184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620" w:type="dxa"/>
            <w:vAlign w:val="bottom"/>
          </w:tcPr>
          <w:p>
            <w:pPr>
              <w:ind w:left="120"/>
              <w:spacing w:after="0"/>
              <w:rPr>
                <w:sz w:val="20"/>
                <w:szCs w:val="20"/>
                <w:color w:val="auto"/>
              </w:rPr>
            </w:pPr>
            <w:r>
              <w:rPr>
                <w:rFonts w:ascii="Arial" w:cs="Arial" w:eastAsia="Arial" w:hAnsi="Arial"/>
                <w:sz w:val="14"/>
                <w:szCs w:val="14"/>
                <w:color w:val="auto"/>
              </w:rPr>
              <w:t>Exacerbations</w:t>
            </w:r>
          </w:p>
        </w:tc>
        <w:tc>
          <w:tcPr>
            <w:tcW w:w="1760" w:type="dxa"/>
            <w:vAlign w:val="bottom"/>
          </w:tcPr>
          <w:p>
            <w:pPr>
              <w:spacing w:after="0"/>
              <w:rPr>
                <w:sz w:val="14"/>
                <w:szCs w:val="14"/>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All CFTR mutations</w:t>
            </w:r>
          </w:p>
        </w:tc>
        <w:tc>
          <w:tcPr>
            <w:tcW w:w="184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620" w:type="dxa"/>
            <w:vAlign w:val="bottom"/>
          </w:tcPr>
          <w:p>
            <w:pPr>
              <w:ind w:left="120"/>
              <w:spacing w:after="0"/>
              <w:rPr>
                <w:sz w:val="20"/>
                <w:szCs w:val="20"/>
                <w:color w:val="auto"/>
              </w:rPr>
            </w:pPr>
            <w:r>
              <w:rPr>
                <w:rFonts w:ascii="Arial" w:cs="Arial" w:eastAsia="Arial" w:hAnsi="Arial"/>
                <w:sz w:val="14"/>
                <w:szCs w:val="14"/>
                <w:color w:val="auto"/>
              </w:rPr>
              <w:t>Safety</w:t>
            </w:r>
          </w:p>
        </w:tc>
        <w:tc>
          <w:tcPr>
            <w:tcW w:w="1760" w:type="dxa"/>
            <w:vAlign w:val="bottom"/>
          </w:tcPr>
          <w:p>
            <w:pPr>
              <w:spacing w:after="0"/>
              <w:rPr>
                <w:sz w:val="14"/>
                <w:szCs w:val="14"/>
                <w:color w:val="auto"/>
              </w:rPr>
            </w:pPr>
          </w:p>
        </w:tc>
      </w:tr>
    </w:tbl>
    <w:p>
      <w:pPr>
        <w:spacing w:after="0" w:line="326" w:lineRule="exact"/>
        <w:rPr>
          <w:sz w:val="20"/>
          <w:szCs w:val="20"/>
          <w:color w:val="auto"/>
        </w:rPr>
      </w:pPr>
    </w:p>
    <w:p>
      <w:pPr>
        <w:sectPr>
          <w:pgSz w:w="11900" w:h="16838" w:orient="portrait"/>
          <w:cols w:equalWidth="0" w:num="3">
            <w:col w:w="1220" w:space="540"/>
            <w:col w:w="1360" w:space="580"/>
            <w:col w:w="7720"/>
          </w:cols>
          <w:pgMar w:left="240" w:top="5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Vernalis Agreement</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We cannot further assign the Vernalis Patents to a third party without Vernalis' prior consent. Vernalis also granted to us an exclusive, worldwide, royalty-bearing license under certain Vernalis know-how to develop, manufacture and commercialize products, or the Licensed Products, based on PDE inhibitors developed using Vernalis Patents, Vernalis know-how and the physical stock of certain compounds, including RPL554, which we refer to as the Program IP, in the treatment of human or animal allergic or inflammatory disorders. Pursuant to the Vernalis Agreement, we must maintain the Vernalis Patents and use commercially reasonable and diligent efforts to develop and commercialize the Licensed Products.</w:t>
      </w:r>
    </w:p>
    <w:p>
      <w:pPr>
        <w:spacing w:after="0" w:line="26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Vernalis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46" w:lineRule="exact"/>
        <w:rPr>
          <w:sz w:val="20"/>
          <w:szCs w:val="20"/>
          <w:color w:val="auto"/>
        </w:rPr>
      </w:pPr>
    </w:p>
    <w:p>
      <w:pPr>
        <w:ind w:right="620"/>
        <w:spacing w:after="0" w:line="265" w:lineRule="auto"/>
        <w:rPr>
          <w:sz w:val="20"/>
          <w:szCs w:val="20"/>
          <w:color w:val="auto"/>
        </w:rPr>
      </w:pPr>
      <w:r>
        <w:rPr>
          <w:rFonts w:ascii="Arial" w:cs="Arial" w:eastAsia="Arial" w:hAnsi="Arial"/>
          <w:sz w:val="17"/>
          <w:szCs w:val="17"/>
          <w:color w:val="auto"/>
        </w:rPr>
        <w:t>The Vernalis Agreement continues until terminated by either party in accordance with its terms. Either party may terminate the Vernalis Agreement for an uncured material breach, bankruptcy or insolvency of the other party. We may terminate the Vernalis Agreement upon</w:t>
      </w:r>
    </w:p>
    <w:p>
      <w:pPr>
        <w:ind w:right="100"/>
        <w:spacing w:after="0" w:line="256" w:lineRule="auto"/>
        <w:rPr>
          <w:sz w:val="20"/>
          <w:szCs w:val="20"/>
          <w:color w:val="auto"/>
        </w:rPr>
      </w:pPr>
      <w:r>
        <w:rPr>
          <w:rFonts w:ascii="Arial" w:cs="Arial" w:eastAsia="Arial" w:hAnsi="Arial"/>
          <w:sz w:val="18"/>
          <w:szCs w:val="18"/>
          <w:color w:val="auto"/>
        </w:rPr>
        <w:t>90 days' prior written notice. Vernalis may terminate the Vernalis Agreement if we notify Vernalis of our intention to abandon any Vernalis Patents or allow any Vernalis Patents to lapse. Upon termination of the Vernalis Agreement, we must cease use of any Program IP and assign the Vernalis Patents and any improvements thereto back to Vernalis.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little experience in product candidate formulation or manufacturing, and no in-house manufacturing capability. We rely on, and expect to continue to rely, on third-party contract manufacturing organizations, or CMOs, for the supply of current good manufacturing practices , or cGMP, clinical trial materials of RPL554 and any future product candidates, as well as for commercial quantities of RPL554 and any future product candidates, if approved. We currently do not have any agreements for the commercial production of raw materials. While we may contract with other CMOs in the future, we currently contract with only one pharmaceuticals CMO for the manufacture of RPL554 drug substance. For RPL554 drug product in our nebulized formulation, we currently have one CMO. Similarly, we currently have one CMO for our DPI development and manufacturing program and one CMO for our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31" w:right="239" w:bottom="1440" w:gutter="0" w:footer="0" w:header="0"/>
          <w:type w:val="continuous"/>
        </w:sectPr>
      </w:pPr>
    </w:p>
    <w:bookmarkStart w:id="74" w:name="page75"/>
    <w:bookmarkEnd w:id="74"/>
    <w:p>
      <w:pPr>
        <w:ind w:right="60"/>
        <w:spacing w:after="0" w:line="262" w:lineRule="auto"/>
        <w:rPr>
          <w:sz w:val="20"/>
          <w:szCs w:val="20"/>
          <w:color w:val="auto"/>
        </w:rPr>
      </w:pPr>
      <w:r>
        <w:rPr>
          <w:rFonts w:ascii="Arial" w:cs="Arial" w:eastAsia="Arial" w:hAnsi="Arial"/>
          <w:sz w:val="18"/>
          <w:szCs w:val="18"/>
          <w:color w:val="auto"/>
        </w:rPr>
        <w:t>pMDI development and manufacturing program.We believe that the RPL554 manufacturing processes can be transferred to a number of other CMOs for the production of clinical and commercial supplies of RPL554 in the ordinary course of business.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governing record-keeping, manufacturing processes and controls, personnel, quality control and quality assurance, among others. We expect that all of our CMOs will manufacture RPL554 under cGMP conditions. cGMP is a regulatory standard for the production of pharmaceuticals to be used in humans.</w:t>
      </w: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RPL554 for nebulized administration is currently presented in a glass vial with a flip, tear-up cap. This format is adequate for clinical trials but patient acceptance in a commercial setting is expected to be improved by a switch to presenting the suspension formulation of RPL554 in plastic ampules. We will investigate the feasibility to manufacture and supply RPL554 nebulized suspension formulation in plastic ampules. In addition to patient acceptance, switching to plastic ampules may also be more cost-effective for manufacturing in larger volumes. A decision on presentation form will be made before the start of Phase 3 clinical trials; during this evaluation process we will also review and optimize the nebulized suspension formulation as part of a quality by design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30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have not yet defined our sales, marketing or commercialization strategy for RPL554. Our commercial strategy may include the use of strategic collaborators, distributors, a contract sales force, or the establishment of our own commercial and specialty sales force. We plan to further evaluate these alternatives as we continue the clinical development of RPL554.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consider RPL554's current closest potential competitors in the nebulized maintenance treatment of COPD in the U.S. market to be Brovana, a long-acting beta2-agonist bronchodilator marketed by Sunovion, and Perforomist, a long-acting beta2-agonist bronchodilator marketed by Mylan. Neither drug, however, provides an anti-inflammatory effect. We consider RPL554's current closest potential competitors in the DPI/MDI maintenance treatment of COPD to be Symbicort, a combination of a long-acting beta2-agonist bronchodilator and inhaled corticosteroid marketed by AstraZeneca, Spiriva, a long-acting anti-muscarinic bronchodilator marketed by Boehringer Ingelheim, Advair, a combination of a long-acting beta2-agonist bronchodilator and inhaled corticosteroid marketed by GlaxoSmithKline, Utibron Neohaler, a combination of a long-acting beta2-agonist and long-acting anti-muscarinic bronchodilator marketed by Novartis, Breo, a combination of a long-acting beta2-agonist bronchodilator and inhaled corticosteroid marketed by GlaxoSmithKline, and Anoro, a combination of a long-acting beta2-agonist bronchodilator and long-acting anti-muscarinic bronchodilator marketed by GlaxoSmithKline. Additional new therapies in development or recently approved include triple combinations of existing therapies such as a long-acting anti-muscarinic bronchodilator, a long-acting beta2-agonist bronchodilator and an inhaled corticosteroid; such triple combinations have been developed by GlaxoSmithKline and Chiesi and are approved in US and EU. AstraZeneca has a triple combination product in development.</w:t>
      </w:r>
    </w:p>
    <w:p>
      <w:pPr>
        <w:spacing w:after="0" w:line="2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RPL554, that we successfully develop and commercialize will compete with existing therapies and new therapies that may become available in the future.</w:t>
      </w:r>
    </w:p>
    <w:p>
      <w:pPr>
        <w:spacing w:after="0" w:line="2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26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key competitive factors affecting the success of RPL554,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2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517" w:right="279" w:bottom="1440" w:gutter="0" w:footer="0" w:header="0"/>
        </w:sectPr>
      </w:pPr>
    </w:p>
    <w:bookmarkStart w:id="75" w:name="page76"/>
    <w:bookmarkEnd w:id="75"/>
    <w:p>
      <w:pPr>
        <w:ind w:right="40"/>
        <w:spacing w:after="0" w:line="254" w:lineRule="auto"/>
        <w:rPr>
          <w:sz w:val="20"/>
          <w:szCs w:val="20"/>
          <w:color w:val="auto"/>
        </w:rPr>
      </w:pPr>
      <w:r>
        <w:rPr>
          <w:rFonts w:ascii="Arial" w:cs="Arial" w:eastAsia="Arial" w:hAnsi="Arial"/>
          <w:sz w:val="18"/>
          <w:szCs w:val="18"/>
          <w:color w:val="auto"/>
        </w:rPr>
        <w:t>side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RPL554 achieves marketing approval, it may be priced at a significant premium over competitive products if any have been approved by then or be priced at a level that makes it difficult for us to supply product in a cost-efficient and profitable way.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February 6, 2018, our patent portfolio consisted of seven issued U.S. patents, four pending U.S. patent applications, 20 issued foreign patents and 52 pending foreign applications including one patent application made under the PCT. These patents and patent applications include claims directed to RPL554 composition of matter, new dosage formulations and a crystalline polymorph, as well as methods of making and using RPL554 in the treatment of respiratory diseases, with expected expiry dates between 2020 and 2037.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relating to RPL554 includes eight patent families:</w:t>
      </w:r>
    </w:p>
    <w:p>
      <w:pPr>
        <w:spacing w:after="0" w:line="279" w:lineRule="exact"/>
        <w:rPr>
          <w:sz w:val="20"/>
          <w:szCs w:val="20"/>
          <w:color w:val="auto"/>
        </w:rPr>
      </w:pPr>
    </w:p>
    <w:p>
      <w:pPr>
        <w:ind w:left="660" w:right="2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first of these patent families relates to RPL554 per se. As of February 6, 2018, this patent family includes granted patents in Australia, Brazil, Canada, China, Europe, Japan, Mexico as well as four granted patents in the United States. We expect patents in this family to expire in March 2020.</w:t>
      </w:r>
    </w:p>
    <w:p>
      <w:pPr>
        <w:spacing w:after="0" w:line="120" w:lineRule="exact"/>
        <w:rPr>
          <w:rFonts w:ascii="Arial" w:cs="Arial" w:eastAsia="Arial" w:hAnsi="Arial"/>
          <w:sz w:val="18"/>
          <w:szCs w:val="18"/>
          <w:color w:val="auto"/>
        </w:rPr>
      </w:pPr>
    </w:p>
    <w:p>
      <w:pPr>
        <w:ind w:left="660" w:right="16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second of these patent families relates to a crystalline polymorph of RPL554. As of February 6, 2018, this patent family included granted patents in Australia, Canada, China, Europe, Indonesia, Japan, Malaysia, Mexico, Philippines, Russia, the United States and Taiwan and patent applications in Israel, Japan, South Korea, Thailand and the Gulf Cooperation Council. We expect patents in this family to expire in August 2031.</w:t>
      </w:r>
    </w:p>
    <w:p>
      <w:pPr>
        <w:spacing w:after="0" w:line="12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third of these patent families relates to the combination of RPL554 with a beta-adrenergic receptor agonist. As of February 6, 2018, this patent family included granted patents Europe and the United States and a patent application in Canada. We expect patents in this family to expire in March 2034.</w:t>
      </w:r>
    </w:p>
    <w:p>
      <w:pPr>
        <w:spacing w:after="0" w:line="12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fourth of these patent families relates to the combination of RPL554 with a muscarinic receptor antagonist. As of February 6, 2018, this patent family included granted patents in Europe and the United States and patent applications in Australia, Canada, China, Israel, India, Japan, South Korea, Mexico, Russia, Thailand and the United States (continuation application). We expect patents in this family to expire in March 2034.</w:t>
      </w:r>
    </w:p>
    <w:p>
      <w:pPr>
        <w:spacing w:after="0" w:line="123"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fifth of these patent families relates to certain specific salts of RPL554. As of February 6, 2018, this patent family included patent applications in Australia, Canada, China, Europe, Israel, Japan, Mexico, New Zealand, the United States and South Africa. We expect patents in this family to expire in February 2036.</w:t>
      </w:r>
    </w:p>
    <w:p>
      <w:pPr>
        <w:spacing w:after="0" w:line="120"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sixth of these patent families relates to use of RPL554 to treat certain diseases associated with the function of CFTR (including CF). As of February 6, 2018, this patent family included patent applications in Australia, Canada, Europe (parent and divisional applications), Israel, Mexico, Russia, the United States and South Africa. We expect patents in this family to expire in May 2035.</w:t>
      </w:r>
    </w:p>
    <w:p>
      <w:pPr>
        <w:spacing w:after="0" w:line="120"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seventh of these patent families relates to an inhalable formulation of RPL554. As of February 6, 2018, this patent family included patent applications in Australia, Brazil, Canada, China, Europe (parent and divisional applications), Indonesia, Israel, India, Japan, South Korea, Mexico, Malaysia, New Zealand, the Philippines, Singapore, South Africa, Thailand, and the United States. A notice of allowance issued on the United States application on January 11, 2018. A Communication under Rule 71(3) EPC (notice of allowance) issued on the European parent application on November 15, 2017. . We expect patents in this family to expire in September 2035.</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82" w:right="259" w:bottom="1440" w:gutter="0" w:footer="0" w:header="0"/>
        </w:sectPr>
      </w:pPr>
    </w:p>
    <w:bookmarkStart w:id="76" w:name="page77"/>
    <w:bookmarkEnd w:id="76"/>
    <w:p>
      <w:pPr>
        <w:ind w:left="660" w:right="44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eighth of these patent families relates to a new compound related to RPL554 and to processes useful for the production of RPL554 and related compounds. As of February 6, 2018, this patent family included a PCT application and a patent application in Taiwan. We expect patents in this family to expire in July 2037.</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 — Risks Related to Intellectual Property and Information Technology."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30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w:t>
      </w:r>
    </w:p>
    <w:p>
      <w:pPr>
        <w:spacing w:after="0" w:line="27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17" w:right="259" w:bottom="1440" w:gutter="0" w:footer="0" w:header="0"/>
        </w:sectPr>
      </w:pPr>
    </w:p>
    <w:bookmarkStart w:id="77" w:name="page78"/>
    <w:bookmarkEnd w:id="77"/>
    <w:p>
      <w:pPr>
        <w:ind w:left="660" w:right="6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1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44"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3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79" w:lineRule="exact"/>
        <w:rPr>
          <w:sz w:val="20"/>
          <w:szCs w:val="20"/>
          <w:color w:val="auto"/>
        </w:rPr>
      </w:pPr>
    </w:p>
    <w:p>
      <w:pPr>
        <w:ind w:left="660" w:right="80" w:hanging="328"/>
        <w:spacing w:after="0" w:line="29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93" w:lineRule="exact"/>
        <w:rPr>
          <w:rFonts w:ascii="Arial" w:cs="Arial" w:eastAsia="Arial" w:hAnsi="Arial"/>
          <w:sz w:val="17"/>
          <w:szCs w:val="17"/>
          <w:color w:val="auto"/>
        </w:rPr>
      </w:pPr>
    </w:p>
    <w:p>
      <w:pPr>
        <w:ind w:left="660" w:right="280" w:hanging="328"/>
        <w:spacing w:after="0" w:line="29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93"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17" w:right="239" w:bottom="1440" w:gutter="0" w:footer="0" w:header="0"/>
        </w:sectPr>
      </w:pPr>
    </w:p>
    <w:bookmarkStart w:id="78" w:name="page79"/>
    <w:bookmarkEnd w:id="78"/>
    <w:p>
      <w:pPr>
        <w:jc w:val="both"/>
        <w:ind w:right="340"/>
        <w:spacing w:after="0" w:line="256" w:lineRule="auto"/>
        <w:rPr>
          <w:sz w:val="20"/>
          <w:szCs w:val="20"/>
          <w:color w:val="auto"/>
        </w:rPr>
      </w:pPr>
      <w:r>
        <w:rPr>
          <w:rFonts w:ascii="Arial" w:cs="Arial" w:eastAsia="Arial" w:hAnsi="Arial"/>
          <w:sz w:val="18"/>
          <w:szCs w:val="18"/>
          <w:color w:val="auto"/>
        </w:rPr>
        <w:t>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special protocol assessment, or SPA, process is designed to facilitate the FDA's review and approval of drugs by allowing the FDA to evaluate issues related to the adequacy of certain clinical trials, including Phase 3 clinical trials that are intended to form the primary basis for a drug product's efficacy claim in an NDA.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26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2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250"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 health concerns emerge that were unrecognized at the time of the protocol assessment:</w:t>
      </w:r>
    </w:p>
    <w:p>
      <w:pPr>
        <w:spacing w:after="0" w:line="144"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of the review division determines that a substantial scientific issue essential to determining safety or efficacy has been identified after testing has begun;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sponsor fails to follow a protocol that was agreed upon with the FDA; or</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2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6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ectPr>
          <w:pgSz w:w="11900" w:h="16838" w:orient="portrait"/>
          <w:cols w:equalWidth="0" w:num="1">
            <w:col w:w="11420"/>
          </w:cols>
          <w:pgMar w:left="240" w:top="517" w:right="2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517" w:right="239" w:bottom="1440" w:gutter="0" w:footer="0" w:header="0"/>
          <w:type w:val="continuous"/>
        </w:sectPr>
      </w:pPr>
    </w:p>
    <w:bookmarkStart w:id="79" w:name="page80"/>
    <w:bookmarkEnd w:id="79"/>
    <w:p>
      <w:pPr>
        <w:jc w:val="both"/>
        <w:ind w:right="360"/>
        <w:spacing w:after="0" w:line="256" w:lineRule="auto"/>
        <w:rPr>
          <w:sz w:val="20"/>
          <w:szCs w:val="20"/>
          <w:color w:val="auto"/>
        </w:rPr>
      </w:pPr>
      <w:r>
        <w:rPr>
          <w:rFonts w:ascii="Arial" w:cs="Arial" w:eastAsia="Arial" w:hAnsi="Arial"/>
          <w:sz w:val="18"/>
          <w:szCs w:val="18"/>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26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17" w:right="239" w:bottom="1440" w:gutter="0" w:footer="0" w:header="0"/>
        </w:sectPr>
      </w:pPr>
    </w:p>
    <w:bookmarkStart w:id="80" w:name="page81"/>
    <w:bookmarkEnd w:id="80"/>
    <w:p>
      <w:pPr>
        <w:jc w:val="both"/>
        <w:ind w:right="40"/>
        <w:spacing w:after="0" w:line="254" w:lineRule="auto"/>
        <w:rPr>
          <w:sz w:val="20"/>
          <w:szCs w:val="20"/>
          <w:color w:val="auto"/>
        </w:rPr>
      </w:pPr>
      <w:r>
        <w:rPr>
          <w:rFonts w:ascii="Arial" w:cs="Arial" w:eastAsia="Arial" w:hAnsi="Arial"/>
          <w:sz w:val="18"/>
          <w:szCs w:val="18"/>
          <w:color w:val="auto"/>
        </w:rPr>
        <w:t>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5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56"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In order to market our future products in the EEA (which is comprised of the 28 Member States of the EU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39" w:lineRule="exact"/>
        <w:rPr>
          <w:sz w:val="20"/>
          <w:szCs w:val="20"/>
          <w:color w:val="auto"/>
        </w:rPr>
      </w:pPr>
    </w:p>
    <w:p>
      <w:pPr>
        <w:ind w:left="660" w:right="40" w:hanging="328"/>
        <w:spacing w:after="0" w:line="252"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26" w:lineRule="exact"/>
        <w:rPr>
          <w:rFonts w:ascii="Arial" w:cs="Arial" w:eastAsia="Arial" w:hAnsi="Arial"/>
          <w:sz w:val="14"/>
          <w:szCs w:val="14"/>
          <w:color w:val="auto"/>
        </w:rPr>
      </w:pPr>
    </w:p>
    <w:p>
      <w:pPr>
        <w:ind w:left="660" w:right="60" w:hanging="328"/>
        <w:spacing w:after="0" w:line="25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517" w:right="259" w:bottom="1440" w:gutter="0" w:footer="0" w:header="0"/>
        </w:sectPr>
      </w:pPr>
    </w:p>
    <w:bookmarkStart w:id="81" w:name="page82"/>
    <w:bookmarkEnd w:id="81"/>
    <w:p>
      <w:pPr>
        <w:ind w:right="160"/>
        <w:spacing w:after="0" w:line="262" w:lineRule="auto"/>
        <w:rPr>
          <w:sz w:val="20"/>
          <w:szCs w:val="20"/>
          <w:color w:val="auto"/>
        </w:rPr>
      </w:pPr>
      <w:r>
        <w:rPr>
          <w:rFonts w:ascii="Arial" w:cs="Arial" w:eastAsia="Arial" w:hAnsi="Arial"/>
          <w:sz w:val="18"/>
          <w:szCs w:val="18"/>
          <w:color w:val="auto"/>
        </w:rPr>
        <w:t>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26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517" w:right="279" w:bottom="1440" w:gutter="0" w:footer="0" w:header="0"/>
        </w:sectPr>
      </w:pPr>
    </w:p>
    <w:bookmarkStart w:id="82" w:name="page83"/>
    <w:bookmarkEnd w:id="82"/>
    <w:p>
      <w:pPr>
        <w:ind w:right="120"/>
        <w:spacing w:after="0" w:line="252" w:lineRule="auto"/>
        <w:rPr>
          <w:sz w:val="20"/>
          <w:szCs w:val="20"/>
          <w:color w:val="auto"/>
        </w:rPr>
      </w:pPr>
      <w:r>
        <w:rPr>
          <w:rFonts w:ascii="Arial" w:cs="Arial" w:eastAsia="Arial" w:hAnsi="Arial"/>
          <w:sz w:val="18"/>
          <w:szCs w:val="18"/>
          <w:color w:val="auto"/>
        </w:rPr>
        <w:t>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2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3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17" w:right="239" w:bottom="1440" w:gutter="0" w:footer="0" w:header="0"/>
        </w:sectPr>
      </w:pPr>
    </w:p>
    <w:bookmarkStart w:id="83" w:name="page84"/>
    <w:bookmarkEnd w:id="83"/>
    <w:p>
      <w:pPr>
        <w:ind w:right="180"/>
        <w:spacing w:after="0" w:line="254" w:lineRule="auto"/>
        <w:rPr>
          <w:sz w:val="20"/>
          <w:szCs w:val="20"/>
          <w:color w:val="auto"/>
        </w:rPr>
      </w:pPr>
      <w:r>
        <w:rPr>
          <w:rFonts w:ascii="Arial" w:cs="Arial" w:eastAsia="Arial" w:hAnsi="Arial"/>
          <w:sz w:val="18"/>
          <w:szCs w:val="18"/>
          <w:color w:val="auto"/>
        </w:rPr>
        <w:t>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17" w:right="259" w:bottom="1440" w:gutter="0" w:footer="0" w:header="0"/>
        </w:sectPr>
      </w:pPr>
    </w:p>
    <w:bookmarkStart w:id="84" w:name="page85"/>
    <w:bookmarkEnd w:id="84"/>
    <w:p>
      <w:pPr>
        <w:ind w:right="620"/>
        <w:spacing w:after="0" w:line="262" w:lineRule="auto"/>
        <w:rPr>
          <w:sz w:val="20"/>
          <w:szCs w:val="20"/>
          <w:color w:val="auto"/>
        </w:rPr>
      </w:pPr>
      <w:r>
        <w:rPr>
          <w:rFonts w:ascii="Arial" w:cs="Arial" w:eastAsia="Arial" w:hAnsi="Arial"/>
          <w:sz w:val="18"/>
          <w:szCs w:val="18"/>
          <w:color w:val="auto"/>
        </w:rPr>
        <w:t>ACA in the future. In addition, Congress could consider subsequent legislation to replace those elements of the ACA if so repealed. The ultimate content, timing or effect of any healthcare reform legislation on the U.S. healthcare industry is unclear.</w:t>
      </w:r>
    </w:p>
    <w:p>
      <w:pPr>
        <w:spacing w:after="0" w:line="2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26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was enacted, which, among other things, included aggregate reductions of Medicare payments to providers of 2% per fiscal year, which went into effect on April 1, 2013 and, due to subsequent legislative amendments to the statute, will stay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2017, we had 15 employees. None of our employees is subject to a collective bargaining agreement or represented by a trade or labor union.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office is located at 3 More London Riverside, London EC2N 1DW, United Kingdom, where we lease office space under leases that terminate in 2018 and early 2019. We also lease office space in White Plains, New York, under leases that terminate in 2018. We intend to add new facilities as we add employees, and we believe that suitable additional or substitute space will be available as needed to accommodate any such expansion of our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1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 Organizational Structure.</w:t>
      </w:r>
    </w:p>
    <w:p>
      <w:pPr>
        <w:spacing w:after="0" w:line="13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We have two wholly-owned subsidiaries, Verona Pharma Inc., which is incorporated in the United States in the State of Delaware, and Rhinopharma Ltd., which is incorporated in Canada.</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principal office is located at 3 More London Riverside, London SE1 2RE, United Kingdom, where we lease office space. We also lease office space in White Plains, New York. The office space in these two locations is held under four leases that terminate between August 2018 and January 2020. We intend to add new facilities as we add employees, and we believe that suitable additional or substitute space will be available as needed to accommodate any such expansion of our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For information on environmental issues that may affect our utilization of our facilities, please see the section of this Annual Report titled “Item 3.D. Risk Factors - Risks Related to Healthcare Laws and Other Legal Compliance Matters - </w:t>
      </w:r>
      <w:r>
        <w:rPr>
          <w:rFonts w:ascii="Arial" w:cs="Arial" w:eastAsia="Arial" w:hAnsi="Arial"/>
          <w:sz w:val="18"/>
          <w:szCs w:val="18"/>
          <w:i w:val="1"/>
          <w:iCs w:val="1"/>
          <w:color w:val="auto"/>
        </w:rPr>
        <w:t>We are subject to environmental, health and</w:t>
      </w:r>
      <w:r>
        <w:rPr>
          <w:rFonts w:ascii="Arial" w:cs="Arial" w:eastAsia="Arial" w:hAnsi="Arial"/>
          <w:sz w:val="18"/>
          <w:szCs w:val="18"/>
          <w:color w:val="auto"/>
        </w:rPr>
        <w:t xml:space="preserve"> </w:t>
      </w:r>
      <w:r>
        <w:rPr>
          <w:rFonts w:ascii="Arial" w:cs="Arial" w:eastAsia="Arial" w:hAnsi="Arial"/>
          <w:sz w:val="18"/>
          <w:szCs w:val="18"/>
          <w:i w:val="1"/>
          <w:iCs w:val="1"/>
          <w:color w:val="auto"/>
        </w:rPr>
        <w:t>safety laws and regulations, and we may become exposed to liability and substantial expenses in connection with environmental compliance or remediation activities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0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w:t>
      </w:r>
      <w:r>
        <w:rPr>
          <w:sz w:val="1"/>
          <w:szCs w:val="1"/>
          <w:color w:val="auto"/>
        </w:rPr>
        <w:drawing>
          <wp:inline distT="0" distB="0" distL="0" distR="0">
            <wp:extent cx="2603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8"/>
          <w:szCs w:val="18"/>
          <w:color w:val="auto"/>
        </w:rPr>
        <w:t>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completed patient enrollment in twelve Phase 1 and 2 clinical trials for RPL554 with over 700 subjects enrolled; ten of these studies have been reported, one study is expected to report late in the first quarter of 2018 and one study is expected to report early in the second quarter of 2018. In our clinical trials, treatment with RPL554 has been observed to result in statistically significant improvements in lung function as compared to placebo. Statistically significant means that there is a low statistical probability, typically less than 5%, that the observed results occurred by chance alone. Our clinical trials also have shown clinically meaningful and statistically significant improvements in lung function when RPL554 is added to commonly used short- and long-acting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roflumilast, the only PDE4 inhibitor currently on the market for the treatment of COPD. We are developing RPL554 for the treatment of patients with chronic obstructive pulmonary disease, or COPD, and for the treatment of patients with cystic fibrosis, or CF.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684" w:right="259" w:bottom="1440" w:gutter="0" w:footer="0" w:header="0"/>
        </w:sectPr>
      </w:pPr>
    </w:p>
    <w:bookmarkStart w:id="86" w:name="page87"/>
    <w:bookmarkEnd w:id="86"/>
    <w:p>
      <w:pPr>
        <w:ind w:right="20"/>
        <w:spacing w:after="0" w:line="254" w:lineRule="auto"/>
        <w:rPr>
          <w:sz w:val="20"/>
          <w:szCs w:val="20"/>
          <w:color w:val="auto"/>
        </w:rPr>
      </w:pPr>
      <w:r>
        <w:rPr>
          <w:rFonts w:ascii="Arial" w:cs="Arial" w:eastAsia="Arial" w:hAnsi="Arial"/>
          <w:sz w:val="18"/>
          <w:szCs w:val="18"/>
          <w:color w:val="auto"/>
        </w:rPr>
        <w:t>To evaluate RPL554 in a nebulized formulation for the maintenance treatment of COPD, in July 2017 we commenced a four week Phase 2b dose-ranging clinical trial in Europe, which is evaluating RPL554 as a single agent as compared to placebo in approximately 400 patients with moderate to severe COPD. We have now completed dosing in this study and we expect to report top-line data from this trial early in the second quarter of 2018, earlier than previously guidance of mid-2018 and original guidance of second half of 2018.</w:t>
      </w:r>
    </w:p>
    <w:p>
      <w:pPr>
        <w:spacing w:after="0" w:line="258" w:lineRule="exact"/>
        <w:rPr>
          <w:sz w:val="20"/>
          <w:szCs w:val="20"/>
          <w:color w:val="auto"/>
        </w:rPr>
      </w:pPr>
    </w:p>
    <w:p>
      <w:pPr>
        <w:ind w:right="420"/>
        <w:spacing w:after="0" w:line="216" w:lineRule="exact"/>
        <w:rPr>
          <w:sz w:val="20"/>
          <w:szCs w:val="20"/>
          <w:color w:val="auto"/>
        </w:rPr>
      </w:pPr>
      <w:r>
        <w:rPr>
          <w:rFonts w:ascii="Arial" w:cs="Arial" w:eastAsia="Arial" w:hAnsi="Arial"/>
          <w:sz w:val="18"/>
          <w:szCs w:val="18"/>
          <w:color w:val="auto"/>
        </w:rPr>
        <w:t>In September 2017, we reported our Phase 2a clinical trial of nebulized RPL554 for the maintenance treatment of COPD in the United Kingdom. This trial evaluated RPL554 compared to placebo as an add</w:t>
      </w:r>
      <w:r>
        <w:rPr>
          <w:rFonts w:ascii="MS PGothic" w:cs="MS PGothic" w:eastAsia="MS PGothic" w:hAnsi="MS PGothic"/>
          <w:sz w:val="18"/>
          <w:szCs w:val="18"/>
          <w:color w:val="auto"/>
        </w:rPr>
        <w:t>‑</w:t>
      </w:r>
      <w:r>
        <w:rPr>
          <w:rFonts w:ascii="Arial" w:cs="Arial" w:eastAsia="Arial" w:hAnsi="Arial"/>
          <w:sz w:val="18"/>
          <w:szCs w:val="18"/>
          <w:color w:val="auto"/>
        </w:rPr>
        <w:t>on therapy to tiotropium in 30 patients. In September 2017 we also reported data from our IND-opening single</w:t>
      </w:r>
      <w:r>
        <w:rPr>
          <w:rFonts w:ascii="MS PGothic" w:cs="MS PGothic" w:eastAsia="MS PGothic" w:hAnsi="MS PGothic"/>
          <w:sz w:val="18"/>
          <w:szCs w:val="18"/>
          <w:color w:val="auto"/>
        </w:rPr>
        <w:t>‑</w:t>
      </w:r>
      <w:r>
        <w:rPr>
          <w:rFonts w:ascii="Arial" w:cs="Arial" w:eastAsia="Arial" w:hAnsi="Arial"/>
          <w:sz w:val="18"/>
          <w:szCs w:val="18"/>
          <w:color w:val="auto"/>
        </w:rPr>
        <w:t>dose pharmacokinetic, or PK, trial of RPL554 in approximately 12 healthy volunteers in the US.</w:t>
      </w:r>
    </w:p>
    <w:p>
      <w:pPr>
        <w:spacing w:after="0" w:line="2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March 2017, we commenced a Phase 2a single-dose PK and pharmacodynamics, or PD, trial in the United Kingdom evaluating RPL554 in up to ten CF patients and expect to report top-line data from this trial late in the first quarter of 2018. A PD trial involves the study of the biochemical and physiological effects of a drug and its mechanism of action, including the correlation of the drug's actions and effects with its chemical structure. The results of this clinical trial will support dose selection for a proof-of-concept Phase 2b trial in approximately 100 patients with CF, which we plan to commence in 2018.</w:t>
      </w:r>
    </w:p>
    <w:p>
      <w:pPr>
        <w:spacing w:after="0" w:line="2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or otherwise. RPL554 is our only current product candidate and our ability to generate revenue sufficient to achieve profitability will depend on our successful development and eventual commercialization of RPL554, if approved, for one or more of its targeted indications. Since our inception, we have incurred significant operating losses. For the years ended December 31, 2016 and 2017 we incurred net losses of £5.0 million and £20.5 million, respectively. As of December 31, 2017, we had an accumulated loss of £49.3 million.</w:t>
      </w:r>
    </w:p>
    <w:p>
      <w:pPr>
        <w:spacing w:after="0" w:line="26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RPL554, and seek regulatory approval and pursue commercialization of RPL554, if approved. In addition, if we obtain regulatory approval for RPL554,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w:t>
      </w: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6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approximately £ 145 million in gross proceeds from investors since such listing, of which approximately £ 70 million was raised in our Nasdaq listing and the accompanying private offering in Europe and the shareholder private placement; we raised a further £45 million raised in our July 2016 private placement of equity securities with a number of European and U.S.-based healthcare specialist investment firms.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Vernalis</w:t>
      </w:r>
    </w:p>
    <w:p>
      <w:pPr>
        <w:spacing w:after="0" w:line="3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2005, Rhinopharma entered into an assignment and license agreement with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Vernalis also granted to us an exclusive, worldwide, royalty-bearing license to certain Vernalis know-how to develop, manufacture and commercialize products, or the Licensed Products, based on PDE inhibitors developed using Vernalis Patents, Vernalis know-how and the physical stock of certain compounds, including RPL554, in the treatment of human or animal allergic or inflammatory disorders.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Product-by-Product and country-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17" w:right="239" w:bottom="1440" w:gutter="0" w:footer="0" w:header="0"/>
        </w:sectPr>
      </w:pPr>
    </w:p>
    <w:bookmarkStart w:id="87" w:name="page88"/>
    <w:bookmarkEnd w:id="87"/>
    <w:p>
      <w:pPr>
        <w:ind w:right="760"/>
        <w:spacing w:after="0" w:line="262" w:lineRule="auto"/>
        <w:rPr>
          <w:sz w:val="20"/>
          <w:szCs w:val="20"/>
          <w:color w:val="auto"/>
        </w:rPr>
      </w:pPr>
      <w:r>
        <w:rPr>
          <w:rFonts w:ascii="Arial" w:cs="Arial" w:eastAsia="Arial" w:hAnsi="Arial"/>
          <w:sz w:val="18"/>
          <w:szCs w:val="18"/>
          <w:color w:val="auto"/>
        </w:rPr>
        <w:t>by-country basis, a low to mid-single digit percentage royalty based on net sales of each Licensed Product. See "Business — Vernalis Agreement" for further information regarding this agreement.</w:t>
      </w:r>
    </w:p>
    <w:p>
      <w:pPr>
        <w:spacing w:after="0" w:line="2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recorded a liability in our statement of financial position reflecting the contingent obligation we assumed from Rhinopharma to make payments to Vernalis under the Vernalis Agreement. Any change in the carrying value of this assumed contingent obligation in any reporting period is recorded as finance expense or finance income in our statement of comprehensive income. See "— Financial Operations Overview — Finance Income and Expense" and Note 2.12 of our Annual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do not have any approved products. Accordingly, we have not generated any revenue, and we do not expect to generate any revenue from the sale of any products unless or until we obtain regulatory approvals of and commercialize RPL554 or any other product candidate we may develop in the future, which may never occur.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include:</w:t>
      </w:r>
    </w:p>
    <w:p>
      <w:pPr>
        <w:spacing w:after="0" w:line="279" w:lineRule="exact"/>
        <w:rPr>
          <w:sz w:val="20"/>
          <w:szCs w:val="20"/>
          <w:color w:val="auto"/>
        </w:rPr>
      </w:pPr>
    </w:p>
    <w:p>
      <w:pPr>
        <w:ind w:left="660" w:right="840" w:hanging="328"/>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 for our research and development personnel;</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for production of drug substance by CMOs;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and other costs paid to CROs and consultants to conduct our clinical trials and pre-clinical and non-clinical studies;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related facilities, materials and equipment;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associated with obtaining and maintaining patents and other intellectual property;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amortization and depreciation of intangible and tangible fixed assets used to develop RPL554.</w:t>
      </w:r>
    </w:p>
    <w:p>
      <w:pPr>
        <w:spacing w:after="0" w:line="2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RPL554 for the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RPL554, develop new formulations of RPL554 for the treatment of COPD, commence the clinical development of RPL554 for the treatment of CF and potentially pursue the development of RPL554 for other forms of respiratory disease, including asthma.</w:t>
      </w:r>
    </w:p>
    <w:p>
      <w:pPr>
        <w:spacing w:after="0" w:line="2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successful development and commercialization of RPL554 is highly uncertain. At this time, we cannot reasonably estimate the nature, timing and estimated costs of the efforts that will be necessary to complete the development of, or the period, if any, in which material net cash inflows may commence from, RPL554 or any future product candidates. This is due to numerous risks and uncertainties associated with developing drugs, including the uncertainty of:</w:t>
      </w:r>
    </w:p>
    <w:p>
      <w:pPr>
        <w:spacing w:after="0" w:line="25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progress and results of clinical trials and pre-clinical and non-clinical studies;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RPL554 or any other future product candidate, if approved.</w:t>
      </w:r>
    </w:p>
    <w:p>
      <w:pPr>
        <w:spacing w:after="0" w:line="14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Any of these variables with respect to the development of RPL554 or any other future candidate that we may develop could result in a significant change in the costs and timing associated with the development of RPL554 or</w:t>
      </w:r>
    </w:p>
    <w:p>
      <w:pPr>
        <w:sectPr>
          <w:pgSz w:w="11900" w:h="16838" w:orient="portrait"/>
          <w:cols w:equalWidth="0" w:num="1">
            <w:col w:w="11400"/>
          </w:cols>
          <w:pgMar w:left="240" w:top="517" w:right="259" w:bottom="144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517" w:right="259" w:bottom="1440" w:gutter="0" w:footer="0" w:header="0"/>
          <w:type w:val="continuous"/>
        </w:sectPr>
      </w:pPr>
    </w:p>
    <w:bookmarkStart w:id="88" w:name="page89"/>
    <w:bookmarkEnd w:id="88"/>
    <w:p>
      <w:pPr>
        <w:jc w:val="both"/>
        <w:spacing w:after="0" w:line="254" w:lineRule="auto"/>
        <w:rPr>
          <w:sz w:val="20"/>
          <w:szCs w:val="20"/>
          <w:color w:val="auto"/>
        </w:rPr>
      </w:pPr>
      <w:r>
        <w:rPr>
          <w:rFonts w:ascii="Arial" w:cs="Arial" w:eastAsia="Arial" w:hAnsi="Arial"/>
          <w:sz w:val="18"/>
          <w:szCs w:val="18"/>
          <w:color w:val="auto"/>
        </w:rPr>
        <w:t>such future product candidate. For example, if the FDA, the EMA or 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3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increased costs associated with being a U.S. public company, including expenses related to services associated with maintaining compliance with Nasdaq rules and SEC requirements, director compensation, insurance and investor relation costs. If RPL554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Expense</w:t>
      </w:r>
    </w:p>
    <w:p>
      <w:pPr>
        <w:spacing w:after="0" w:line="3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Finance income consists of interest earned on our cash and cash equivalents and any decrease in the carrying value resulting from the remeasurement of the assumed contingent obligation under the Vernalis Agreement and any decrease in the fair value of the derivative financial liability related to the 31,115,926 units issued by us to new and existing institutional and other investors in July 2016, or the July 2016 Placement.</w:t>
      </w:r>
    </w:p>
    <w:p>
      <w:pPr>
        <w:spacing w:after="0" w:line="25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Finance expense consists of any increase in the carrying value resulting from the remeasurement of the assumed contingent obligation under the Vernalis Agreement and any increase in the fair value of the derivative financial liability related to the July 2016 Placement.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consumables and certain internal overhead costs incurred as part of research projects. In the event we generate revenues in the future, we may benefit from the "patent box" initiative that allows profits attributable to revenues from patents or patented products to be taxed at a lower rate than other revenue of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 There have been no material adjustments to prior period estimates for any of the periods included in this Annual Report.</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significant accounting policies are more fully described in the notes to our financial statements appearing elsewhere in this Annual Report. We believe that the following accounting policies are the most critical to aid you in fully understanding and evaluating our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517"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Assumed Contingent Obligation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significant management estimate relates to the probability, amount and timing of any payment relating to the assumed contingent obligation under the Vernalis Agreement, a provision for which is recorded in our statement of financial position. See “- License Agreement with Vernalis,” “Item 4.B. Business Overview - Vernalis Agreement” and Note 18 to our Annual Consolidated Financial Statements included elsewhere in this Annual Report. A change in the probability and timing of any payment relating to the assumed contingent obligation could result in a significant fluctuation in our financial results in future periods.</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47" w:lineRule="exact"/>
        <w:rPr>
          <w:sz w:val="20"/>
          <w:szCs w:val="20"/>
          <w:color w:val="auto"/>
        </w:rPr>
      </w:pPr>
    </w:p>
    <w:p>
      <w:pPr>
        <w:ind w:right="240"/>
        <w:spacing w:after="0" w:line="216" w:lineRule="exact"/>
        <w:rPr>
          <w:sz w:val="20"/>
          <w:szCs w:val="20"/>
          <w:color w:val="auto"/>
        </w:rPr>
      </w:pPr>
      <w:r>
        <w:rPr>
          <w:rFonts w:ascii="Arial" w:cs="Arial" w:eastAsia="Arial" w:hAnsi="Arial"/>
          <w:sz w:val="18"/>
          <w:szCs w:val="18"/>
          <w:color w:val="auto"/>
        </w:rPr>
        <w:t>We measure share options at fair value at their grant date in accordance with IFRS 2, “Share</w:t>
      </w:r>
      <w:r>
        <w:rPr>
          <w:rFonts w:ascii="MS PGothic" w:cs="MS PGothic" w:eastAsia="MS PGothic" w:hAnsi="MS PGothic"/>
          <w:sz w:val="18"/>
          <w:szCs w:val="18"/>
          <w:color w:val="auto"/>
        </w:rPr>
        <w:t>‑</w:t>
      </w:r>
      <w:r>
        <w:rPr>
          <w:rFonts w:ascii="Arial" w:cs="Arial" w:eastAsia="Arial" w:hAnsi="Arial"/>
          <w:sz w:val="18"/>
          <w:szCs w:val="18"/>
          <w:color w:val="auto"/>
        </w:rPr>
        <w:t>based Payment.” We calculate the fair value of the share options using the Black</w:t>
      </w:r>
      <w:r>
        <w:rPr>
          <w:rFonts w:ascii="MS PGothic" w:cs="MS PGothic" w:eastAsia="MS PGothic" w:hAnsi="MS PGothic"/>
          <w:sz w:val="18"/>
          <w:szCs w:val="18"/>
          <w:color w:val="auto"/>
        </w:rPr>
        <w:t>‑</w:t>
      </w:r>
      <w:r>
        <w:rPr>
          <w:rFonts w:ascii="Arial" w:cs="Arial" w:eastAsia="Arial" w:hAnsi="Arial"/>
          <w:sz w:val="18"/>
          <w:szCs w:val="18"/>
          <w:color w:val="auto"/>
        </w:rPr>
        <w:t>Scholes model. We charge the fair value to the statement of comprehensive income over the expected vesting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At each reporting date, we review the carrying value of our tangible and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Derivative Financial Liability</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connection with the July 2016 Placement, we issued 31,115,926 warrants to new and existing institutional and other investors. Each warrant is entitled to purchase 0.4 of an ordinary share at a price of £1.7238. Each warrant became exercisable upon the closing of the global offering and will expire on the fifth anniversary of the closing of the global offering.</w:t>
      </w:r>
    </w:p>
    <w:p>
      <w:pPr>
        <w:spacing w:after="0" w:line="20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classify these warrants as a derivative financial liability to be presented on our consolidated statement of financial position. The fair value of these warrants is determined by applying the Black</w:t>
      </w:r>
      <w:r>
        <w:rPr>
          <w:rFonts w:ascii="MS PGothic" w:cs="MS PGothic" w:eastAsia="MS PGothic" w:hAnsi="MS PGothic"/>
          <w:sz w:val="18"/>
          <w:szCs w:val="18"/>
          <w:color w:val="auto"/>
        </w:rPr>
        <w:t>‑</w:t>
      </w:r>
      <w:r>
        <w:rPr>
          <w:rFonts w:ascii="Arial" w:cs="Arial" w:eastAsia="Arial" w:hAnsi="Arial"/>
          <w:sz w:val="18"/>
          <w:szCs w:val="18"/>
          <w:color w:val="auto"/>
        </w:rPr>
        <w:t>Scholes model. Assumptions are made on inputs such as time to maturity, the share price, volatility and risk free rate, in order to determine the fair value per warrant. For valuation purposes at recognition of the liability, we used the closing share price of our ordinary shares as reported on AIM on July 29, 2016, the date of issuance of the warrants.</w:t>
      </w:r>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At the date of issuance of the warrants we calculated a fair value and recorded a derivative financial liability, which on initial recognition was offset against the share premium in relation to the funds received in connection with the July 2016 Placement. Subsequent updates to the fair value of the derivative financial liability will not result in changes to share premium, but will result in an adjusting entry in the consolidated derivative financial liability statement of comprehensive income. We will continue to adjust the derivative financial liability until the earlier of the exercise of the warrants or expiration of the warrants occurs.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refer to Note 2.18 to our Annual Consolidated Financial Statements for the year ended December 31, 2017 included elsewhere in this Annual Report for a discussion of new standards and interpretations not yet adopted by us.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60"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JOBS Act</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connection with the preparation for our listing on Nasdaq, we reassessed our critical accounting policies to ensure compliance with IFRS. As part of this reassessment, we identified errors relating to the recognition of assumed liabilities and goodwill in connection with the acquisition of Rhinopharma in September 2006.</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concluded that a lack of adequate controls surrounding our historical accounting for business combinations constituted a material weakness in our internal control over financial reporting, as defined in the standards established by the U.S. Public Accounting Oversight Board, or the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have remediated this material weakness by the hiring of our chief financial officer in September 2016 and enhancing our financial reporting team. We have instituted a program of controls over financial reporting that will ensure we manage our financial reporting in accordance with good business practice and Sarbanes-Oxley legislation. However, we cannot be certain that these efforts will prevent future material weaknesses or significant deficiencies from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360"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2017 and 2016</w:t>
      </w:r>
    </w:p>
    <w:p>
      <w:pPr>
        <w:spacing w:after="0" w:line="38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table sets forth our results of operations for the periods indicated. For the convenience of the reader, we have translated pound sterling amounts as of December 31, 2017 at the noon buying rate of the Federal Reserve Bank of New York on December 29, 2017, which was £ 1.00 to $1.3529. These translations should not be considered representations that any such amounts have been, could have been or could be converted into U.S. dollars at that or any other exchange rate as of that or any other date.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r>
      <w:tr>
        <w:trPr>
          <w:trHeight w:val="264"/>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center"/>
              <w:ind w:right="213"/>
              <w:spacing w:after="0"/>
              <w:rPr>
                <w:sz w:val="20"/>
                <w:szCs w:val="20"/>
                <w:color w:val="auto"/>
              </w:rPr>
            </w:pPr>
            <w:r>
              <w:rPr>
                <w:rFonts w:ascii="Arial" w:cs="Arial" w:eastAsia="Arial" w:hAnsi="Arial"/>
                <w:sz w:val="14"/>
                <w:szCs w:val="14"/>
                <w:b w:val="1"/>
                <w:bCs w:val="1"/>
                <w:color w:val="auto"/>
                <w:w w:val="99"/>
              </w:rPr>
              <w:t>£000's</w:t>
            </w:r>
          </w:p>
        </w:tc>
        <w:tc>
          <w:tcPr>
            <w:tcW w:w="460" w:type="dxa"/>
            <w:vAlign w:val="bottom"/>
          </w:tcPr>
          <w:p>
            <w:pPr>
              <w:spacing w:after="0"/>
              <w:rPr>
                <w:sz w:val="22"/>
                <w:szCs w:val="22"/>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22"/>
                <w:szCs w:val="22"/>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$000's</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46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7,018</w:t>
            </w:r>
          </w:p>
        </w:tc>
        <w:tc>
          <w:tcPr>
            <w:tcW w:w="4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9,495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(5,973)</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(25,203)</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(34,097)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4,706</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6,367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(5,019)</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(20,497)</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(27,730)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 (loss):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4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9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year ended December 31, 2017 was £29.8 million (2016: £7.0 million) and the loss after tax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was £20.5 million (2016: £5.0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Research and development costs were £23.7 million for the year ended December 31, 2017 as compared to £4.5 million for the year ended December 31, 2016, an increase of £19.2 million. The increase was attributable to a £12.3 million increase in clinical trial expenses related to the initiation of four, and completion of two, Phase 2 clinical trials of RPL554. In addition we increased spending on contract manufacturing and other formulation work by £2.7 million and toxicology and other pre-clinical development by £1.2m. Our salary costs increased by £0.3m and our share-based payment charge by £1.2 million as we expanded our team and initiated a new long term incentive plan to drive development of RPL 554. Furthermore, our spend on third party consultants increased by £0.8 million and patent and other costs by £0.3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General and administrative costs were £6.0 million for the year ended December 31, 2017 as compared to £2.5 million for the year ended December 31, 2016, an increase of £3.5 million. The increase was attributable to £0.8 million increase in our salary costs and a £1.1 million increase in our share-based payment charge as we built the team to support the activities of the Company. There was an increase of £1.3 million of costs in preparation for and relating to the Global Offering, as well as ongoing compliance and other costs due to listing our ADSs on the Nasdaq stock market. We also incurred costs of £0.4 million developing our commercial strategy for RPL 554.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Finance income was £7.0 million for the year ended December 31, 2017 and £1.8 million for the year ended December 31, 2016. The increase in finance income was primarily due to a decrease in the fair value of the warrant liability of £6.6 million caused by changes in the underlying assumptions for measuring the liability of the warrants issued in the July 2016 Placement, including the price and volatility of our ordinary shares and the unwinding of the expected life of the warrants.</w:t>
      </w:r>
    </w:p>
    <w:p>
      <w:pPr>
        <w:spacing w:after="0" w:line="2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Finance expense was £2.5 million for the year ended December 31, 2017 as compared to £0.8 million for the year ended December 31, 2016. The increase was primarily due to the foreign exchange loss on translation of foreign currency denominated cash and cash equivalents and short 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2017 the Company had approximately £31.4 million in cash and cash equivalents (2016: £39.8 million) and £48.8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term investments (2016: £nil).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Taxation for the year ended December 31, 2017 amounted to a credit of £4.7 million as compared to a credit of £1.0 million for the year ended December 31, 2016, an increase in the credit amount of £ 3.7 million. The credits are obtained at a rate of 14.5% of 230% of our qualifying research and development expenditure, and the increase in the credit amount was primarily attributable to our increased expenditure on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9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2016 and 2015</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08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340" w:type="dxa"/>
            <w:vAlign w:val="bottom"/>
          </w:tcPr>
          <w:p>
            <w:pPr>
              <w:spacing w:after="0"/>
              <w:rPr>
                <w:sz w:val="18"/>
                <w:szCs w:val="18"/>
                <w:color w:val="auto"/>
              </w:rPr>
            </w:pP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64"/>
        </w:trPr>
        <w:tc>
          <w:tcPr>
            <w:tcW w:w="8340" w:type="dxa"/>
            <w:vAlign w:val="bottom"/>
          </w:tcPr>
          <w:p>
            <w:pPr>
              <w:spacing w:after="0"/>
              <w:rPr>
                <w:sz w:val="22"/>
                <w:szCs w:val="22"/>
                <w:color w:val="auto"/>
              </w:rPr>
            </w:pPr>
          </w:p>
        </w:tc>
        <w:tc>
          <w:tcPr>
            <w:tcW w:w="1780" w:type="dxa"/>
            <w:vAlign w:val="bottom"/>
          </w:tcPr>
          <w:p>
            <w:pPr>
              <w:jc w:val="right"/>
              <w:ind w:right="734"/>
              <w:spacing w:after="0"/>
              <w:rPr>
                <w:sz w:val="20"/>
                <w:szCs w:val="20"/>
                <w:color w:val="auto"/>
              </w:rPr>
            </w:pPr>
            <w:r>
              <w:rPr>
                <w:rFonts w:ascii="Arial" w:cs="Arial" w:eastAsia="Arial" w:hAnsi="Arial"/>
                <w:sz w:val="14"/>
                <w:szCs w:val="14"/>
                <w:b w:val="1"/>
                <w:bCs w:val="1"/>
                <w:color w:val="auto"/>
              </w:rPr>
              <w:t>£000's</w:t>
            </w: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rPr>
              <w:t>£000's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(7,270)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7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(1,706)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(8,976)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780" w:type="dxa"/>
            <w:vAlign w:val="bottom"/>
          </w:tcPr>
          <w:p>
            <w:pPr>
              <w:jc w:val="right"/>
              <w:ind w:right="314"/>
              <w:spacing w:after="0"/>
              <w:rPr>
                <w:sz w:val="20"/>
                <w:szCs w:val="20"/>
                <w:color w:val="auto"/>
              </w:rPr>
            </w:pPr>
            <w:r>
              <w:rPr>
                <w:rFonts w:ascii="Arial" w:cs="Arial" w:eastAsia="Arial" w:hAnsi="Arial"/>
                <w:sz w:val="18"/>
                <w:szCs w:val="18"/>
                <w:color w:val="auto"/>
              </w:rPr>
              <w:t>45</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1,841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7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(9,004)</w:t>
            </w:r>
          </w:p>
        </w:tc>
        <w:tc>
          <w:tcPr>
            <w:tcW w:w="1300" w:type="dxa"/>
            <w:vAlign w:val="bottom"/>
          </w:tcPr>
          <w:p>
            <w:pPr>
              <w:jc w:val="right"/>
              <w:spacing w:after="0"/>
              <w:rPr>
                <w:sz w:val="20"/>
                <w:szCs w:val="20"/>
                <w:color w:val="auto"/>
              </w:rPr>
            </w:pPr>
            <w:r>
              <w:rPr>
                <w:rFonts w:ascii="Arial" w:cs="Arial" w:eastAsia="Arial" w:hAnsi="Arial"/>
                <w:sz w:val="18"/>
                <w:szCs w:val="18"/>
                <w:color w:val="auto"/>
              </w:rPr>
              <w:t>(5,973)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7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1,509</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(7,495)</w:t>
            </w:r>
          </w:p>
        </w:tc>
        <w:tc>
          <w:tcPr>
            <w:tcW w:w="1300" w:type="dxa"/>
            <w:vAlign w:val="bottom"/>
          </w:tcPr>
          <w:p>
            <w:pPr>
              <w:jc w:val="right"/>
              <w:spacing w:after="0"/>
              <w:rPr>
                <w:sz w:val="20"/>
                <w:szCs w:val="20"/>
                <w:color w:val="auto"/>
              </w:rPr>
            </w:pPr>
            <w:r>
              <w:rPr>
                <w:rFonts w:ascii="Arial" w:cs="Arial" w:eastAsia="Arial" w:hAnsi="Arial"/>
                <w:sz w:val="18"/>
                <w:szCs w:val="18"/>
                <w:color w:val="auto"/>
              </w:rPr>
              <w:t>(5,019)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7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78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17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(7,491)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0"/>
        </w:trPr>
        <w:tc>
          <w:tcPr>
            <w:tcW w:w="8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2016 and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Research and development costs were £4.5 million for the year ended December 31, 2016 as compared to £7.3 million for the year ended December 31, 2015, a decrease of £2.8 million. The decrease was attributable to a £3.6 million decrease in clinical trial expenses related to the completion of our Phase 2a clinical trials of RPL554 in late 2015 and early 2016, which were partially offset by a £0.7 million increase in research and development personnel costs and a £0.1 million increase in pre-clinical research, contract manufacturing, patent and other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97"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General and administrative costs were £2.5 million for the year ended December 31, 2016 as compared to £1.7 million for the year ended December 31, 2015, an increase of £0.8 million. The increase was attributable to a £0.2 million increase in personnel costs, a £0.3 million increase in professional service fees and expenses, and a £0.2 million increase in other facility and office related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9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Finance income was £1.8 million for the year ended December 31, 2016 and £45 thousand for the year ended December 31, 2015. The increase in finance income was primarily due to a decrease in the fair value of the warrant liability of £1.1 million caused by changes in the underlying assumptions for measuring the liability of the warrants issued in the July 2016 Placement, including the price and volatility of our ordinary shares and the unwinding of the expected life of the warrants.</w:t>
      </w:r>
    </w:p>
    <w:p>
      <w:pPr>
        <w:spacing w:after="0" w:line="2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Finance expense was £0.8 million for the year ended December 31, 2016 as compared to £0.1 million for the year ended December 31, 2015. The increase was primarily due to the inclusion of the proportion of expenses incurred in connection with the July 2016 Placement which related to the issue of warrants, and which were recorded as a finance expense (the remainder of the July 2016 Placement expenses related to the equity issued and were recorded as a charge against share premium), as well as an increase in the calculated value of the assumed contingent obligation resulting from the Vernalis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Taxation for the year ended December 31, 2016 amounted to a credit of £1.0 million as compared to a credit of £1.5 million for the year ended December 31, 2015, a decrease in the credit amount of £0.5 million. The credits are obtained at a rate of 14.5% of 230% of our qualifying research and development expenditure, and the decrease in the credit amount was primarily attributable to our decreased expenditure on research and development.</w:t>
      </w:r>
    </w:p>
    <w:p>
      <w:pPr>
        <w:sectPr>
          <w:pgSz w:w="11900" w:h="16838" w:orient="portrait"/>
          <w:cols w:equalWidth="0" w:num="1">
            <w:col w:w="11420"/>
          </w:cols>
          <w:pgMar w:left="240" w:top="360" w:right="2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360"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our inception, we have incurred significant operating losses. We anticipate that we will continue to incur losses for at least the next several years. We expect that our research and development and general and administrative costs will increase in connection with conducting clinical trials for RPL554 and seeking marketing approval for RPL554 in the United States and Europe as well as other jurisdictions. As a result, we will need additional capital to fund our operations, which we may obtain from additional financings, research funding, collaborations, contract and grant revenue or other sources.</w:t>
      </w:r>
    </w:p>
    <w:p>
      <w:pPr>
        <w:spacing w:after="0" w:line="26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including warrants. Since our inception, we raised gross proceeds of approximately £145 million from private placements of equity securities, of which approximately £ 70 million was raised in April 2017 through our Nasdaq listing and the accompanying private offering in Europe and the shareholder private placement; we raised a further £45 million raised in our July 2016 private placement of equity securities with a number of European and U.S.-based healthcare specialist investment firms. As of December 31, 2017, we had cash and cash equivalents of £31.4 million. As of December 31, 2017 we also held short term investments (representing bank deposits with maturities of greater than 3 months at inception) of £48.8 million.</w:t>
      </w:r>
    </w:p>
    <w:p>
      <w:pPr>
        <w:spacing w:after="0" w:line="26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summaries our cash flows for each of the periods presented.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r>
      <w:tr>
        <w:trPr>
          <w:trHeight w:val="264"/>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£000's</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b w:val="1"/>
                <w:bCs w:val="1"/>
                <w:color w:val="auto"/>
              </w:rPr>
              <w:t>£000's</w:t>
            </w: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$000's</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(5,588)</w:t>
            </w:r>
          </w:p>
        </w:tc>
        <w:tc>
          <w:tcPr>
            <w:tcW w:w="5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(20,696)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(49,469)</w:t>
            </w: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from financing activities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41,203</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63,246</w:t>
            </w: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85,566</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 (decrease) in cash and cash equivalents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35,574</w:t>
            </w:r>
          </w:p>
        </w:tc>
        <w:tc>
          <w:tcPr>
            <w:tcW w:w="5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decrease in net cash used in operating activities to £20.7 million for the year ended December 31, 2017 from £5.6 million for the year ended December 31, 2016 was primarily due to an increase in loss before taxation driven by higher research and development costs.</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increase in net cash used in investing activities to £49.5 million for the year ended December 31, 2017 from £41 thousand for the year ended December 31, 2016 was due to placing funds raised in the Global Offering on term deposits with maturities of more than three months at inception.</w:t>
      </w:r>
    </w:p>
    <w:p>
      <w:pPr>
        <w:spacing w:after="0" w:line="2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net cash of £63.2 million received from financing activities to for the year ended December 31, 2017 was the cash raised from the Global Offering. The £41.2 million received for the year ended December 31, 2016 was the cash received from the sale of our equity securities and warrants in connection with the July 2016 Placement.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301"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As of December 31, 2017, we had an accumulated loss of £49.3 million. We expect to continue to incur significant operating losses for the foreseeable future as we continue our research and development efforts and seek to obtain regulatory approval and commercialization of RPL554 and any future product candidate we develop.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ectPr>
          <w:pgSz w:w="11900" w:h="16838" w:orient="portrait"/>
          <w:cols w:equalWidth="0" w:num="1">
            <w:col w:w="11420"/>
          </w:cols>
          <w:pgMar w:left="240" w:top="981"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981" w:right="239" w:bottom="1440" w:gutter="0" w:footer="0" w:header="0"/>
          <w:type w:val="continuous"/>
        </w:sectPr>
      </w:pPr>
    </w:p>
    <w:bookmarkStart w:id="95" w:name="page96"/>
    <w:bookmarkEnd w:id="95"/>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 and conduct our planned clinical trials for RPL554 for the maintenance treatment of COPD and as a treatment for acute COPD;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 and conduct our planned clinical trials for RPL554 for the treatment of CF;</w:t>
      </w:r>
    </w:p>
    <w:p>
      <w:pPr>
        <w:spacing w:after="0" w:line="279"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the research and development of other formulations of RPL554, including developing our DPI andpMDI formulations of RPL554;</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RPL554;</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279"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U.S. public company listed on the Nasdaq; and</w:t>
      </w:r>
    </w:p>
    <w:p>
      <w:pPr>
        <w:spacing w:after="0" w:line="25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expect that our existing cash, cash equivalents and short-term investments will enable us to fund our operating expenses and capital expenditure requirements through the end of our Phase 2 development of nebulized RPL554 and our proof-of-concept development with DPI and pMDI formulations of RPL554 for the treatment of COPD, as well as our Phase 2 development of nebulized RPL554 for the treatment of CF. We have based this estimate on assumptions that may prove to be wrong, and we may use our available capital resources sooner than we currently expect. Because of the numerous risks and uncertainties associated with the development of RPL554 and any future product candidates and because the extent to which we may enter into collaborations with third parties for development of RPL554 is unknown, we are unable to estimate the amounts of increased capital outlays and operating expenses associated with completing the research and development of RPL554. Our future capital requirements for RPL554 or any future product candidates will depend on many factors, including:</w:t>
      </w:r>
    </w:p>
    <w:p>
      <w:pPr>
        <w:spacing w:after="0" w:line="260" w:lineRule="exact"/>
        <w:rPr>
          <w:sz w:val="20"/>
          <w:szCs w:val="20"/>
          <w:color w:val="auto"/>
        </w:rPr>
      </w:pPr>
    </w:p>
    <w:p>
      <w:pPr>
        <w:ind w:left="660" w:right="60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RPL554 or any future product candidates and the potential that we may be required to conduct additional clinical trials for RPL554;</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144" w:lineRule="exact"/>
        <w:rPr>
          <w:rFonts w:ascii="Arial" w:cs="Arial" w:eastAsia="Arial" w:hAnsi="Arial"/>
          <w:sz w:val="18"/>
          <w:szCs w:val="18"/>
          <w:color w:val="auto"/>
        </w:rPr>
      </w:pPr>
    </w:p>
    <w:p>
      <w:pPr>
        <w:ind w:left="660" w:right="142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RPL554 or any future product candidates;</w:t>
      </w:r>
    </w:p>
    <w:p>
      <w:pPr>
        <w:spacing w:after="0" w:line="11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15"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RPL554 or any future product candidate we develop and any delays we may encounter as a result of evolving regulatory requirements or adverse results with respect to RPL554 any future product candidates;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RPL554 or any future product candidates;</w:t>
      </w:r>
    </w:p>
    <w:p>
      <w:pPr>
        <w:spacing w:after="0" w:line="144"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RPL554 or any future product candidates, if approved, and costs involved in the creation of an effective sales and marketing organization; and</w:t>
      </w:r>
    </w:p>
    <w:p>
      <w:pPr>
        <w:spacing w:after="0" w:line="115"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RPL554 or any future product candidates, if approved.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17" w:right="239" w:bottom="1440" w:gutter="0" w:footer="0" w:header="0"/>
        </w:sectPr>
      </w:pPr>
    </w:p>
    <w:bookmarkStart w:id="96" w:name="page97"/>
    <w:bookmarkEnd w:id="96"/>
    <w:p>
      <w:pPr>
        <w:ind w:right="280"/>
        <w:spacing w:after="0" w:line="262" w:lineRule="auto"/>
        <w:rPr>
          <w:sz w:val="20"/>
          <w:szCs w:val="20"/>
          <w:color w:val="auto"/>
        </w:rPr>
      </w:pPr>
      <w:r>
        <w:rPr>
          <w:rFonts w:ascii="Arial" w:cs="Arial" w:eastAsia="Arial" w:hAnsi="Arial"/>
          <w:sz w:val="18"/>
          <w:szCs w:val="18"/>
          <w:color w:val="auto"/>
        </w:rPr>
        <w:t>Our commercial revenues, if any, will be derived from sales of products that we do not expect to be commercially available for many years, if ever. Accordingly, we will need to obtain substantial additional funds to achieve our business objective.</w:t>
      </w:r>
    </w:p>
    <w:p>
      <w:pPr>
        <w:spacing w:after="0" w:line="2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 and Licenses, etc.</w:t>
      </w:r>
    </w:p>
    <w:p>
      <w:pPr>
        <w:spacing w:after="0" w:line="27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For a discussion of our research and development activities, including amounts spent on company-sponsored research and development activities for the last three financial years, see “Item 4.B. Business Overview” and “Item 5.A.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that are reasonably likely to have a material adverse effect on our net revenues, income from continuing operations, profitability, liquidity or capital resources, or that would cause the disclosed financial information to be not necessarily indicative of future operating results or financial conditions. For more information, see “Item 4.B. Business Overview,” “Item 5.A. Operating Results,” and “Item 5.B. 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and do not currently have any off-balance sheet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Commitments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Payments Due by Period</w:t>
            </w:r>
          </w:p>
        </w:tc>
        <w:tc>
          <w:tcPr>
            <w:tcW w:w="1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4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94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1 - 3</w:t>
            </w:r>
          </w:p>
        </w:tc>
        <w:tc>
          <w:tcPr>
            <w:tcW w:w="1300" w:type="dxa"/>
            <w:vAlign w:val="bottom"/>
          </w:tcPr>
          <w:p>
            <w:pPr>
              <w:jc w:val="right"/>
              <w:ind w:right="659"/>
              <w:spacing w:after="0"/>
              <w:rPr>
                <w:sz w:val="20"/>
                <w:szCs w:val="20"/>
                <w:color w:val="auto"/>
              </w:rPr>
            </w:pPr>
            <w:r>
              <w:rPr>
                <w:rFonts w:ascii="Arial" w:cs="Arial" w:eastAsia="Arial" w:hAnsi="Arial"/>
                <w:sz w:val="14"/>
                <w:szCs w:val="14"/>
                <w:b w:val="1"/>
                <w:bCs w:val="1"/>
                <w:color w:val="auto"/>
              </w:rPr>
              <w:t>3 - 5</w:t>
            </w:r>
          </w:p>
        </w:tc>
        <w:tc>
          <w:tcPr>
            <w:tcW w:w="1260" w:type="dxa"/>
            <w:vAlign w:val="bottom"/>
          </w:tcPr>
          <w:p>
            <w:pPr>
              <w:jc w:val="center"/>
              <w:ind w:right="19"/>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120" w:type="dxa"/>
            <w:vAlign w:val="bottom"/>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8"/>
              </w:rPr>
              <w:t>years</w:t>
            </w:r>
          </w:p>
        </w:tc>
        <w:tc>
          <w:tcPr>
            <w:tcW w:w="1300" w:type="dxa"/>
            <w:vAlign w:val="bottom"/>
            <w:tcBorders>
              <w:bottom w:val="single" w:sz="8" w:color="auto"/>
            </w:tcBorders>
          </w:tcPr>
          <w:p>
            <w:pPr>
              <w:jc w:val="center"/>
              <w:ind w:right="399"/>
              <w:spacing w:after="0"/>
              <w:rPr>
                <w:sz w:val="20"/>
                <w:szCs w:val="20"/>
                <w:color w:val="auto"/>
              </w:rPr>
            </w:pPr>
            <w:r>
              <w:rPr>
                <w:rFonts w:ascii="Arial" w:cs="Arial" w:eastAsia="Arial" w:hAnsi="Arial"/>
                <w:sz w:val="14"/>
                <w:szCs w:val="14"/>
                <w:b w:val="1"/>
                <w:bCs w:val="1"/>
                <w:color w:val="auto"/>
              </w:rPr>
              <w:t>years</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5 years</w:t>
            </w:r>
          </w:p>
        </w:tc>
      </w:tr>
      <w:tr>
        <w:trPr>
          <w:trHeight w:val="210"/>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jc w:val="center"/>
              <w:ind w:right="122"/>
              <w:spacing w:after="0"/>
              <w:rPr>
                <w:sz w:val="20"/>
                <w:szCs w:val="20"/>
                <w:color w:val="auto"/>
              </w:rPr>
            </w:pPr>
            <w:r>
              <w:rPr>
                <w:rFonts w:ascii="Arial" w:cs="Arial" w:eastAsia="Arial" w:hAnsi="Arial"/>
                <w:sz w:val="14"/>
                <w:szCs w:val="14"/>
                <w:b w:val="1"/>
                <w:bCs w:val="1"/>
                <w:color w:val="auto"/>
              </w:rPr>
              <w:t>(£000's)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9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568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94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rPr>
              <w:t>277</w:t>
            </w: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568</w:t>
            </w:r>
          </w:p>
        </w:tc>
        <w:tc>
          <w:tcPr>
            <w:tcW w:w="1240" w:type="dxa"/>
            <w:vAlign w:val="bottom"/>
          </w:tcPr>
          <w:p>
            <w:pPr>
              <w:jc w:val="right"/>
              <w:spacing w:after="0"/>
              <w:rPr>
                <w:sz w:val="20"/>
                <w:szCs w:val="20"/>
                <w:color w:val="auto"/>
              </w:rPr>
            </w:pPr>
            <w:r>
              <w:rPr>
                <w:rFonts w:ascii="Arial" w:cs="Arial" w:eastAsia="Arial" w:hAnsi="Arial"/>
                <w:sz w:val="18"/>
                <w:szCs w:val="18"/>
                <w:color w:val="auto"/>
              </w:rPr>
              <w:t>291</w:t>
            </w:r>
          </w:p>
        </w:tc>
        <w:tc>
          <w:tcPr>
            <w:tcW w:w="1940" w:type="dxa"/>
            <w:vAlign w:val="bottom"/>
          </w:tcPr>
          <w:p>
            <w:pPr>
              <w:jc w:val="right"/>
              <w:ind w:right="422"/>
              <w:spacing w:after="0"/>
              <w:rPr>
                <w:sz w:val="20"/>
                <w:szCs w:val="20"/>
                <w:color w:val="auto"/>
              </w:rPr>
            </w:pPr>
            <w:r>
              <w:rPr>
                <w:rFonts w:ascii="Arial" w:cs="Arial" w:eastAsia="Arial" w:hAnsi="Arial"/>
                <w:sz w:val="18"/>
                <w:szCs w:val="18"/>
                <w:color w:val="auto"/>
              </w:rPr>
              <w:t>277</w:t>
            </w: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w w:val="99"/>
              </w:rPr>
              <w:t>£—</w:t>
            </w:r>
          </w:p>
        </w:tc>
      </w:tr>
      <w:tr>
        <w:trPr>
          <w:trHeight w:val="20"/>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table above does not include assumed contingent obligation payments we may be required to make under the Vernalis Agreement because the amount, timing and likelihood of payment are not known. Such additional payment obligations may be material. See sections titled "— License Agreement with Vernalis" and "Business — Vernalis Agreement."</w:t>
      </w:r>
    </w:p>
    <w:p>
      <w:pPr>
        <w:spacing w:after="0" w:line="25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addition, we enter into contracts in the ordinary course of business with contract research organizations ("CROs")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17" w:right="2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30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Selected quarterly results from operations for the year ended December 31, 2017 and 2016 are as follows (in thousands,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Fiscal 2017 Quarter Ended</w:t>
            </w:r>
          </w:p>
        </w:tc>
        <w:tc>
          <w:tcPr>
            <w:tcW w:w="1480" w:type="dxa"/>
            <w:vAlign w:val="bottom"/>
            <w:tcBorders>
              <w:bottom w:val="single" w:sz="8" w:color="auto"/>
            </w:tcBorders>
          </w:tcPr>
          <w:p>
            <w:pPr>
              <w:spacing w:after="0"/>
              <w:rPr>
                <w:sz w:val="17"/>
                <w:szCs w:val="17"/>
                <w:color w:val="auto"/>
              </w:rPr>
            </w:pPr>
          </w:p>
        </w:tc>
      </w:tr>
      <w:tr>
        <w:trPr>
          <w:trHeight w:val="264"/>
        </w:trPr>
        <w:tc>
          <w:tcPr>
            <w:tcW w:w="4920" w:type="dxa"/>
            <w:vAlign w:val="bottom"/>
          </w:tcPr>
          <w:p>
            <w:pPr>
              <w:spacing w:after="0"/>
              <w:rPr>
                <w:sz w:val="22"/>
                <w:szCs w:val="22"/>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Pr>
          <w:p>
            <w:pPr>
              <w:spacing w:after="0"/>
              <w:rPr>
                <w:sz w:val="22"/>
                <w:szCs w:val="22"/>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21"/>
                <w:szCs w:val="21"/>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5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9,689</w:t>
            </w:r>
          </w:p>
        </w:tc>
        <w:tc>
          <w:tcPr>
            <w:tcW w:w="2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3,105</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General and administrative costs</w:t>
            </w:r>
          </w:p>
        </w:tc>
        <w:tc>
          <w:tcPr>
            <w:tcW w:w="1500" w:type="dxa"/>
            <w:vAlign w:val="bottom"/>
            <w:gridSpan w:val="2"/>
          </w:tcPr>
          <w:p>
            <w:pPr>
              <w:jc w:val="right"/>
              <w:ind w:right="4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22"/>
                <w:szCs w:val="22"/>
                <w:color w:val="auto"/>
              </w:rPr>
            </w:pPr>
          </w:p>
        </w:tc>
        <w:tc>
          <w:tcPr>
            <w:tcW w:w="1500" w:type="dxa"/>
            <w:vAlign w:val="bottom"/>
            <w:gridSpan w:val="2"/>
          </w:tcPr>
          <w:p>
            <w:pPr>
              <w:jc w:val="right"/>
              <w:ind w:right="48"/>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1,032</w:t>
            </w:r>
          </w:p>
        </w:tc>
      </w:tr>
      <w:tr>
        <w:trPr>
          <w:trHeight w:val="68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Fiscal 2016 Quarter Ended</w:t>
            </w:r>
          </w:p>
        </w:tc>
        <w:tc>
          <w:tcPr>
            <w:tcW w:w="1480" w:type="dxa"/>
            <w:vAlign w:val="bottom"/>
            <w:tcBorders>
              <w:bottom w:val="single" w:sz="8" w:color="auto"/>
            </w:tcBorders>
          </w:tcPr>
          <w:p>
            <w:pPr>
              <w:spacing w:after="0"/>
              <w:rPr>
                <w:sz w:val="24"/>
                <w:szCs w:val="24"/>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21"/>
                <w:szCs w:val="21"/>
                <w:color w:val="auto"/>
              </w:rPr>
            </w:pPr>
          </w:p>
        </w:tc>
        <w:tc>
          <w:tcPr>
            <w:tcW w:w="1580" w:type="dxa"/>
            <w:vAlign w:val="bottom"/>
            <w:gridSpan w:val="3"/>
          </w:tcPr>
          <w:p>
            <w:pPr>
              <w:ind w:left="52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723</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General and administrative costs</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1,085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executive officers and directors, including their ages as of February 27,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44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rPr>
              <w:t>Age</w:t>
            </w:r>
          </w:p>
        </w:tc>
        <w:tc>
          <w:tcPr>
            <w:tcW w:w="7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Executive Officers</w:t>
            </w:r>
          </w:p>
        </w:tc>
        <w:tc>
          <w:tcPr>
            <w:tcW w:w="104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Jan-Anders Karlsson, Ph.D.</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63</w:t>
            </w:r>
          </w:p>
        </w:tc>
        <w:tc>
          <w:tcPr>
            <w:tcW w:w="758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Piers Morgan</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51</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Kenneth Newman, M.D.</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60</w:t>
            </w:r>
          </w:p>
        </w:tc>
        <w:tc>
          <w:tcPr>
            <w:tcW w:w="7580" w:type="dxa"/>
            <w:vAlign w:val="bottom"/>
          </w:tcPr>
          <w:p>
            <w:pPr>
              <w:ind w:left="200"/>
              <w:spacing w:after="0"/>
              <w:rPr>
                <w:sz w:val="20"/>
                <w:szCs w:val="20"/>
                <w:color w:val="auto"/>
              </w:rPr>
            </w:pPr>
            <w:r>
              <w:rPr>
                <w:rFonts w:ascii="Arial" w:cs="Arial" w:eastAsia="Arial" w:hAnsi="Arial"/>
                <w:sz w:val="18"/>
                <w:szCs w:val="18"/>
                <w:color w:val="auto"/>
              </w:rPr>
              <w:t>Chief Medical Officer</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Peter Spargo, Ph.D.</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56</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Vice President, Chemistry Manufacturing and Controls</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Claire Poll</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51</w:t>
            </w:r>
          </w:p>
        </w:tc>
        <w:tc>
          <w:tcPr>
            <w:tcW w:w="7580" w:type="dxa"/>
            <w:vAlign w:val="bottom"/>
          </w:tcPr>
          <w:p>
            <w:pPr>
              <w:ind w:left="200"/>
              <w:spacing w:after="0"/>
              <w:rPr>
                <w:sz w:val="20"/>
                <w:szCs w:val="20"/>
                <w:color w:val="auto"/>
              </w:rPr>
            </w:pPr>
            <w:r>
              <w:rPr>
                <w:rFonts w:ascii="Arial" w:cs="Arial" w:eastAsia="Arial" w:hAnsi="Arial"/>
                <w:sz w:val="18"/>
                <w:szCs w:val="18"/>
                <w:color w:val="auto"/>
              </w:rPr>
              <w:t>Legal Counsel</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Hennings</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48</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Director</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Desiree Luthman</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58</w:t>
            </w:r>
          </w:p>
        </w:tc>
        <w:tc>
          <w:tcPr>
            <w:tcW w:w="7580" w:type="dxa"/>
            <w:vAlign w:val="bottom"/>
          </w:tcPr>
          <w:p>
            <w:pPr>
              <w:ind w:left="200"/>
              <w:spacing w:after="0"/>
              <w:rPr>
                <w:sz w:val="20"/>
                <w:szCs w:val="20"/>
                <w:color w:val="auto"/>
              </w:rPr>
            </w:pPr>
            <w:r>
              <w:rPr>
                <w:rFonts w:ascii="Arial" w:cs="Arial" w:eastAsia="Arial" w:hAnsi="Arial"/>
                <w:sz w:val="18"/>
                <w:szCs w:val="18"/>
                <w:color w:val="auto"/>
              </w:rPr>
              <w:t>Vice President, Regulatory Affairs</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Non-Executive Directors</w:t>
            </w:r>
          </w:p>
        </w:tc>
        <w:tc>
          <w:tcPr>
            <w:tcW w:w="1040" w:type="dxa"/>
            <w:vAlign w:val="bottom"/>
            <w:shd w:val="clear" w:color="auto" w:fill="CCEEFF"/>
          </w:tcPr>
          <w:p>
            <w:pPr>
              <w:spacing w:after="0"/>
              <w:rPr>
                <w:sz w:val="24"/>
                <w:szCs w:val="24"/>
                <w:color w:val="auto"/>
              </w:rPr>
            </w:pPr>
          </w:p>
        </w:tc>
        <w:tc>
          <w:tcPr>
            <w:tcW w:w="7580" w:type="dxa"/>
            <w:vAlign w:val="bottom"/>
            <w:shd w:val="clear" w:color="auto" w:fill="CCEEFF"/>
          </w:tcPr>
          <w:p>
            <w:pPr>
              <w:spacing w:after="0"/>
              <w:rPr>
                <w:sz w:val="24"/>
                <w:szCs w:val="24"/>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David Ebsworth, Ph.D.</w:t>
            </w:r>
            <w:r>
              <w:rPr>
                <w:rFonts w:ascii="Arial" w:cs="Arial" w:eastAsia="Arial" w:hAnsi="Arial"/>
                <w:sz w:val="21"/>
                <w:szCs w:val="21"/>
                <w:color w:val="auto"/>
                <w:vertAlign w:val="superscript"/>
              </w:rPr>
              <w:t>(1,2,3)</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63</w:t>
            </w:r>
          </w:p>
        </w:tc>
        <w:tc>
          <w:tcPr>
            <w:tcW w:w="7580" w:type="dxa"/>
            <w:vAlign w:val="bottom"/>
          </w:tcPr>
          <w:p>
            <w:pPr>
              <w:ind w:left="200"/>
              <w:spacing w:after="0"/>
              <w:rPr>
                <w:sz w:val="20"/>
                <w:szCs w:val="20"/>
                <w:color w:val="auto"/>
              </w:rPr>
            </w:pPr>
            <w:r>
              <w:rPr>
                <w:rFonts w:ascii="Arial" w:cs="Arial" w:eastAsia="Arial" w:hAnsi="Arial"/>
                <w:sz w:val="18"/>
                <w:szCs w:val="18"/>
                <w:color w:val="auto"/>
              </w:rPr>
              <w:t>Chairman of the Board</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 Cunningham, M.D.</w:t>
            </w:r>
            <w:r>
              <w:rPr>
                <w:rFonts w:ascii="Arial" w:cs="Arial" w:eastAsia="Arial" w:hAnsi="Arial"/>
                <w:sz w:val="21"/>
                <w:szCs w:val="21"/>
                <w:color w:val="auto"/>
                <w:vertAlign w:val="superscript"/>
              </w:rPr>
              <w:t>(2)</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65</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Rishi Gupta</w:t>
            </w:r>
            <w:r>
              <w:rPr>
                <w:rFonts w:ascii="Arial" w:cs="Arial" w:eastAsia="Arial" w:hAnsi="Arial"/>
                <w:sz w:val="21"/>
                <w:szCs w:val="21"/>
                <w:color w:val="auto"/>
                <w:vertAlign w:val="superscript"/>
              </w:rPr>
              <w:t>(2)</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40</w:t>
            </w:r>
          </w:p>
        </w:tc>
        <w:tc>
          <w:tcPr>
            <w:tcW w:w="7580" w:type="dxa"/>
            <w:vAlign w:val="bottom"/>
          </w:tcPr>
          <w:p>
            <w:pPr>
              <w:ind w:left="20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 Ph.D.</w:t>
            </w:r>
            <w:r>
              <w:rPr>
                <w:rFonts w:ascii="Arial" w:cs="Arial" w:eastAsia="Arial" w:hAnsi="Arial"/>
                <w:sz w:val="21"/>
                <w:szCs w:val="21"/>
                <w:color w:val="auto"/>
                <w:vertAlign w:val="superscript"/>
              </w:rPr>
              <w:t>(3)</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73</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Andrew Sinclair, Ph.D.</w:t>
            </w:r>
            <w:r>
              <w:rPr>
                <w:rFonts w:ascii="Arial" w:cs="Arial" w:eastAsia="Arial" w:hAnsi="Arial"/>
                <w:sz w:val="21"/>
                <w:szCs w:val="21"/>
                <w:color w:val="auto"/>
                <w:vertAlign w:val="superscript"/>
              </w:rPr>
              <w:t>(1)</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46</w:t>
            </w:r>
          </w:p>
        </w:tc>
        <w:tc>
          <w:tcPr>
            <w:tcW w:w="7580" w:type="dxa"/>
            <w:vAlign w:val="bottom"/>
          </w:tcPr>
          <w:p>
            <w:pPr>
              <w:ind w:left="20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Vikas Sinha</w:t>
            </w:r>
            <w:r>
              <w:rPr>
                <w:rFonts w:ascii="Arial" w:cs="Arial" w:eastAsia="Arial" w:hAnsi="Arial"/>
                <w:sz w:val="21"/>
                <w:szCs w:val="21"/>
                <w:color w:val="auto"/>
                <w:vertAlign w:val="superscript"/>
              </w:rPr>
              <w:t>(1)</w:t>
            </w:r>
          </w:p>
        </w:tc>
        <w:tc>
          <w:tcPr>
            <w:tcW w:w="1040" w:type="dxa"/>
            <w:vAlign w:val="bottom"/>
            <w:shd w:val="clear" w:color="auto" w:fill="CCEEFF"/>
          </w:tcPr>
          <w:p>
            <w:pPr>
              <w:jc w:val="center"/>
              <w:ind w:left="271"/>
              <w:spacing w:after="0"/>
              <w:rPr>
                <w:sz w:val="20"/>
                <w:szCs w:val="20"/>
                <w:color w:val="auto"/>
              </w:rPr>
            </w:pPr>
            <w:r>
              <w:rPr>
                <w:rFonts w:ascii="Arial" w:cs="Arial" w:eastAsia="Arial" w:hAnsi="Arial"/>
                <w:sz w:val="18"/>
                <w:szCs w:val="18"/>
                <w:color w:val="auto"/>
                <w:w w:val="99"/>
              </w:rPr>
              <w:t>54</w:t>
            </w: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Non-executive Director</w:t>
            </w:r>
          </w:p>
        </w:tc>
      </w:tr>
      <w:tr>
        <w:trPr>
          <w:trHeight w:val="314"/>
        </w:trPr>
        <w:tc>
          <w:tcPr>
            <w:tcW w:w="2800" w:type="dxa"/>
            <w:vAlign w:val="bottom"/>
          </w:tcPr>
          <w:p>
            <w:pPr>
              <w:ind w:left="40"/>
              <w:spacing w:after="0"/>
              <w:rPr>
                <w:sz w:val="20"/>
                <w:szCs w:val="20"/>
                <w:color w:val="auto"/>
              </w:rPr>
            </w:pPr>
            <w:r>
              <w:rPr>
                <w:rFonts w:ascii="Arial" w:cs="Arial" w:eastAsia="Arial" w:hAnsi="Arial"/>
                <w:sz w:val="18"/>
                <w:szCs w:val="18"/>
                <w:color w:val="auto"/>
              </w:rPr>
              <w:t>Anders Ullman, Ph.D.</w:t>
            </w:r>
            <w:r>
              <w:rPr>
                <w:rFonts w:ascii="Arial" w:cs="Arial" w:eastAsia="Arial" w:hAnsi="Arial"/>
                <w:sz w:val="21"/>
                <w:szCs w:val="21"/>
                <w:color w:val="auto"/>
                <w:vertAlign w:val="superscript"/>
              </w:rPr>
              <w:t>(3)</w:t>
            </w:r>
          </w:p>
        </w:tc>
        <w:tc>
          <w:tcPr>
            <w:tcW w:w="1040" w:type="dxa"/>
            <w:vAlign w:val="bottom"/>
          </w:tcPr>
          <w:p>
            <w:pPr>
              <w:jc w:val="center"/>
              <w:ind w:left="271"/>
              <w:spacing w:after="0"/>
              <w:rPr>
                <w:sz w:val="20"/>
                <w:szCs w:val="20"/>
                <w:color w:val="auto"/>
              </w:rPr>
            </w:pPr>
            <w:r>
              <w:rPr>
                <w:rFonts w:ascii="Arial" w:cs="Arial" w:eastAsia="Arial" w:hAnsi="Arial"/>
                <w:sz w:val="18"/>
                <w:szCs w:val="18"/>
                <w:color w:val="auto"/>
                <w:w w:val="99"/>
              </w:rPr>
              <w:t>62</w:t>
            </w:r>
          </w:p>
        </w:tc>
        <w:tc>
          <w:tcPr>
            <w:tcW w:w="7580" w:type="dxa"/>
            <w:vAlign w:val="bottom"/>
          </w:tcPr>
          <w:p>
            <w:pPr>
              <w:ind w:left="200"/>
              <w:spacing w:after="0"/>
              <w:rPr>
                <w:sz w:val="20"/>
                <w:szCs w:val="20"/>
                <w:color w:val="auto"/>
              </w:rPr>
            </w:pPr>
            <w:r>
              <w:rPr>
                <w:rFonts w:ascii="Arial" w:cs="Arial" w:eastAsia="Arial" w:hAnsi="Arial"/>
                <w:sz w:val="18"/>
                <w:szCs w:val="18"/>
                <w:color w:val="auto"/>
              </w:rPr>
              <w:t>Non-executive Director</w:t>
            </w:r>
          </w:p>
        </w:tc>
      </w:tr>
    </w:tbl>
    <w:p>
      <w:pPr>
        <w:spacing w:after="0" w:line="137" w:lineRule="exact"/>
        <w:rPr>
          <w:sz w:val="20"/>
          <w:szCs w:val="20"/>
          <w:color w:val="auto"/>
        </w:rPr>
      </w:pPr>
    </w:p>
    <w:p>
      <w:pPr>
        <w:ind w:left="840" w:hanging="832"/>
        <w:spacing w:after="0"/>
        <w:tabs>
          <w:tab w:leader="none" w:pos="8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Audit Committee member</w:t>
      </w:r>
    </w:p>
    <w:p>
      <w:pPr>
        <w:spacing w:after="0" w:line="365" w:lineRule="exact"/>
        <w:rPr>
          <w:rFonts w:ascii="Arial" w:cs="Arial" w:eastAsia="Arial" w:hAnsi="Arial"/>
          <w:sz w:val="14"/>
          <w:szCs w:val="14"/>
          <w:color w:val="auto"/>
        </w:rPr>
      </w:pPr>
    </w:p>
    <w:p>
      <w:pPr>
        <w:ind w:left="840" w:hanging="832"/>
        <w:spacing w:after="0"/>
        <w:tabs>
          <w:tab w:leader="none" w:pos="8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Remuneration Committee member</w:t>
      </w:r>
    </w:p>
    <w:p>
      <w:pPr>
        <w:spacing w:after="0" w:line="365" w:lineRule="exact"/>
        <w:rPr>
          <w:rFonts w:ascii="Arial" w:cs="Arial" w:eastAsia="Arial" w:hAnsi="Arial"/>
          <w:sz w:val="14"/>
          <w:szCs w:val="14"/>
          <w:color w:val="auto"/>
        </w:rPr>
      </w:pPr>
    </w:p>
    <w:p>
      <w:pPr>
        <w:ind w:left="840" w:hanging="832"/>
        <w:spacing w:after="0"/>
        <w:tabs>
          <w:tab w:leader="none" w:pos="8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Governance Committee member</w:t>
      </w:r>
    </w:p>
    <w:p>
      <w:pPr>
        <w:spacing w:after="0" w:line="32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current business addresses for our executive officers and board of directors is c/o Verona Pharma plc, 3 More London Riverside, London SE1 2RE, the United Kingdom.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Jan-Anders Karlsson, Ph.D. </w:t>
      </w:r>
      <w:r>
        <w:rPr>
          <w:rFonts w:ascii="Arial" w:cs="Arial" w:eastAsia="Arial" w:hAnsi="Arial"/>
          <w:sz w:val="18"/>
          <w:szCs w:val="18"/>
          <w:color w:val="auto"/>
        </w:rPr>
        <w:t>Dr. Karlsson has served as our Chief Executive Officer and on our board of directors since June 2012.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2005 to May 2012, Dr. Karlsson was the Chief Executive Officer of S*BIO Pte Ltd, a biotechnology company in Singapore. Previously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2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Piers Morgan. </w:t>
      </w:r>
      <w:r>
        <w:rPr>
          <w:rFonts w:ascii="Arial" w:cs="Arial" w:eastAsia="Arial" w:hAnsi="Arial"/>
          <w:sz w:val="18"/>
          <w:szCs w:val="18"/>
          <w:color w:val="auto"/>
        </w:rPr>
        <w:t>Mr. Morgan has served as our Chief Financial Officer since September 2016. From November 2015 to September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Morgan was an independent consultant. From May 2014 to November 2015, Mr. Morgan was the Chief Executive Officer of C4X Discovery plc, a biotechnology company. Prior to C4X, Mr. Morgan co-founded uniQure N.V., a biotechnology company, in Amsterdam, where he served as Chief Financial Officer from December 2009 to May 2014. Mr. Morgan is a member of the Institute of Chartered Accountants in England and Wales and received an M.A. in law and management studies from the University of Cambridge.</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Kenneth Newman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M.D. </w:t>
      </w:r>
      <w:r>
        <w:rPr>
          <w:rFonts w:ascii="Arial" w:cs="Arial" w:eastAsia="Arial" w:hAnsi="Arial"/>
          <w:sz w:val="18"/>
          <w:szCs w:val="18"/>
          <w:color w:val="auto"/>
        </w:rPr>
        <w:t>Dr. Newman has served as our Chief Medical Officer since January 2015. From December 2013 to December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Newman was Chief Development Officer at Mesoblast Inc., a biotechnology company. From 2010 to November 2013, Dr. Newman was Chief Medical Officer of Acton Pharmaceuticals, Inc., a specialty respiratory pharmaceutical company, which was acquired by Meda Pharmaceuticals, Inc. Dr. Newman received an M.D. from the University of Texas Health Science Center at Houston and an M.B.A. in management from the University of Cincinnati College of Business.</w:t>
      </w:r>
    </w:p>
    <w:p>
      <w:pPr>
        <w:spacing w:after="0" w:line="2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Peter Spargo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Ph.D. </w:t>
      </w:r>
      <w:r>
        <w:rPr>
          <w:rFonts w:ascii="Arial" w:cs="Arial" w:eastAsia="Arial" w:hAnsi="Arial"/>
          <w:sz w:val="18"/>
          <w:szCs w:val="18"/>
          <w:color w:val="auto"/>
        </w:rPr>
        <w:t>Dr. Spargo has served as our Senior Vice President, Chemistry Manufacturing and Controls since May 2014.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to October 2015, Dr. Spargo also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23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 xml:space="preserve">Claire Poll. </w:t>
      </w:r>
      <w:r>
        <w:rPr>
          <w:rFonts w:ascii="Arial" w:cs="Arial" w:eastAsia="Arial" w:hAnsi="Arial"/>
          <w:sz w:val="18"/>
          <w:szCs w:val="18"/>
          <w:color w:val="auto"/>
        </w:rPr>
        <w:t>Ms. Poll has served as Legal Counsel since September 2016. From September 2015 to August 2016, Ms. Poll served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us on legal, general corporate and financing matters. She also served as an</w:t>
      </w:r>
    </w:p>
    <w:p>
      <w:pPr>
        <w:sectPr>
          <w:pgSz w:w="11900" w:h="16838" w:orient="portrait"/>
          <w:cols w:equalWidth="0" w:num="1">
            <w:col w:w="11420"/>
          </w:cols>
          <w:pgMar w:left="240" w:top="535"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535" w:right="239" w:bottom="1440" w:gutter="0" w:footer="0" w:header="0"/>
          <w:type w:val="continuous"/>
        </w:sectPr>
      </w:pPr>
    </w:p>
    <w:bookmarkStart w:id="99" w:name="page100"/>
    <w:bookmarkEnd w:id="99"/>
    <w:p>
      <w:pPr>
        <w:ind w:right="580"/>
        <w:spacing w:after="0" w:line="262" w:lineRule="auto"/>
        <w:rPr>
          <w:sz w:val="20"/>
          <w:szCs w:val="20"/>
          <w:color w:val="auto"/>
        </w:rPr>
      </w:pPr>
      <w:r>
        <w:rPr>
          <w:rFonts w:ascii="Arial" w:cs="Arial" w:eastAsia="Arial" w:hAnsi="Arial"/>
          <w:sz w:val="18"/>
          <w:szCs w:val="18"/>
          <w:color w:val="auto"/>
        </w:rPr>
        <w:t>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Desiree Luthman, DDS. </w:t>
      </w:r>
      <w:r>
        <w:rPr>
          <w:rFonts w:ascii="Arial" w:cs="Arial" w:eastAsia="Arial" w:hAnsi="Arial"/>
          <w:sz w:val="18"/>
          <w:szCs w:val="18"/>
          <w:color w:val="auto"/>
        </w:rPr>
        <w:t>Dr Luthman has served as our Vice President, Regulatory Affairs since June 2017. Dr. Luthman has over 20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experience including both large and small pharmaceutical companies across different regions and different therapeutic areas. From 2015 to 2017, Dr. Luthman served as Senior Regulatory Director, Global Inflammation - Immunocology Therapeutic Area at Sanofi. From 2013 to 2015, Dr. Luthman was a Director, Global Regulatory Strategy and Science at Bristol, Meyers &amp; Squibb. Dr. Luthman received a doctorate in dentistry from the Karolinska Institute, Stockholm, Sweden.</w:t>
      </w:r>
    </w:p>
    <w:p>
      <w:pPr>
        <w:spacing w:after="0" w:line="23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Richard Hennings. </w:t>
      </w:r>
      <w:r>
        <w:rPr>
          <w:rFonts w:ascii="Arial" w:cs="Arial" w:eastAsia="Arial" w:hAnsi="Arial"/>
          <w:sz w:val="18"/>
          <w:szCs w:val="18"/>
          <w:color w:val="auto"/>
        </w:rPr>
        <w:t>Mr. Hennings has served as our Commercial Director since March 2017. From May 2016 to March 2017, Mr. Hennings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Global Marketing Director for AstraZeneca UK Limited, a biopharmaceutical company. Since July 2015, Mr. Hennings has been a director of Hennings Consulting Ltd., where he consults with healthcare organizations on commercial strategy. From January 2012 to June 2015, Mr. Hennings held various positions at Gilead Sciences, Inc., a biopharmaceutical company, most recently as Commercial Director — EMEA Planning &amp; Operations. Mr. Hennings received a bachelor's degree in applied chemistry from the University of Portsmouth.</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2009 to 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Dr. Ebsworth received a Ph.D. in industrial relations from the University of Surrey.</w:t>
      </w:r>
    </w:p>
    <w:p>
      <w:pPr>
        <w:spacing w:after="0" w:line="23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 directors since September 2015.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Cunningham serves as the non-executive chairman of the board of directors of Abzena plc and of Medherant Ltd. Dr. Cunningham received a degree in medicine from St. Mary’s, Imperial College, London University.</w:t>
      </w: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Since 2002, Mr. Gupta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at OrbiMed Advisors LLC, a global healthcare investment firm, where he is currently a Private Equity Partner. Mr. Gupta currently is a member of the board of directors of Avitide, Inc. and Turnstone Biologics, Inc. Mr. Gupta received an A.B. in biochemical sciences from Harvard College and a J.D. from the Yale Law School.</w:t>
      </w:r>
    </w:p>
    <w:p>
      <w:pPr>
        <w:spacing w:after="0" w:line="231"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Since March 2010,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Shah has served as a Managing Director of Vivo Capital, a healthcare investment firm. Dr. Shah is also the founder and Executive Chair of Semnur Pharmaceuticals, Inc., a specialty pharmaceutical company. Dr. Shah serves as a member of the board of directors of Fortis Inc., a specialty pharmaceuticals company, Crinetics Pharmaceuticals, Inc., Soleno Therapeutics, Inc., Impel Neuropharma, Inc., and several other private companies in the biopharmaceutical and biotechnology industries. Dr. Shah received his Ph.D. in industrial pharmacy from St. John’s University and a Master’s Degree in Pharmacy from L.M. College of Pharmacy in Gujarat, India</w:t>
      </w:r>
    </w:p>
    <w:p>
      <w:pPr>
        <w:spacing w:after="0" w:line="2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Andrew Sinclair, Ph.D. </w:t>
      </w:r>
      <w:r>
        <w:rPr>
          <w:rFonts w:ascii="Arial" w:cs="Arial" w:eastAsia="Arial" w:hAnsi="Arial"/>
          <w:sz w:val="18"/>
          <w:szCs w:val="18"/>
          <w:color w:val="auto"/>
        </w:rPr>
        <w:t>Dr. Sinclair has served as a Non-Executive Director on our board of directors since July 2016. Since 2008, Dr. Sinclair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held various positions at Abingworth LLP, a life sciences investment group, where he is currently a Partner and Portfolio Manager.</w:t>
      </w:r>
    </w:p>
    <w:p>
      <w:pPr>
        <w:spacing w:after="0" w:line="1"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25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 September 2016. Since January 2018,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Sinha has served as an Executive Partner of MPM Capital, Inc., a life sciences investment company</w:t>
      </w:r>
      <w:r>
        <w:rPr>
          <w:rFonts w:ascii="Arial" w:cs="Arial" w:eastAsia="Arial" w:hAnsi="Arial"/>
          <w:sz w:val="21"/>
          <w:szCs w:val="21"/>
          <w:color w:val="auto"/>
        </w:rPr>
        <w:t>.</w:t>
      </w:r>
      <w:r>
        <w:rPr>
          <w:rFonts w:ascii="Arial" w:cs="Arial" w:eastAsia="Arial" w:hAnsi="Arial"/>
          <w:sz w:val="18"/>
          <w:szCs w:val="18"/>
          <w:color w:val="auto"/>
        </w:rPr>
        <w:t xml:space="preserve"> From 2005 to 2016, Mr. Sinha was the Chief Financial Officer of Alexion Pharmaceuticals, Inc., a biotechnology company.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 directors since September 2015. Since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has served as Head of the COPD Centre at Sahlgrenska University Hospital,</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517" w:right="279" w:bottom="1440" w:gutter="0" w:footer="0" w:header="0"/>
        </w:sectPr>
      </w:pPr>
    </w:p>
    <w:bookmarkStart w:id="100" w:name="page101"/>
    <w:bookmarkEnd w:id="100"/>
    <w:p>
      <w:pPr>
        <w:ind w:right="60"/>
        <w:spacing w:after="0" w:line="254" w:lineRule="auto"/>
        <w:rPr>
          <w:sz w:val="20"/>
          <w:szCs w:val="20"/>
          <w:color w:val="auto"/>
        </w:rPr>
      </w:pPr>
      <w:r>
        <w:rPr>
          <w:rFonts w:ascii="Arial" w:cs="Arial" w:eastAsia="Arial" w:hAnsi="Arial"/>
          <w:sz w:val="18"/>
          <w:szCs w:val="18"/>
          <w:color w:val="auto"/>
        </w:rPr>
        <w:t>Sweden. From 2013 to 2014, Dr. Ullman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which was acquired by Takeda Pharmaceutical Company Limited. Dr. Ullman received a M.D. and a Ph.D. in clinical pharmacology from the University of Gothenburg.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members of our board of directors and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approximate remuneration paid during the year ended December 31, 2017 our current executive officers.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720" w:type="dxa"/>
            <w:vAlign w:val="bottom"/>
          </w:tcPr>
          <w:p>
            <w:pPr>
              <w:jc w:val="right"/>
              <w:ind w:right="534"/>
              <w:spacing w:after="0"/>
              <w:rPr>
                <w:sz w:val="20"/>
                <w:szCs w:val="20"/>
                <w:color w:val="auto"/>
              </w:rPr>
            </w:pPr>
            <w:r>
              <w:rPr>
                <w:rFonts w:ascii="Arial" w:cs="Arial" w:eastAsia="Arial" w:hAnsi="Arial"/>
                <w:sz w:val="14"/>
                <w:szCs w:val="14"/>
                <w:b w:val="1"/>
                <w:bCs w:val="1"/>
                <w:color w:val="auto"/>
              </w:rPr>
              <w:t>Salary</w:t>
            </w: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0"/>
                <w:szCs w:val="10"/>
                <w:b w:val="1"/>
                <w:bCs w:val="1"/>
                <w:color w:val="auto"/>
              </w:rPr>
              <w:t>(1)</w:t>
            </w:r>
          </w:p>
        </w:tc>
        <w:tc>
          <w:tcPr>
            <w:tcW w:w="1440" w:type="dxa"/>
            <w:vAlign w:val="bottom"/>
          </w:tcPr>
          <w:p>
            <w:pPr>
              <w:jc w:val="right"/>
              <w:ind w:right="54"/>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0"/>
                <w:szCs w:val="10"/>
                <w:b w:val="1"/>
                <w:bCs w:val="1"/>
                <w:color w:val="auto"/>
              </w:rPr>
              <w:t>(2)</w:t>
            </w:r>
          </w:p>
        </w:tc>
        <w:tc>
          <w:tcPr>
            <w:tcW w:w="208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All Other Compensation</w:t>
            </w: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196"/>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7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290,000</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254,000</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1,632,055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29,165</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9"/>
                <w:szCs w:val="9"/>
                <w:color w:val="auto"/>
              </w:rPr>
              <w:t>(3)</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2,205,220</w:t>
            </w:r>
          </w:p>
        </w:tc>
      </w:tr>
      <w:tr>
        <w:trPr>
          <w:trHeight w:val="263"/>
        </w:trPr>
        <w:tc>
          <w:tcPr>
            <w:tcW w:w="364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1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Piers Morgan</w:t>
            </w:r>
            <w:r>
              <w:rPr>
                <w:rFonts w:ascii="Arial" w:cs="Arial" w:eastAsia="Arial" w:hAnsi="Arial"/>
                <w:sz w:val="18"/>
                <w:szCs w:val="18"/>
                <w:color w:val="auto"/>
                <w:vertAlign w:val="superscript"/>
              </w:rPr>
              <w:t>(4)</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210,000</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73,500</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945,464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9"/>
                <w:szCs w:val="9"/>
                <w:color w:val="auto"/>
              </w:rPr>
              <w:t>(3)</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1,241,564</w:t>
            </w:r>
          </w:p>
        </w:tc>
      </w:tr>
      <w:tr>
        <w:trPr>
          <w:trHeight w:val="263"/>
        </w:trPr>
        <w:tc>
          <w:tcPr>
            <w:tcW w:w="364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Kenneth Newman, M.D.</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273,221</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53,581</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937,718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21,987</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9"/>
                <w:szCs w:val="9"/>
                <w:color w:val="auto"/>
              </w:rPr>
              <w:t>(4)</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1,286,508</w:t>
            </w:r>
          </w:p>
        </w:tc>
      </w:tr>
      <w:tr>
        <w:trPr>
          <w:trHeight w:val="263"/>
        </w:trPr>
        <w:tc>
          <w:tcPr>
            <w:tcW w:w="3640" w:type="dxa"/>
            <w:vAlign w:val="bottom"/>
          </w:tcPr>
          <w:p>
            <w:pPr>
              <w:ind w:left="200"/>
              <w:spacing w:after="0"/>
              <w:rPr>
                <w:sz w:val="20"/>
                <w:szCs w:val="20"/>
                <w:color w:val="auto"/>
              </w:rPr>
            </w:pPr>
            <w:r>
              <w:rPr>
                <w:rFonts w:ascii="Arial" w:cs="Arial" w:eastAsia="Arial" w:hAnsi="Arial"/>
                <w:sz w:val="18"/>
                <w:szCs w:val="18"/>
                <w:color w:val="auto"/>
              </w:rPr>
              <w:t>Chief Medical Officer</w:t>
            </w:r>
          </w:p>
        </w:tc>
        <w:tc>
          <w:tcPr>
            <w:tcW w:w="1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Peter Spargo, Ph.D.</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190,000</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46,550</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641,564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878,114</w:t>
            </w: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Senior Vice President of Chemistry,</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3640" w:type="dxa"/>
            <w:vAlign w:val="bottom"/>
          </w:tcPr>
          <w:p>
            <w:pPr>
              <w:ind w:left="200"/>
              <w:spacing w:after="0"/>
              <w:rPr>
                <w:sz w:val="20"/>
                <w:szCs w:val="20"/>
                <w:color w:val="auto"/>
              </w:rPr>
            </w:pPr>
            <w:r>
              <w:rPr>
                <w:rFonts w:ascii="Arial" w:cs="Arial" w:eastAsia="Arial" w:hAnsi="Arial"/>
                <w:sz w:val="18"/>
                <w:szCs w:val="18"/>
                <w:color w:val="auto"/>
              </w:rPr>
              <w:t>Manufacturing and Controls</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170,000</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59,650</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574,033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9"/>
                <w:szCs w:val="9"/>
                <w:color w:val="auto"/>
              </w:rPr>
              <w:t>(3)</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808,200</w:t>
            </w:r>
          </w:p>
        </w:tc>
      </w:tr>
      <w:tr>
        <w:trPr>
          <w:trHeight w:val="263"/>
        </w:trPr>
        <w:tc>
          <w:tcPr>
            <w:tcW w:w="3640" w:type="dxa"/>
            <w:vAlign w:val="bottom"/>
          </w:tcPr>
          <w:p>
            <w:pPr>
              <w:ind w:left="200"/>
              <w:spacing w:after="0"/>
              <w:rPr>
                <w:sz w:val="20"/>
                <w:szCs w:val="20"/>
                <w:color w:val="auto"/>
              </w:rPr>
            </w:pPr>
            <w:r>
              <w:rPr>
                <w:rFonts w:ascii="Arial" w:cs="Arial" w:eastAsia="Arial" w:hAnsi="Arial"/>
                <w:sz w:val="18"/>
                <w:szCs w:val="18"/>
                <w:color w:val="auto"/>
              </w:rPr>
              <w:t>Legal Counsel</w:t>
            </w:r>
          </w:p>
        </w:tc>
        <w:tc>
          <w:tcPr>
            <w:tcW w:w="1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Hennings</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119,231</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36,200</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198,258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9"/>
                <w:szCs w:val="9"/>
                <w:color w:val="auto"/>
              </w:rPr>
              <w:t>(3)</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360,843</w:t>
            </w:r>
          </w:p>
        </w:tc>
      </w:tr>
      <w:tr>
        <w:trPr>
          <w:trHeight w:val="263"/>
        </w:trPr>
        <w:tc>
          <w:tcPr>
            <w:tcW w:w="3640" w:type="dxa"/>
            <w:vAlign w:val="bottom"/>
          </w:tcPr>
          <w:p>
            <w:pPr>
              <w:ind w:left="200"/>
              <w:spacing w:after="0"/>
              <w:rPr>
                <w:sz w:val="20"/>
                <w:szCs w:val="20"/>
                <w:color w:val="auto"/>
              </w:rPr>
            </w:pPr>
            <w:r>
              <w:rPr>
                <w:rFonts w:ascii="Arial" w:cs="Arial" w:eastAsia="Arial" w:hAnsi="Arial"/>
                <w:sz w:val="18"/>
                <w:szCs w:val="18"/>
                <w:color w:val="auto"/>
              </w:rPr>
              <w:t>Commercial Director</w:t>
            </w:r>
          </w:p>
        </w:tc>
        <w:tc>
          <w:tcPr>
            <w:tcW w:w="1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Desiree Luthman</w:t>
            </w:r>
            <w:r>
              <w:rPr>
                <w:rFonts w:ascii="Arial" w:cs="Arial" w:eastAsia="Arial" w:hAnsi="Arial"/>
                <w:sz w:val="18"/>
                <w:szCs w:val="18"/>
                <w:color w:val="auto"/>
                <w:vertAlign w:val="superscript"/>
              </w:rPr>
              <w:t>(5)</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113,743</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22,884</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126,756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263,383</w:t>
            </w:r>
          </w:p>
        </w:tc>
      </w:tr>
      <w:tr>
        <w:trPr>
          <w:trHeight w:val="264"/>
        </w:trPr>
        <w:tc>
          <w:tcPr>
            <w:tcW w:w="3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Vice President, Regulatory Affairs</w:t>
            </w:r>
          </w:p>
        </w:tc>
        <w:tc>
          <w:tcPr>
            <w:tcW w:w="17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1,366,195</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546,365</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5,055,849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75,422</w:t>
            </w:r>
          </w:p>
        </w:tc>
        <w:tc>
          <w:tcPr>
            <w:tcW w:w="5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7,043,832</w:t>
            </w:r>
          </w:p>
        </w:tc>
      </w:tr>
    </w:tbl>
    <w:p>
      <w:pPr>
        <w:spacing w:after="0" w:line="200" w:lineRule="exact"/>
        <w:rPr>
          <w:sz w:val="20"/>
          <w:szCs w:val="20"/>
          <w:color w:val="auto"/>
        </w:rPr>
      </w:pPr>
    </w:p>
    <w:p>
      <w:pPr>
        <w:spacing w:after="0" w:line="36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9"/>
          <w:szCs w:val="9"/>
          <w:color w:val="auto"/>
        </w:rPr>
      </w:pPr>
      <w:r>
        <w:rPr>
          <w:rFonts w:ascii="Arial" w:cs="Arial" w:eastAsia="Arial" w:hAnsi="Arial"/>
          <w:sz w:val="13"/>
          <w:szCs w:val="13"/>
          <w:color w:val="auto"/>
        </w:rPr>
        <w:t>Amount shown reflects bonuses awarded for achievement of performance goals in 2017.</w:t>
      </w:r>
    </w:p>
    <w:p>
      <w:pPr>
        <w:spacing w:after="0" w:line="269" w:lineRule="exact"/>
        <w:rPr>
          <w:rFonts w:ascii="Arial" w:cs="Arial" w:eastAsia="Arial" w:hAnsi="Arial"/>
          <w:sz w:val="9"/>
          <w:szCs w:val="9"/>
          <w:color w:val="auto"/>
        </w:rPr>
      </w:pPr>
    </w:p>
    <w:p>
      <w:pPr>
        <w:ind w:left="660" w:right="340" w:hanging="652"/>
        <w:spacing w:after="0" w:line="242" w:lineRule="auto"/>
        <w:tabs>
          <w:tab w:leader="none" w:pos="660" w:val="left"/>
        </w:tabs>
        <w:numPr>
          <w:ilvl w:val="0"/>
          <w:numId w:val="58"/>
        </w:numPr>
        <w:rPr>
          <w:rFonts w:ascii="Arial" w:cs="Arial" w:eastAsia="Arial" w:hAnsi="Arial"/>
          <w:sz w:val="9"/>
          <w:szCs w:val="9"/>
          <w:color w:val="auto"/>
        </w:rPr>
      </w:pPr>
      <w:r>
        <w:rPr>
          <w:rFonts w:ascii="Arial" w:cs="Arial" w:eastAsia="Arial" w:hAnsi="Arial"/>
          <w:sz w:val="13"/>
          <w:szCs w:val="13"/>
          <w:color w:val="auto"/>
        </w:rPr>
        <w:t>Amount shown represents the aggregate grant date fair value of option and restricted stock units awards granted in 2017 measured using the Black Scholes model. For a description of the assumptions used in valuing these awards, see note 16 to our Annual Consolidated Financial Statements included elsewhere in this prospectus.</w:t>
      </w:r>
    </w:p>
    <w:p>
      <w:pPr>
        <w:spacing w:after="0" w:line="265" w:lineRule="exact"/>
        <w:rPr>
          <w:rFonts w:ascii="Arial" w:cs="Arial" w:eastAsia="Arial" w:hAnsi="Arial"/>
          <w:sz w:val="9"/>
          <w:szCs w:val="9"/>
          <w:color w:val="auto"/>
        </w:rPr>
      </w:pPr>
    </w:p>
    <w:p>
      <w:pPr>
        <w:ind w:left="660" w:hanging="652"/>
        <w:spacing w:after="0"/>
        <w:tabs>
          <w:tab w:leader="none" w:pos="660" w:val="left"/>
        </w:tabs>
        <w:numPr>
          <w:ilvl w:val="0"/>
          <w:numId w:val="58"/>
        </w:numPr>
        <w:rPr>
          <w:rFonts w:ascii="Arial" w:cs="Arial" w:eastAsia="Arial" w:hAnsi="Arial"/>
          <w:sz w:val="9"/>
          <w:szCs w:val="9"/>
          <w:color w:val="auto"/>
        </w:rPr>
      </w:pPr>
      <w:r>
        <w:rPr>
          <w:rFonts w:ascii="Arial" w:cs="Arial" w:eastAsia="Arial" w:hAnsi="Arial"/>
          <w:sz w:val="13"/>
          <w:szCs w:val="13"/>
          <w:color w:val="auto"/>
        </w:rPr>
        <w:t>Amount shown represents health benefits payments and pension contributions made by us.</w:t>
      </w:r>
    </w:p>
    <w:p>
      <w:pPr>
        <w:spacing w:after="0" w:line="269" w:lineRule="exact"/>
        <w:rPr>
          <w:rFonts w:ascii="Arial" w:cs="Arial" w:eastAsia="Arial" w:hAnsi="Arial"/>
          <w:sz w:val="9"/>
          <w:szCs w:val="9"/>
          <w:color w:val="auto"/>
        </w:rPr>
      </w:pPr>
    </w:p>
    <w:p>
      <w:pPr>
        <w:ind w:left="660" w:hanging="652"/>
        <w:spacing w:after="0"/>
        <w:tabs>
          <w:tab w:leader="none" w:pos="660" w:val="left"/>
        </w:tabs>
        <w:numPr>
          <w:ilvl w:val="0"/>
          <w:numId w:val="58"/>
        </w:numPr>
        <w:rPr>
          <w:rFonts w:ascii="Arial" w:cs="Arial" w:eastAsia="Arial" w:hAnsi="Arial"/>
          <w:sz w:val="9"/>
          <w:szCs w:val="9"/>
          <w:color w:val="auto"/>
        </w:rPr>
      </w:pPr>
      <w:r>
        <w:rPr>
          <w:rFonts w:ascii="Arial" w:cs="Arial" w:eastAsia="Arial" w:hAnsi="Arial"/>
          <w:sz w:val="13"/>
          <w:szCs w:val="13"/>
          <w:color w:val="auto"/>
        </w:rPr>
        <w:t>Amount shown represents health benefits payments made by us.</w:t>
      </w:r>
    </w:p>
    <w:p>
      <w:pPr>
        <w:spacing w:after="0" w:line="269" w:lineRule="exact"/>
        <w:rPr>
          <w:rFonts w:ascii="Arial" w:cs="Arial" w:eastAsia="Arial" w:hAnsi="Arial"/>
          <w:sz w:val="9"/>
          <w:szCs w:val="9"/>
          <w:color w:val="auto"/>
        </w:rPr>
      </w:pPr>
    </w:p>
    <w:p>
      <w:pPr>
        <w:ind w:left="660" w:hanging="652"/>
        <w:spacing w:after="0"/>
        <w:tabs>
          <w:tab w:leader="none" w:pos="660" w:val="left"/>
        </w:tabs>
        <w:numPr>
          <w:ilvl w:val="0"/>
          <w:numId w:val="58"/>
        </w:numPr>
        <w:rPr>
          <w:rFonts w:ascii="Arial" w:cs="Arial" w:eastAsia="Arial" w:hAnsi="Arial"/>
          <w:sz w:val="9"/>
          <w:szCs w:val="9"/>
          <w:color w:val="auto"/>
        </w:rPr>
      </w:pPr>
      <w:r>
        <w:rPr>
          <w:rFonts w:ascii="Arial" w:cs="Arial" w:eastAsia="Arial" w:hAnsi="Arial"/>
          <w:sz w:val="13"/>
          <w:szCs w:val="13"/>
          <w:color w:val="auto"/>
        </w:rPr>
        <w:t>Mrs Luthman began her employment with us on June 12,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Jan-Anders Karlsson, Ph.D.</w:t>
      </w:r>
    </w:p>
    <w:p>
      <w:pPr>
        <w:spacing w:after="0" w:line="2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entered into an employment agreement with Dr. Karlsson on April 30, 2012, which was subsequently amended. This agreement, as amended, entitles Dr. Karlsson to receive an annual base salary of £290,000 or such higher rate as may be agreed in writing, and a target annual bonus opportunity of 66% of his annual base salary (potentially extending to up to 132%), with the amount of any such bonus based on annual performance criteria to be agreed between us and Dr. Karlsson. By June 1, 2017, Dr. Karlsson was required to invest an amount equal to £130,000 in our company through the purchase of our ordinary shares. Dr. Karlsson is also entitled to participate in</w:t>
      </w:r>
    </w:p>
    <w:p>
      <w:pPr>
        <w:sectPr>
          <w:pgSz w:w="11900" w:h="16838" w:orient="portrait"/>
          <w:cols w:equalWidth="0" w:num="1">
            <w:col w:w="11420"/>
          </w:cols>
          <w:pgMar w:left="240" w:top="517" w:right="2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517"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color w:val="auto"/>
        </w:rPr>
        <w:t>a workplace pension scheme that we contribute to on his behalf. See "— Pension, Retirement or Similar Benefits" below.</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12 months' written notice, provided that we may terminate Dr. Karlsson at any time with immediate effect for cause or by giving written notice to Dr. Karlsson that we shall pay, in lieu of notice, his basic salary during the 12 months following termination, a pro-rated full discretionary bonus and any other contractual benefits prevailing at the time when such notice is given. The employment agreement provides that, upon a change of control, Dr. Karlsson is entitled to receive his full discretionary bonus (without an obligation to purchase ordinary shares) and full accelerated vesting of any outstanding, unvested equity awards under our share and share option schemes. See "— Equity Compensation Arrangements" below. If payments to Dr. Karlsson would constitute a "parachute payment" within the meaning of Section 280G of the Internal Revenue Code of 1986, as amended, or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Karlsson's receipt, on an after-tax basis, of the greater amount of the payment. Additionally, in order to minimize the effect of the different rates of U.S. and U.K. income tax rates, Dr. Karlsson is entitled to receive a payment from us to leave him in a net after-tax position substantially equivalent to what he would experience if he were only subject to U.K. taxes during the period of his employment with us. Dr. Karlsson's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Kenneth Newman, M.D.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entered into an offer letter with Dr. Newman on December 15, 2014, which was subsequently amended, pursuant to which he agreed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 as our Chief Medical Officer, effective January 1, 2015. This agreement entitles Dr. Newman to receive an annual base salary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$340,000 and a target annual bonus opportunity of 40% of his annual base salary, with the amount of any such bonus based on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criteria for our company and his individual performance, as determined by the board of directors in its sole discretion. Dr. Newman's offer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entitled him to receive a stock option to purchase 250,000 of our ordinary shares at an exercise price of £1.25 per ordinary share,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vests in full upon the earlier of (a) the third anniversary of the grant date or (b) a change of control. The offer letter with Dr. Newman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provides that, for so long as Dr. Newman is eligible for medical continuation coverage under the Consolidated Omnibus Budget Reconciliation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or COBRA, from his previous employer or until we establish a health insurance plan in which he is eligible to participate, Dr. Newman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receive reimbursement for monthly premiums paid for such medical continuation coverage and reimbursement for any premiums he pays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long-term disability insurance (up to $800 per month).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If Dr. Newman's employment is terminated by us without "Cause" or by Dr. Newman for "Good Reason" (as each such term is defined in 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 agreement), then, subject to his signing and not revoking a general release of claims, he is entitled to receive (i) six months of base salary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continuation, (ii) six months of continued payment of premiums for continued medical coverage under COBRA, (iii) a pro-rated portion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bonus that he otherwise would have earned in the year of termination based on actual performance in such year and (iv) if the date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occurs within the six-month period immediately preceding the third anniversary of the date of grant of the stock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250,000 of our ordinary shares, such stock option will vest in full. The offer agreement also provides that, if Dr. Newman's employment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terminated by us without Cause or by Dr. Newman for Good Reason, in either case within 12 months following a change of control, then,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to his signing and not revoking a general release of claims, he is entitled to receive (i) nine months of base salary continuation, (ii) nine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of continued payment of premiums for continued medical coverage under COBRA, and (iii) a pro-rated portion of the annual bonus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 would otherwise have earned in the year of termination based on actual performance in such year. If payments to Dr. Newman would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constitute a "parachute payment" within the meaning of Section 280G of the Code, and would be subject to the excise tax imposed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4999 of the Code, then such payment would be reduced to either (i) the largest portion of the payment that would result in no portion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payment being subject to the excise tax or (ii) the largest portion of the payment, whichever of (i) or (ii) would result in Dr. Newman's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receipt, on an after-tax basis, of the greater amount of the payment.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Piers Morgan</w:t>
      </w:r>
    </w:p>
    <w:p>
      <w:pPr>
        <w:spacing w:after="0" w:line="2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entered into an employment agreement with Mr. Morgan on September 24, 2016, which was subsequently amended, pursuant to which he agreed to serve as our Chief Financial Officer, effective September 26, 2016. This agreement entitles Mr. Morgan to receive an annual base salary of £ 210,000, or such higher rate as may be agreed in writing, and a target annual bonus opportunity of 35% (potentially extending to up to 50%) of his salary, with the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517" w:right="259" w:bottom="1440" w:gutter="0" w:footer="0" w:header="0"/>
        </w:sectPr>
      </w:pPr>
    </w:p>
    <w:bookmarkStart w:id="102" w:name="page103"/>
    <w:bookmarkEnd w:id="102"/>
    <w:p>
      <w:pPr>
        <w:spacing w:after="0" w:line="252" w:lineRule="auto"/>
        <w:rPr>
          <w:sz w:val="20"/>
          <w:szCs w:val="20"/>
          <w:color w:val="auto"/>
        </w:rPr>
      </w:pPr>
      <w:r>
        <w:rPr>
          <w:rFonts w:ascii="Arial" w:cs="Arial" w:eastAsia="Arial" w:hAnsi="Arial"/>
          <w:sz w:val="18"/>
          <w:szCs w:val="18"/>
          <w:color w:val="auto"/>
        </w:rPr>
        <w:t>amount of any such bonus based on performance criteria for our company and his individual performance, as determined by our board of directors in its sole discretion. Within 12 months after receiving any such bonus payment, Mr. Morgan is expected to invest an amount equal to 25% of the bonus (net of income tax paid by Mr. Morgan) in our company through the purchase of our ordinary shares. Pursuant to this agreement, on September 16, 2016, Mr. Morgan received an option to purchase 300,000 of our ordinary shares with an exercise price of £2.04 per ordinary share, which vests in equal proportions on the first, second and third anniversary of the grant date of September 26, 2016. Mr. Morgan is also entitled to participate in a workplace pension scheme that we contribute to on his behalf. See "— Pension, Retirement or Similar Benefits" below.</w:t>
      </w:r>
    </w:p>
    <w:p>
      <w:pPr>
        <w:spacing w:after="0" w:line="26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Mr. Morgan is entitled to receive his full discretionary bonus (without an obligation to purchase ordinary shares) and full accelerated vesting of any outstanding, unvested equity awards under our share and share option schemes. If payments to Mr. Morgan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Mr. Morgan's receipt, on an after-tax basis, of the greater amount of the payment. Additionally, in order to minimize the effect of the different rates of U.S. and U.K. income tax rates, Mr. Morgan is entitled to receive a payment from us to leave him in a net after-tax position substantially equivalent to what he would experience if he were only subject to U.K. taxes during the period of his employment with us. Mr. Morgan's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Spargo, Ph.D.</w:t>
      </w:r>
    </w:p>
    <w:p>
      <w:pPr>
        <w:spacing w:after="0" w:line="297"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entered into an employment agreement with Dr. Spargo on April 1, 2014, which was subsequently amended. Pursuant to this agreement, Dr. Spargo agreed to serve as our Senior Vice President, Chemistry Manufacturing and Controls, effective April 1, 2014. This agreement, as amended, entitles Dr. Spargo to receive an annual base salary of £ 190,000 and a target annual bonus opportunity of up to 35% of his annual base salary, with the amount of any such bonus based primarily on annual performance criteria to be agreed between us and Dr. Spargo. Dr.</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Spargo is also entitled to participate in a workplace pension scheme that we contribute to on his behalf. See "— Pension, Retirement or Similar Benefits" below.</w:t>
      </w:r>
    </w:p>
    <w:p>
      <w:pPr>
        <w:spacing w:after="0" w:line="2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Dr. Spargo at any time with immediate effect for cause or by giving written notice to Dr. Spargo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Dr. Spargo is entitled to receive his full discretionary bonus and full accelerated vesting of any outstanding, unvested equity awards under our share and share option schemes. If payments to Dr. Spargo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Spargo's receipt, on an after-tax basis, of the greater amount of the payment. Dr. Spargo's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Claire Poll</w:t>
      </w:r>
    </w:p>
    <w:p>
      <w:pPr>
        <w:spacing w:after="0" w:line="2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entered into an agreement for consulting services with Ms. Poll on March 28, 2007, or the Poll Consulting Agreement, pursuant to which Ms. Poll provided corporate managerial services to us. We also entered into an agreement for director services with Ms. Poll on March 28, 2007 pursuant to which Ms. Poll served on our board of directors or the Poll Director Services Agreement. Pursuant to a letter agreement that we entered into with Ms. Poll on September 21, 2015, Ms. Poll retired from our board of directors and the Poll Director Services Agreement was terminated, effective September 10, 2015. The letter agreement further provided that an annual aggregate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517" w:right="259" w:bottom="1440" w:gutter="0" w:footer="0" w:header="0"/>
        </w:sectPr>
      </w:pPr>
    </w:p>
    <w:bookmarkStart w:id="103" w:name="page104"/>
    <w:bookmarkEnd w:id="103"/>
    <w:p>
      <w:pPr>
        <w:spacing w:after="0" w:line="262" w:lineRule="auto"/>
        <w:rPr>
          <w:sz w:val="20"/>
          <w:szCs w:val="20"/>
          <w:color w:val="auto"/>
        </w:rPr>
      </w:pPr>
      <w:r>
        <w:rPr>
          <w:rFonts w:ascii="Arial" w:cs="Arial" w:eastAsia="Arial" w:hAnsi="Arial"/>
          <w:sz w:val="18"/>
          <w:szCs w:val="18"/>
          <w:color w:val="auto"/>
        </w:rPr>
        <w:t>remuneration of £70,000 payable under both the Poll Consulting Agreement and Poll Director Services Agreement would be paid under the Poll Consulting Agreement.</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entered into an employment agreement with Ms. Poll on October 1, 2016 pursuant to which Ms. Poll agreed to serve as our Legal Counsel, effective September 1, 2016. This agreement, as amended, entitles Ms. Poll to receive an annual base salary of £170,000,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13, 2016, Ms. Poll received an option to purchase a total of 200,000 of our ordinary shares with an exercise price of £1.89 per ordinary share, which vests in equal proportions on the first three anniversaries of the date of grant. Ms. Poll is also entitled to participate in a workplace pension scheme that we contribute to on her behalf. See "— Pension, Retirement or Similar Benefits" below.</w:t>
      </w:r>
    </w:p>
    <w:p>
      <w:pPr>
        <w:spacing w:after="0" w:line="26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basic salary during the six months following termination, a pro-rated full discretionary bonus and any other contractual benefits prevailing at the time when such notice is given. The employment agreement provides that, upon a change of control, Ms. Poll is entitled to receive her full discretionary bonus and full accelerated vesting of any outstanding, 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Richard Hennings</w:t>
      </w:r>
    </w:p>
    <w:p>
      <w:pPr>
        <w:spacing w:after="0" w:line="2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entered into an employment agreement with Mr. Hennings on March 27, 2017, pursuant to which he agreed to serve as our Commercial Director, effective March 27, 2017. This agreement entitles Mr. Hennings to receive an annual base salary of £155,000, or such higher rate as may be agreed in writing, and a target annual bonus opportunity of up to 35% of his annual base salary, with the amount of any such bonus based on annual performance criteria to be agreed between us and Mr. Hennings. Pursuant to his employment agreement, Mr. Hennings is also entitled to receive (a) an option to purchase a total of 160,000 of our ordinary shares with an exercise price equal to our Nasdaq listing price on the date of grant (£1.32) and (b) restricted share units with a grant date fair value of approximately £40,000. Mr. Hennings is also entitled to participate in a workplace pension scheme that we contribute to on his behalf. See "— Pension, Retirement or Similar Benefits" below.</w:t>
      </w:r>
    </w:p>
    <w:p>
      <w:pPr>
        <w:spacing w:after="0" w:line="26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The employment agreement provides that, upon a change of control, Mr. Hennings is entitled to receive his full discretionary bonus and full accelerated vesting of any outstanding, unvested equity awards under our share and share option schemes. If payments to Mr. Hennings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Mr. Hennings' receipt, on an after-tax basis, of the greater amount of the payment. Additionally, in order to minimize the effect of the different rates of US and UK income tax rates, Mr. Hennings is entitled to receive a payment from us to leave him in a net after-tax position substantially equivalent to what he would experience if he were only subject to UK taxes during the period of his employment with us. Mr. Hennings'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Desiree Luthman, DDS.</w:t>
      </w:r>
    </w:p>
    <w:p>
      <w:pPr>
        <w:spacing w:after="0" w:line="2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entered into an employment agreement with Ms Luthman on May 1, 2017, pursuant to which she agreed to serve as our Vice-President Regulatory Affairs, effective June 15, 2017. This agreement entitles Ms Luthman to receive an annual base salary of $265,000, or such higher rate as may be agreed in writing, and a target annual bonus opportunity of up to 25% of her annual base salary, with the amount of any such bonus based on annual performance criteria to be agreed between us and Ms Luthman. Pursuant to her employment agreement, Ms Luthman is also entitled to receive an option to purchase a total of 20,000 of our ADSs under the terms of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1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Company's equity incentive plan. The ADSs relate to 160,000 ordinary shares and the exercise price is £1.32 per ordinary share.</w:t>
      </w:r>
    </w:p>
    <w:p>
      <w:pPr>
        <w:spacing w:after="0" w:line="27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If Ms Luthman's employment is terminated by us without "Cause" or by Ms Luthman for "Good Reason" (as each such term is defined in her offer agreement), then, subject to her signing and not revoking a general release of claims, she is entitled to receive (i) eight weeks of base salary continuation, (ii) eight weeks of continued payment of premiums for continued medical coverage under COBRA, and (iii) a pro-rated portion of the annual bonus that she otherwise would have earned in the year of termination based on actual performance in such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Arrangements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May 2017, we closed the initial public offering of our American Depositary Shares in the United States and a private placement of our ordinary shares in Europe, together the global offering. Prior to the global offering, we issued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 Since the adoption of the 2017 Incentive Plan (as defined below), no further awards are being made under either the Unapproved Scheme or the EMI Scheme.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Option Scheme</w:t>
      </w:r>
    </w:p>
    <w:p>
      <w:pPr>
        <w:spacing w:after="0" w:line="162"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Under the EMI Scheme, eligible employees were granted tax</w:t>
      </w:r>
      <w:r>
        <w:rPr>
          <w:rFonts w:ascii="MS PGothic" w:cs="MS PGothic" w:eastAsia="MS PGothic" w:hAnsi="MS PGothic"/>
          <w:sz w:val="18"/>
          <w:szCs w:val="18"/>
          <w:color w:val="auto"/>
        </w:rPr>
        <w:t>‑</w:t>
      </w:r>
      <w:r>
        <w:rPr>
          <w:rFonts w:ascii="Arial" w:cs="Arial" w:eastAsia="Arial" w:hAnsi="Arial"/>
          <w:sz w:val="18"/>
          <w:szCs w:val="18"/>
          <w:color w:val="auto"/>
        </w:rPr>
        <w:t>efficient options to purchase our ordinary shares. Options were granted to eligible employees who were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Share Option Scheme</w:t>
      </w:r>
    </w:p>
    <w:p>
      <w:pPr>
        <w:spacing w:after="0" w:line="16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Under the Unapproved Scheme, we granted non</w:t>
      </w:r>
      <w:r>
        <w:rPr>
          <w:rFonts w:ascii="MS PGothic" w:cs="MS PGothic" w:eastAsia="MS PGothic" w:hAnsi="MS PGothic"/>
          <w:sz w:val="18"/>
          <w:szCs w:val="18"/>
          <w:color w:val="auto"/>
        </w:rPr>
        <w:t>‑</w:t>
      </w:r>
      <w:r>
        <w:rPr>
          <w:rFonts w:ascii="Arial" w:cs="Arial" w:eastAsia="Arial" w:hAnsi="Arial"/>
          <w:sz w:val="18"/>
          <w:szCs w:val="18"/>
          <w:color w:val="auto"/>
        </w:rPr>
        <w:t>tax</w:t>
      </w:r>
      <w:r>
        <w:rPr>
          <w:rFonts w:ascii="MS PGothic" w:cs="MS PGothic" w:eastAsia="MS PGothic" w:hAnsi="MS PGothic"/>
          <w:sz w:val="18"/>
          <w:szCs w:val="18"/>
          <w:color w:val="auto"/>
        </w:rPr>
        <w:t>‑</w:t>
      </w:r>
      <w:r>
        <w:rPr>
          <w:rFonts w:ascii="Arial" w:cs="Arial" w:eastAsia="Arial" w:hAnsi="Arial"/>
          <w:sz w:val="18"/>
          <w:szCs w:val="18"/>
          <w:color w:val="auto"/>
        </w:rPr>
        <w:t>qualifying options to purchase our ordinary shares. Options were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 terminated by us at any time. Suspension or termination will not affect any options granted under the schemes to the extent that they are subsisting at the date of the suspension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517" w:right="259" w:bottom="1440" w:gutter="0" w:footer="0" w:header="0"/>
        </w:sectPr>
      </w:pPr>
    </w:p>
    <w:bookmarkStart w:id="105" w:name="page106"/>
    <w:bookmarkEnd w:id="105"/>
    <w:p>
      <w:pPr>
        <w:ind w:right="360"/>
        <w:spacing w:after="0" w:line="262" w:lineRule="auto"/>
        <w:rPr>
          <w:sz w:val="20"/>
          <w:szCs w:val="20"/>
          <w:color w:val="auto"/>
        </w:rPr>
      </w:pPr>
      <w:r>
        <w:rPr>
          <w:rFonts w:ascii="Arial" w:cs="Arial" w:eastAsia="Arial" w:hAnsi="Arial"/>
          <w:sz w:val="18"/>
          <w:szCs w:val="18"/>
          <w:color w:val="auto"/>
        </w:rPr>
        <w:t>The following table summarizes the options that we granted to our directors and executive officers under the EMI Scheme and Unapproved Scheme in 2016: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320" w:type="dxa"/>
            <w:vAlign w:val="bottom"/>
          </w:tcPr>
          <w:p>
            <w:pPr>
              <w:jc w:val="center"/>
              <w:ind w:right="133"/>
              <w:spacing w:after="0"/>
              <w:rPr>
                <w:sz w:val="20"/>
                <w:szCs w:val="20"/>
                <w:color w:val="auto"/>
              </w:rPr>
            </w:pPr>
            <w:r>
              <w:rPr>
                <w:rFonts w:ascii="Arial" w:cs="Arial" w:eastAsia="Arial" w:hAnsi="Arial"/>
                <w:sz w:val="14"/>
                <w:szCs w:val="14"/>
                <w:b w:val="1"/>
                <w:bCs w:val="1"/>
                <w:color w:val="auto"/>
              </w:rPr>
              <w:t>Exercise</w:t>
            </w: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ind w:right="133"/>
              <w:spacing w:after="0"/>
              <w:rPr>
                <w:sz w:val="20"/>
                <w:szCs w:val="20"/>
                <w:color w:val="auto"/>
              </w:rPr>
            </w:pPr>
            <w:r>
              <w:rPr>
                <w:rFonts w:ascii="Arial" w:cs="Arial" w:eastAsia="Arial" w:hAnsi="Arial"/>
                <w:sz w:val="14"/>
                <w:szCs w:val="14"/>
                <w:b w:val="1"/>
                <w:bCs w:val="1"/>
                <w:color w:val="auto"/>
                <w:w w:val="99"/>
              </w:rPr>
              <w:t>Price</w:t>
            </w: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120" w:type="dxa"/>
            <w:vAlign w:val="bottom"/>
          </w:tcPr>
          <w:p>
            <w:pPr>
              <w:jc w:val="center"/>
              <w:ind w:left="13"/>
              <w:spacing w:after="0"/>
              <w:rPr>
                <w:sz w:val="20"/>
                <w:szCs w:val="20"/>
                <w:color w:val="auto"/>
              </w:rPr>
            </w:pPr>
            <w:r>
              <w:rPr>
                <w:rFonts w:ascii="Arial" w:cs="Arial" w:eastAsia="Arial" w:hAnsi="Arial"/>
                <w:sz w:val="14"/>
                <w:szCs w:val="14"/>
                <w:b w:val="1"/>
                <w:bCs w:val="1"/>
                <w:color w:val="auto"/>
              </w:rPr>
              <w:t>Underlying</w:t>
            </w:r>
          </w:p>
        </w:tc>
        <w:tc>
          <w:tcPr>
            <w:tcW w:w="1320" w:type="dxa"/>
            <w:vAlign w:val="bottom"/>
          </w:tcPr>
          <w:p>
            <w:pPr>
              <w:jc w:val="center"/>
              <w:ind w:right="133"/>
              <w:spacing w:after="0"/>
              <w:rPr>
                <w:sz w:val="20"/>
                <w:szCs w:val="20"/>
                <w:color w:val="auto"/>
              </w:rPr>
            </w:pPr>
            <w:r>
              <w:rPr>
                <w:rFonts w:ascii="Arial" w:cs="Arial" w:eastAsia="Arial" w:hAnsi="Arial"/>
                <w:sz w:val="14"/>
                <w:szCs w:val="14"/>
                <w:b w:val="1"/>
                <w:bCs w:val="1"/>
                <w:color w:val="auto"/>
              </w:rPr>
              <w:t>Per Share</w:t>
            </w:r>
          </w:p>
        </w:tc>
        <w:tc>
          <w:tcPr>
            <w:tcW w:w="2380" w:type="dxa"/>
            <w:vAlign w:val="bottom"/>
          </w:tcPr>
          <w:p>
            <w:pPr>
              <w:jc w:val="right"/>
              <w:ind w:right="1112"/>
              <w:spacing w:after="0"/>
              <w:rPr>
                <w:sz w:val="20"/>
                <w:szCs w:val="20"/>
                <w:color w:val="auto"/>
              </w:rPr>
            </w:pPr>
            <w:r>
              <w:rPr>
                <w:rFonts w:ascii="Arial" w:cs="Arial" w:eastAsia="Arial" w:hAnsi="Arial"/>
                <w:sz w:val="14"/>
                <w:szCs w:val="14"/>
                <w:b w:val="1"/>
                <w:bCs w:val="1"/>
                <w:color w:val="auto"/>
              </w:rPr>
              <w:t>Grant</w:t>
            </w:r>
          </w:p>
        </w:tc>
        <w:tc>
          <w:tcPr>
            <w:tcW w:w="2120" w:type="dxa"/>
            <w:vAlign w:val="bottom"/>
          </w:tcPr>
          <w:p>
            <w:pPr>
              <w:jc w:val="right"/>
              <w:ind w:right="692"/>
              <w:spacing w:after="0"/>
              <w:rPr>
                <w:sz w:val="20"/>
                <w:szCs w:val="20"/>
                <w:color w:val="auto"/>
              </w:rPr>
            </w:pPr>
            <w:r>
              <w:rPr>
                <w:rFonts w:ascii="Arial" w:cs="Arial" w:eastAsia="Arial" w:hAnsi="Arial"/>
                <w:sz w:val="14"/>
                <w:szCs w:val="14"/>
                <w:b w:val="1"/>
                <w:bCs w:val="1"/>
                <w:color w:val="auto"/>
              </w:rPr>
              <w:t>Expiration</w:t>
            </w:r>
          </w:p>
        </w:tc>
      </w:t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Options</w:t>
            </w: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w:t>
            </w:r>
          </w:p>
        </w:tc>
        <w:tc>
          <w:tcPr>
            <w:tcW w:w="238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b w:val="1"/>
                <w:bCs w:val="1"/>
                <w:color w:val="auto"/>
              </w:rPr>
              <w:t>Date</w:t>
            </w:r>
          </w:p>
        </w:tc>
        <w:tc>
          <w:tcPr>
            <w:tcW w:w="212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Date</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100,000</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2.00</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February 9, 2016</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February 9, 2026</w:t>
            </w:r>
          </w:p>
        </w:tc>
      </w:tr>
      <w:tr>
        <w:trPr>
          <w:trHeight w:val="263"/>
        </w:trPr>
        <w:tc>
          <w:tcPr>
            <w:tcW w:w="3480" w:type="dxa"/>
            <w:vAlign w:val="bottom"/>
          </w:tcPr>
          <w:p>
            <w:pPr>
              <w:spacing w:after="0"/>
              <w:rPr>
                <w:sz w:val="22"/>
                <w:szCs w:val="22"/>
                <w:color w:val="auto"/>
              </w:rPr>
            </w:pP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100,000</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3.30</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February 9, 2016</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February 9, 2026</w:t>
            </w:r>
          </w:p>
        </w:tc>
      </w:tr>
      <w:tr>
        <w:trPr>
          <w:trHeight w:val="277"/>
        </w:trPr>
        <w:tc>
          <w:tcPr>
            <w:tcW w:w="348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500,000</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1.80</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August 3, 2016</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August 3, 2026</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300,000</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2.04</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September 26, 2016</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September 26, 2026</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Kenneth Newman, M.D.</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60,000</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2.00</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February 9, 2016</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February 9, 2026</w:t>
            </w:r>
          </w:p>
        </w:tc>
      </w:tr>
      <w:tr>
        <w:trPr>
          <w:trHeight w:val="263"/>
        </w:trPr>
        <w:tc>
          <w:tcPr>
            <w:tcW w:w="3480" w:type="dxa"/>
            <w:vAlign w:val="bottom"/>
          </w:tcPr>
          <w:p>
            <w:pPr>
              <w:spacing w:after="0"/>
              <w:rPr>
                <w:sz w:val="22"/>
                <w:szCs w:val="22"/>
                <w:color w:val="auto"/>
              </w:rPr>
            </w:pP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200,000</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1.80</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August 3, 2016</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August 3, 2026</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Peter Spargo, Ph.D.</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20,000</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2.00</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February 9, 2016</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February 9, 2026</w:t>
            </w:r>
          </w:p>
        </w:tc>
      </w:tr>
      <w:tr>
        <w:trPr>
          <w:trHeight w:val="263"/>
        </w:trPr>
        <w:tc>
          <w:tcPr>
            <w:tcW w:w="3480" w:type="dxa"/>
            <w:vAlign w:val="bottom"/>
          </w:tcPr>
          <w:p>
            <w:pPr>
              <w:spacing w:after="0"/>
              <w:rPr>
                <w:sz w:val="22"/>
                <w:szCs w:val="22"/>
                <w:color w:val="auto"/>
              </w:rPr>
            </w:pP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100,000</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1.80</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August 3, 2016</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August 3, 2026</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200,000</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1.89</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September 13, 2016</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September 13, 2026</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Richard Hennings</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Humphrey</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David Ebsworth</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Anders Ullman</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Ken Cunningham</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Rishi Gupta</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Mahendra Shah</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Vikas Sinha</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color w:val="auto"/>
              </w:rPr>
              <w:t>Andrew Sinclair</w:t>
            </w:r>
          </w:p>
        </w:tc>
        <w:tc>
          <w:tcPr>
            <w:tcW w:w="2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65"/>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2017 Incentive Plan</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69"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We have adopted the 2017 Incentive Plan, under which we may grant cash and equity</w:t>
      </w:r>
      <w:r>
        <w:rPr>
          <w:rFonts w:ascii="MS PGothic" w:cs="MS PGothic" w:eastAsia="MS PGothic" w:hAnsi="MS PGothic"/>
          <w:sz w:val="18"/>
          <w:szCs w:val="18"/>
          <w:color w:val="auto"/>
        </w:rPr>
        <w:t>‑</w:t>
      </w:r>
      <w:r>
        <w:rPr>
          <w:rFonts w:ascii="Arial" w:cs="Arial" w:eastAsia="Arial" w:hAnsi="Arial"/>
          <w:sz w:val="18"/>
          <w:szCs w:val="18"/>
          <w:color w:val="auto"/>
        </w:rPr>
        <w:t>based incentive awards to eligible service providers in order to attract, retain and motivate the persons who make important contributions to us. The material terms of the 2017 Incentive Plan are summarized below. Except where the context indicates otherwise, references hereunder to our ordinary shares shall be deemed to include a number of ADSs equal to an ordinary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Administration</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employees, consultants and directors, and employees and consultants of our subsidiaries, are eligible to receive awards under the 2017 Incentive Plan. The 2017 Incentive Plan is administered by our board of directors, which may delegate its duties and responsibilities to one or more committees of our directors and/or officers (referred to collectively as the plan administrator below), subject to the limitations imposed under the 2017 Incentive Plan, stock exchange rules and other applicable laws. The plan administrator has the authority to take all actions and make all determinations under the 2017 Incentive Plan, to interpret the 2017 Incentive Plan and award agreements and to adopt, amend and repeal rules for the administration of the 2017 Incentive Plan as it deems advisable. The plan administrator also has the authority to determine which eligible service providers receive awards, grant awards, set the terms and conditions of all awards under the 2017 Incentive Plan, including any vesting and vesting acceleration provisions, and designate whether such awards will cover our ordinary shares or ADSs, subject to the conditions and limitations in the 2017 Incentive Plan.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Sub-Plan</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2017 Incentive Plan authorized the administrator to establish one or more sub-plans. Immediately after the 2017 Incentive Plan had been established, the administrator established a sub-plan. The sub-plan incorporated all of the terms of the 2017 Incentive Plan, except that only employees of ours (or our subsidiaries) were eligible to receive awards under the sub-plan. Awards under the sub-plan counted towards the total number of shares available for issuance under the 2017 Incentive Plan. The sub-plan is an "employees' share scheme" for the purposes of the UK Companies Act 2006.</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17"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aggregate of 6,333,000 of our ordinary shares were initially made available for issuance under the 2017 Incentive Plan. The number of shares initially available for issuance will be increased by an annual increase on January 1 of each calendar year beginning in 2018 and ending in and including 2027 equal to the least of (A) 4% of our ordinary shares outstanding on the final day of the immediately preceding calendar year and (B) a smaller number of shares determined by our board of directors. Pursuant to the terms of the 2017 Incentive Plan, awards may be issued under the 2017 Incentive Plan covering ADSs in lieu of the number of our ordinary shares that such ADSs represent. No more than 5,000,000 shares may be issued under the 2017 Incentive Plan upon the exercise of incentive options. Shares issued under the 2017 Incentive Plan may be authorized but unissued shares, shares purchased on the open market, treasury shares or ADSs.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an award under the 2017 Incentive Plan, the EMI Option Scheme, the Unapproved Share Option Scheme or any prior equity incentive plan, expires, lapses or is terminated, exchanged for cash, surrendered, repurchased, canceled without having been fully exercised or forfeited, any unused shares subject to the award will, as applicable, become or again be available for new grants under the 2017 Incentive Plan. Awards granted under the 2017 Incentive Plan in substitution for any options or other equity or equity-based awards granted by an entity before the entity's merger or consolidation with us or our acquisition of the entity's property or stock will not reduce the shares available for grant under the 2017 Incentive Plan, but will count against the maximum number of shares that may be issued upon the exercise of incentive options.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2017 Incentive Plan provides for the grant of options, share appreciation rights, or SARs, restricted shares, dividend equivalents, restricted share units, or RSUs, and other share or cash based awards. All awards under the 2017 Incentive Plan will be set forth in award agreements, which will detail the terms and conditions of awards, including any applicable vesting and payment terms and post-termination exercise limitations. A brief description of each award type follows.</w:t>
      </w:r>
    </w:p>
    <w:p>
      <w:pPr>
        <w:spacing w:after="0" w:line="24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Options and SARs. </w:t>
      </w:r>
      <w:r>
        <w:rPr>
          <w:rFonts w:ascii="Arial" w:cs="Arial" w:eastAsia="Arial" w:hAnsi="Arial"/>
          <w:sz w:val="18"/>
          <w:szCs w:val="18"/>
          <w:color w:val="auto"/>
        </w:rPr>
        <w:t>Options provide for the purchase of our ordinary shares in the future at an exercise price set on the grant date. SARs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w:t>
      </w:r>
    </w:p>
    <w:p>
      <w:pPr>
        <w:spacing w:after="0" w:line="23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Restricted Shares and Restricted Share Units. </w:t>
      </w:r>
      <w:r>
        <w:rPr>
          <w:rFonts w:ascii="Arial" w:cs="Arial" w:eastAsia="Arial" w:hAnsi="Arial"/>
          <w:sz w:val="18"/>
          <w:szCs w:val="18"/>
          <w:color w:val="auto"/>
        </w:rPr>
        <w:t>Restricted shares are an award of nontransferable ordinary shares that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which may be subject to a purchase price. RSUs are contractual promises to deliver our ordinary shares in the future, which may also remain forfeitable unless and until specified conditions are met and may be accompanied by the right to receive the equivalent value of dividends paid on our ordinary shares prior to the delivery of the underlying shares. The plan administrator may provide that the delivery of the shares underlying RSUs will be deferred on a mandatory basis or at the election of the participant. The terms and conditions applicable to restricted shares and RSUs will be determined by the plan administrator, subject to the conditions and limitations contained in the 2017 Incentive Plan.</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Other Share or Cash Based Awards. </w:t>
      </w:r>
      <w:r>
        <w:rPr>
          <w:rFonts w:ascii="Arial" w:cs="Arial" w:eastAsia="Arial" w:hAnsi="Arial"/>
          <w:sz w:val="18"/>
          <w:szCs w:val="18"/>
          <w:color w:val="auto"/>
        </w:rPr>
        <w:t>Other share or cash based awards are awards of cash, fully-vested our ordinary shares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valued wholly or partially by referring to, or otherwise based on, our ordinary shares or other property. Other share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share or cash based awards, which may include any purchase price, performance goal, transfer restrictions and vesting conditions.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plan administrator may select performance criteria for an award to establish performance goals for a performance period. Performance criteria under the 2017 Incentive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95" w:right="259" w:bottom="1440" w:gutter="0" w:footer="0" w:header="0"/>
        </w:sectPr>
      </w:pPr>
    </w:p>
    <w:bookmarkStart w:id="107" w:name="page108"/>
    <w:bookmarkEnd w:id="107"/>
    <w:p>
      <w:pPr>
        <w:spacing w:after="0" w:line="251" w:lineRule="auto"/>
        <w:rPr>
          <w:sz w:val="20"/>
          <w:szCs w:val="20"/>
          <w:color w:val="auto"/>
        </w:rPr>
      </w:pPr>
      <w:r>
        <w:rPr>
          <w:rFonts w:ascii="Arial" w:cs="Arial" w:eastAsia="Arial" w:hAnsi="Arial"/>
          <w:sz w:val="18"/>
          <w:szCs w:val="18"/>
          <w:color w:val="auto"/>
        </w:rPr>
        <w:t>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certain corporate transactions and events affecting our ordinary shares, including a change in control, another similar corporate transaction or event, another unusual or nonrecurring transaction or event affecting us or its financial statements or change in any applicable laws or accounting principles, the plan administrator has broad discretion to take action under the 2017 Incentive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Incentive Plan and replacing or terminating awards under the 2017 Incentive Plan. In addition, in the event of certain non-reciprocal transactions with our shareholders, the plan administrator will make equitable adjustments to the 2017 Incentive Plan and outstanding awards as it deems appropriate to reflect the transaction. Pursuant to the terms of their individual employment agreements, awards granted under the 2017 Incentive Plan to certain of our executives may become fully vested and exercisable upon a change in control.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3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may amend or terminate the 2017 Incentive Plan at any time; however, no amendment, other than an amendment that increases the number of shares available under the 2017 Incentive Plan, may materially and adversely affect an award outstanding under the 2017 Incentive Plan without the consent of the affected participant and shareholder approval will be obtained for any amendment to the extent necessary to comply with applicable laws. Further, the plan administrator cannot, without the approval of our shareholders, amend any outstanding option or SAR to reduce its price per share or cancel any outstanding option or SAR in exchange for cash or another award under the 2017 Incentive Plan with an exercise price per share that is less than the exercise price per share of the original option or SAR. The 2017 Incentive Plan will remain in effect until the tenth anniversary of its effective date unless earlier terminated by our board of directors. No awards may be granted under the 2017 Incentive Plan after its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Participants, Claw-Back Provisions, Transferability and Participant Payments</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plan administrator may modify awards granted to participants who are non-U.S.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Incentive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Incentive Plan, and exercise price obligations arising in connection with the exercise of options under the 2017 Incentive Plan, the plan administrator may, in its discretion, accept cash, wire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17" w:right="239" w:bottom="1440" w:gutter="0" w:footer="0" w:header="0"/>
        </w:sectPr>
      </w:pPr>
    </w:p>
    <w:bookmarkStart w:id="108" w:name="page109"/>
    <w:bookmarkEnd w:id="108"/>
    <w:p>
      <w:pPr>
        <w:ind w:right="40"/>
        <w:spacing w:after="0" w:line="262" w:lineRule="auto"/>
        <w:rPr>
          <w:sz w:val="20"/>
          <w:szCs w:val="20"/>
          <w:color w:val="auto"/>
        </w:rPr>
      </w:pPr>
      <w:r>
        <w:rPr>
          <w:rFonts w:ascii="Arial" w:cs="Arial" w:eastAsia="Arial" w:hAnsi="Arial"/>
          <w:sz w:val="18"/>
          <w:szCs w:val="18"/>
          <w:color w:val="auto"/>
        </w:rPr>
        <w:t>transfer or cheque, our ordinary shares that meet specified conditions, a promissory note, a "market sell order," such other consideration as the plan administrator deems suitable or any combination of the foregoing.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options that we granted to our directors and executive officers under the 2017 Incentive Plan in 2017:</w:t>
      </w: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080" w:type="dxa"/>
            <w:vAlign w:val="bottom"/>
          </w:tcPr>
          <w:p>
            <w:pPr>
              <w:jc w:val="center"/>
              <w:ind w:left="74"/>
              <w:spacing w:after="0"/>
              <w:rPr>
                <w:sz w:val="20"/>
                <w:szCs w:val="20"/>
                <w:color w:val="auto"/>
              </w:rPr>
            </w:pPr>
            <w:r>
              <w:rPr>
                <w:rFonts w:ascii="Arial" w:cs="Arial" w:eastAsia="Arial" w:hAnsi="Arial"/>
                <w:sz w:val="14"/>
                <w:szCs w:val="14"/>
                <w:b w:val="1"/>
                <w:bCs w:val="1"/>
                <w:color w:val="auto"/>
              </w:rPr>
              <w:t>Ordinary</w:t>
            </w:r>
          </w:p>
        </w:tc>
        <w:tc>
          <w:tcPr>
            <w:tcW w:w="1520" w:type="dxa"/>
            <w:vAlign w:val="bottom"/>
          </w:tcPr>
          <w:p>
            <w:pPr>
              <w:jc w:val="center"/>
              <w:ind w:right="374"/>
              <w:spacing w:after="0"/>
              <w:rPr>
                <w:sz w:val="20"/>
                <w:szCs w:val="20"/>
                <w:color w:val="auto"/>
              </w:rPr>
            </w:pPr>
            <w:r>
              <w:rPr>
                <w:rFonts w:ascii="Arial" w:cs="Arial" w:eastAsia="Arial" w:hAnsi="Arial"/>
                <w:sz w:val="14"/>
                <w:szCs w:val="14"/>
                <w:b w:val="1"/>
                <w:bCs w:val="1"/>
                <w:color w:val="auto"/>
              </w:rPr>
              <w:t>Exercise</w:t>
            </w: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080" w:type="dxa"/>
            <w:vAlign w:val="bottom"/>
          </w:tcPr>
          <w:p>
            <w:pPr>
              <w:jc w:val="center"/>
              <w:ind w:left="74"/>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center"/>
              <w:ind w:right="374"/>
              <w:spacing w:after="0"/>
              <w:rPr>
                <w:sz w:val="20"/>
                <w:szCs w:val="20"/>
                <w:color w:val="auto"/>
              </w:rPr>
            </w:pPr>
            <w:r>
              <w:rPr>
                <w:rFonts w:ascii="Arial" w:cs="Arial" w:eastAsia="Arial" w:hAnsi="Arial"/>
                <w:sz w:val="14"/>
                <w:szCs w:val="14"/>
                <w:b w:val="1"/>
                <w:bCs w:val="1"/>
                <w:color w:val="auto"/>
                <w:w w:val="99"/>
              </w:rPr>
              <w:t>Price</w:t>
            </w: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080" w:type="dxa"/>
            <w:vAlign w:val="bottom"/>
          </w:tcPr>
          <w:p>
            <w:pPr>
              <w:jc w:val="center"/>
              <w:ind w:left="94"/>
              <w:spacing w:after="0"/>
              <w:rPr>
                <w:sz w:val="20"/>
                <w:szCs w:val="20"/>
                <w:color w:val="auto"/>
              </w:rPr>
            </w:pPr>
            <w:r>
              <w:rPr>
                <w:rFonts w:ascii="Arial" w:cs="Arial" w:eastAsia="Arial" w:hAnsi="Arial"/>
                <w:sz w:val="14"/>
                <w:szCs w:val="14"/>
                <w:b w:val="1"/>
                <w:bCs w:val="1"/>
                <w:color w:val="auto"/>
              </w:rPr>
              <w:t>Underlying</w:t>
            </w:r>
          </w:p>
        </w:tc>
        <w:tc>
          <w:tcPr>
            <w:tcW w:w="1520" w:type="dxa"/>
            <w:vAlign w:val="bottom"/>
          </w:tcPr>
          <w:p>
            <w:pPr>
              <w:jc w:val="center"/>
              <w:ind w:right="374"/>
              <w:spacing w:after="0"/>
              <w:rPr>
                <w:sz w:val="20"/>
                <w:szCs w:val="20"/>
                <w:color w:val="auto"/>
              </w:rPr>
            </w:pPr>
            <w:r>
              <w:rPr>
                <w:rFonts w:ascii="Arial" w:cs="Arial" w:eastAsia="Arial" w:hAnsi="Arial"/>
                <w:sz w:val="14"/>
                <w:szCs w:val="14"/>
                <w:b w:val="1"/>
                <w:bCs w:val="1"/>
                <w:color w:val="auto"/>
              </w:rPr>
              <w:t>Per Share</w:t>
            </w:r>
          </w:p>
        </w:tc>
        <w:tc>
          <w:tcPr>
            <w:tcW w:w="2320" w:type="dxa"/>
            <w:vAlign w:val="bottom"/>
          </w:tcPr>
          <w:p>
            <w:pPr>
              <w:jc w:val="right"/>
              <w:ind w:right="1272"/>
              <w:spacing w:after="0"/>
              <w:rPr>
                <w:sz w:val="20"/>
                <w:szCs w:val="20"/>
                <w:color w:val="auto"/>
              </w:rPr>
            </w:pPr>
            <w:r>
              <w:rPr>
                <w:rFonts w:ascii="Arial" w:cs="Arial" w:eastAsia="Arial" w:hAnsi="Arial"/>
                <w:sz w:val="14"/>
                <w:szCs w:val="14"/>
                <w:b w:val="1"/>
                <w:bCs w:val="1"/>
                <w:color w:val="auto"/>
              </w:rPr>
              <w:t>Grant</w:t>
            </w:r>
          </w:p>
        </w:tc>
        <w:tc>
          <w:tcPr>
            <w:tcW w:w="1960" w:type="dxa"/>
            <w:vAlign w:val="bottom"/>
          </w:tcPr>
          <w:p>
            <w:pPr>
              <w:jc w:val="right"/>
              <w:ind w:right="692"/>
              <w:spacing w:after="0"/>
              <w:rPr>
                <w:sz w:val="20"/>
                <w:szCs w:val="20"/>
                <w:color w:val="auto"/>
              </w:rPr>
            </w:pPr>
            <w:r>
              <w:rPr>
                <w:rFonts w:ascii="Arial" w:cs="Arial" w:eastAsia="Arial" w:hAnsi="Arial"/>
                <w:sz w:val="14"/>
                <w:szCs w:val="14"/>
                <w:b w:val="1"/>
                <w:bCs w:val="1"/>
                <w:color w:val="auto"/>
              </w:rPr>
              <w:t>Expiration</w:t>
            </w: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8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rPr>
              <w:t>Options</w:t>
            </w:r>
          </w:p>
        </w:tc>
        <w:tc>
          <w:tcPr>
            <w:tcW w:w="152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right"/>
              <w:ind w:right="1312"/>
              <w:spacing w:after="0"/>
              <w:rPr>
                <w:sz w:val="20"/>
                <w:szCs w:val="20"/>
                <w:color w:val="auto"/>
              </w:rPr>
            </w:pPr>
            <w:r>
              <w:rPr>
                <w:rFonts w:ascii="Arial" w:cs="Arial" w:eastAsia="Arial" w:hAnsi="Arial"/>
                <w:sz w:val="14"/>
                <w:szCs w:val="14"/>
                <w:b w:val="1"/>
                <w:bCs w:val="1"/>
                <w:color w:val="auto"/>
              </w:rPr>
              <w:t>Date</w:t>
            </w:r>
          </w:p>
        </w:tc>
        <w:tc>
          <w:tcPr>
            <w:tcW w:w="196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Date</w:t>
            </w:r>
          </w:p>
        </w:tc>
      </w:tr>
      <w:tr>
        <w:trPr>
          <w:trHeight w:val="27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Jan-Anders Karlsson, Ph.D., M.D.</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1,385,598</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Piers Morgan</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802,690</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tcPr>
          <w:p>
            <w:pPr>
              <w:jc w:val="right"/>
              <w:spacing w:after="0"/>
              <w:rPr>
                <w:sz w:val="20"/>
                <w:szCs w:val="20"/>
                <w:color w:val="auto"/>
              </w:rPr>
            </w:pPr>
            <w:r>
              <w:rPr>
                <w:rFonts w:ascii="Arial" w:cs="Arial" w:eastAsia="Arial" w:hAnsi="Arial"/>
                <w:sz w:val="18"/>
                <w:szCs w:val="18"/>
                <w:color w:val="auto"/>
              </w:rPr>
              <w:t>April 26, 2027</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Kenneth Newman, M.D.</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796,128</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Peter Spargo, Ph.D.</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544,681</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tcPr>
          <w:p>
            <w:pPr>
              <w:jc w:val="right"/>
              <w:spacing w:after="0"/>
              <w:rPr>
                <w:sz w:val="20"/>
                <w:szCs w:val="20"/>
                <w:color w:val="auto"/>
              </w:rPr>
            </w:pPr>
            <w:r>
              <w:rPr>
                <w:rFonts w:ascii="Arial" w:cs="Arial" w:eastAsia="Arial" w:hAnsi="Arial"/>
                <w:sz w:val="18"/>
                <w:szCs w:val="18"/>
                <w:color w:val="auto"/>
              </w:rPr>
              <w:t>April 26, 2027</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Claire Poll</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487,347</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Richard Hennings</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160,000</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tcPr>
          <w:p>
            <w:pPr>
              <w:jc w:val="right"/>
              <w:spacing w:after="0"/>
              <w:rPr>
                <w:sz w:val="20"/>
                <w:szCs w:val="20"/>
                <w:color w:val="auto"/>
              </w:rPr>
            </w:pPr>
            <w:r>
              <w:rPr>
                <w:rFonts w:ascii="Arial" w:cs="Arial" w:eastAsia="Arial" w:hAnsi="Arial"/>
                <w:sz w:val="18"/>
                <w:szCs w:val="18"/>
                <w:color w:val="auto"/>
              </w:rPr>
              <w:t>April 26, 2027</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Desiree Luthman</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160,000</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Vikas Sinha</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120,384</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1.32</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April 26, 2017</w:t>
            </w:r>
          </w:p>
        </w:tc>
        <w:tc>
          <w:tcPr>
            <w:tcW w:w="1960" w:type="dxa"/>
            <w:vAlign w:val="bottom"/>
          </w:tcPr>
          <w:p>
            <w:pPr>
              <w:jc w:val="right"/>
              <w:spacing w:after="0"/>
              <w:rPr>
                <w:sz w:val="20"/>
                <w:szCs w:val="20"/>
                <w:color w:val="auto"/>
              </w:rPr>
            </w:pPr>
            <w:r>
              <w:rPr>
                <w:rFonts w:ascii="Arial" w:cs="Arial" w:eastAsia="Arial" w:hAnsi="Arial"/>
                <w:sz w:val="18"/>
                <w:szCs w:val="18"/>
                <w:color w:val="auto"/>
              </w:rPr>
              <w:t>April 26, 2027</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Ebsworth</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Anders Ullman</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 Cunningham</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Rishi Gupta</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Mahendra Shah</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80" w:type="dxa"/>
            <w:vAlign w:val="bottom"/>
          </w:tcPr>
          <w:p>
            <w:pPr>
              <w:ind w:left="20"/>
              <w:spacing w:after="0"/>
              <w:rPr>
                <w:sz w:val="20"/>
                <w:szCs w:val="20"/>
                <w:color w:val="auto"/>
              </w:rPr>
            </w:pPr>
            <w:r>
              <w:rPr>
                <w:rFonts w:ascii="Arial" w:cs="Arial" w:eastAsia="Arial" w:hAnsi="Arial"/>
                <w:sz w:val="18"/>
                <w:szCs w:val="18"/>
                <w:color w:val="auto"/>
              </w:rPr>
              <w:t>Andrew Sinclair</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RSUs that we granted to our directors and executive officers under the 2017 Incentive Plan in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5180" w:type="dxa"/>
            <w:vAlign w:val="bottom"/>
          </w:tcPr>
          <w:p>
            <w:pPr>
              <w:jc w:val="right"/>
              <w:ind w:right="532"/>
              <w:spacing w:after="0"/>
              <w:rPr>
                <w:sz w:val="20"/>
                <w:szCs w:val="20"/>
                <w:color w:val="auto"/>
              </w:rPr>
            </w:pPr>
            <w:r>
              <w:rPr>
                <w:rFonts w:ascii="Arial" w:cs="Arial" w:eastAsia="Arial" w:hAnsi="Arial"/>
                <w:sz w:val="14"/>
                <w:szCs w:val="14"/>
                <w:b w:val="1"/>
                <w:bCs w:val="1"/>
                <w:color w:val="auto"/>
              </w:rPr>
              <w:t>Restricted</w:t>
            </w:r>
          </w:p>
        </w:tc>
      </w:tr>
      <w:tr>
        <w:trPr>
          <w:trHeight w:val="196"/>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5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 Units Granted</w:t>
            </w:r>
          </w:p>
        </w:tc>
      </w:tr>
      <w:tr>
        <w:trPr>
          <w:trHeight w:val="25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346,395</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200,669</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Kenneth Newman, M.D.</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199,016</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Peter Spargo, Ph.D.</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136,168</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121,835</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Richard Hennings</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48,153</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Ebsworth</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Anders Ullman</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 Cunningham</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Rishi Gupta</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Vikas Sinha</w:t>
            </w:r>
          </w:p>
        </w:tc>
        <w:tc>
          <w:tcPr>
            <w:tcW w:w="5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Andrew Sinclair</w:t>
            </w:r>
          </w:p>
        </w:tc>
        <w:tc>
          <w:tcPr>
            <w:tcW w:w="5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options and RSUs (other than those granted to Messrs. Hennings and Sinha) vest as to 50% of the ordinary shares in three substantially equal annual installments following the grant date and as to 50% of the ordinary shares in four substantially equal annual installments following the grant date. The options and RSUs granted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17" w:right="239" w:bottom="1440" w:gutter="0" w:footer="0" w:header="0"/>
        </w:sectPr>
      </w:pPr>
    </w:p>
    <w:bookmarkStart w:id="109" w:name="page110"/>
    <w:bookmarkEnd w:id="109"/>
    <w:p>
      <w:pPr>
        <w:ind w:right="600"/>
        <w:spacing w:after="0" w:line="262" w:lineRule="auto"/>
        <w:rPr>
          <w:sz w:val="20"/>
          <w:szCs w:val="20"/>
          <w:color w:val="auto"/>
        </w:rPr>
      </w:pPr>
      <w:r>
        <w:rPr>
          <w:rFonts w:ascii="Arial" w:cs="Arial" w:eastAsia="Arial" w:hAnsi="Arial"/>
          <w:sz w:val="18"/>
          <w:szCs w:val="18"/>
          <w:color w:val="auto"/>
        </w:rPr>
        <w:t>Messrs. Hennings and Sinha vest in three substantially equal annual installments following the grant date. This description relates to the options and RSUs granted in connection with the global offering.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 Remuneration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remuneration paid during 2017 to our current non-employee directors: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4960" w:type="dxa"/>
            <w:vAlign w:val="bottom"/>
          </w:tcPr>
          <w:p>
            <w:pPr>
              <w:jc w:val="center"/>
              <w:ind w:left="2815"/>
              <w:spacing w:after="0"/>
              <w:rPr>
                <w:sz w:val="20"/>
                <w:szCs w:val="20"/>
                <w:color w:val="auto"/>
              </w:rPr>
            </w:pPr>
            <w:r>
              <w:rPr>
                <w:rFonts w:ascii="Arial" w:cs="Arial" w:eastAsia="Arial" w:hAnsi="Arial"/>
                <w:sz w:val="14"/>
                <w:szCs w:val="14"/>
                <w:b w:val="1"/>
                <w:bCs w:val="1"/>
                <w:color w:val="auto"/>
              </w:rPr>
              <w:t>Annual</w:t>
            </w:r>
          </w:p>
        </w:tc>
        <w:tc>
          <w:tcPr>
            <w:tcW w:w="13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4960" w:type="dxa"/>
            <w:vAlign w:val="bottom"/>
          </w:tcPr>
          <w:p>
            <w:pPr>
              <w:jc w:val="center"/>
              <w:ind w:left="2815"/>
              <w:spacing w:after="0"/>
              <w:rPr>
                <w:sz w:val="20"/>
                <w:szCs w:val="20"/>
                <w:color w:val="auto"/>
              </w:rPr>
            </w:pPr>
            <w:r>
              <w:rPr>
                <w:rFonts w:ascii="Arial" w:cs="Arial" w:eastAsia="Arial" w:hAnsi="Arial"/>
                <w:sz w:val="14"/>
                <w:szCs w:val="14"/>
                <w:b w:val="1"/>
                <w:bCs w:val="1"/>
                <w:color w:val="auto"/>
              </w:rPr>
              <w:t>Fees</w:t>
            </w:r>
          </w:p>
        </w:tc>
        <w:tc>
          <w:tcPr>
            <w:tcW w:w="130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960" w:type="dxa"/>
            <w:vAlign w:val="bottom"/>
            <w:tcBorders>
              <w:bottom w:val="single" w:sz="8" w:color="auto"/>
            </w:tcBorders>
          </w:tcPr>
          <w:p>
            <w:pPr>
              <w:jc w:val="center"/>
              <w:ind w:left="2815"/>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Ebsworth</w:t>
            </w:r>
          </w:p>
        </w:tc>
        <w:tc>
          <w:tcPr>
            <w:tcW w:w="49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108,000</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108,000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Anders Ullman</w:t>
            </w:r>
          </w:p>
        </w:tc>
        <w:tc>
          <w:tcPr>
            <w:tcW w:w="4960" w:type="dxa"/>
            <w:vAlign w:val="bottom"/>
          </w:tcPr>
          <w:p>
            <w:pPr>
              <w:jc w:val="right"/>
              <w:ind w:right="315"/>
              <w:spacing w:after="0"/>
              <w:rPr>
                <w:sz w:val="20"/>
                <w:szCs w:val="20"/>
                <w:color w:val="auto"/>
              </w:rPr>
            </w:pPr>
            <w:r>
              <w:rPr>
                <w:rFonts w:ascii="Arial" w:cs="Arial" w:eastAsia="Arial" w:hAnsi="Arial"/>
                <w:sz w:val="18"/>
                <w:szCs w:val="18"/>
                <w:color w:val="auto"/>
              </w:rPr>
              <w:t>30,000</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30,000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 Cunningham</w:t>
            </w:r>
          </w:p>
        </w:tc>
        <w:tc>
          <w:tcPr>
            <w:tcW w:w="49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40,000</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40,000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Rishi Gupta</w:t>
            </w:r>
          </w:p>
        </w:tc>
        <w:tc>
          <w:tcPr>
            <w:tcW w:w="4960" w:type="dxa"/>
            <w:vAlign w:val="bottom"/>
          </w:tcPr>
          <w:p>
            <w:pPr>
              <w:jc w:val="right"/>
              <w:ind w:right="315"/>
              <w:spacing w:after="0"/>
              <w:rPr>
                <w:sz w:val="20"/>
                <w:szCs w:val="20"/>
                <w:color w:val="auto"/>
              </w:rPr>
            </w:pPr>
            <w:r>
              <w:rPr>
                <w:rFonts w:ascii="Arial" w:cs="Arial" w:eastAsia="Arial" w:hAnsi="Arial"/>
                <w:sz w:val="18"/>
                <w:szCs w:val="18"/>
                <w:color w:val="auto"/>
              </w:rPr>
              <w:t>30,000</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30,000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w:t>
            </w:r>
          </w:p>
        </w:tc>
        <w:tc>
          <w:tcPr>
            <w:tcW w:w="49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30,000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Vikas Sinha</w:t>
            </w:r>
          </w:p>
        </w:tc>
        <w:tc>
          <w:tcPr>
            <w:tcW w:w="4960" w:type="dxa"/>
            <w:vAlign w:val="bottom"/>
          </w:tcPr>
          <w:p>
            <w:pPr>
              <w:jc w:val="right"/>
              <w:ind w:right="315"/>
              <w:spacing w:after="0"/>
              <w:rPr>
                <w:sz w:val="20"/>
                <w:szCs w:val="20"/>
                <w:color w:val="auto"/>
              </w:rPr>
            </w:pPr>
            <w:r>
              <w:rPr>
                <w:rFonts w:ascii="Arial" w:cs="Arial" w:eastAsia="Arial" w:hAnsi="Arial"/>
                <w:sz w:val="18"/>
                <w:szCs w:val="18"/>
                <w:color w:val="auto"/>
              </w:rPr>
              <w:t>42,000</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42,000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Andrew Sinclair</w:t>
            </w:r>
          </w:p>
        </w:tc>
        <w:tc>
          <w:tcPr>
            <w:tcW w:w="49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30,000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Patrick Humphrey</w:t>
            </w:r>
          </w:p>
        </w:tc>
        <w:tc>
          <w:tcPr>
            <w:tcW w:w="4960" w:type="dxa"/>
            <w:vAlign w:val="bottom"/>
          </w:tcPr>
          <w:p>
            <w:pPr>
              <w:jc w:val="right"/>
              <w:ind w:right="315"/>
              <w:spacing w:after="0"/>
              <w:rPr>
                <w:sz w:val="20"/>
                <w:szCs w:val="20"/>
                <w:color w:val="auto"/>
              </w:rPr>
            </w:pPr>
            <w:r>
              <w:rPr>
                <w:rFonts w:ascii="Arial" w:cs="Arial" w:eastAsia="Arial" w:hAnsi="Arial"/>
                <w:sz w:val="18"/>
                <w:szCs w:val="18"/>
                <w:color w:val="auto"/>
              </w:rPr>
              <w:t>8,750</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8,750</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30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operate a defined contribution pension scheme which is available to all UK employees. The total amount set aside or accrued by us to provide pension, retirement or similar benefits to our current directors and our executive officers with respect to 2017 was £41,671, which represents contributions made by us in 2017 in respect of a defined contribution scheme in which Dr. Karlsson, Ms. Poll, Mr. Hennings and Mr. Morgan participated.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Board is comprised of eight members. In accordance with our Articles of Association, one third of our directors retire from office at every annual general meeting of shareholders. Retiring directors are eligible for re-election and, if no other director is elected to fill his or her position and the director is willing, shall be re-elected by default.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expiration of the current terms of the members of our board of directors and the period each member has served in that term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4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Year Current Term Began</w:t>
            </w:r>
          </w:p>
        </w:tc>
        <w:tc>
          <w:tcPr>
            <w:tcW w:w="1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Next year of re-election</w:t>
            </w:r>
          </w:p>
        </w:tc>
      </w:tr>
      <w:tr>
        <w:trPr>
          <w:trHeight w:val="21"/>
        </w:trPr>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Jan-Anders Karlsson, Ph.D.</w:t>
            </w:r>
          </w:p>
        </w:tc>
        <w:tc>
          <w:tcPr>
            <w:tcW w:w="4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2012</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r>
      <w:tr>
        <w:trPr>
          <w:trHeight w:val="250"/>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David Ebsworth, Ph.D.</w:t>
            </w:r>
          </w:p>
        </w:tc>
        <w:tc>
          <w:tcPr>
            <w:tcW w:w="4640" w:type="dxa"/>
            <w:vAlign w:val="bottom"/>
            <w:gridSpan w:val="3"/>
          </w:tcPr>
          <w:p>
            <w:pPr>
              <w:jc w:val="right"/>
              <w:ind w:right="280"/>
              <w:spacing w:after="0"/>
              <w:rPr>
                <w:sz w:val="20"/>
                <w:szCs w:val="20"/>
                <w:color w:val="auto"/>
              </w:rPr>
            </w:pPr>
            <w:r>
              <w:rPr>
                <w:rFonts w:ascii="Arial" w:cs="Arial" w:eastAsia="Arial" w:hAnsi="Arial"/>
                <w:sz w:val="18"/>
                <w:szCs w:val="18"/>
                <w:color w:val="auto"/>
              </w:rPr>
              <w:t>2014</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2018</w:t>
            </w:r>
          </w:p>
        </w:tc>
      </w:tr>
      <w:tr>
        <w:trPr>
          <w:trHeight w:val="263"/>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Ken Cunningham, M.D.</w:t>
            </w:r>
          </w:p>
        </w:tc>
        <w:tc>
          <w:tcPr>
            <w:tcW w:w="4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2019</w:t>
            </w:r>
          </w:p>
        </w:tc>
      </w:tr>
      <w:tr>
        <w:trPr>
          <w:trHeight w:val="250"/>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Rishi Gupta</w:t>
            </w:r>
          </w:p>
        </w:tc>
        <w:tc>
          <w:tcPr>
            <w:tcW w:w="4640" w:type="dxa"/>
            <w:vAlign w:val="bottom"/>
            <w:gridSpan w:val="3"/>
          </w:tcPr>
          <w:p>
            <w:pPr>
              <w:jc w:val="right"/>
              <w:ind w:right="280"/>
              <w:spacing w:after="0"/>
              <w:rPr>
                <w:sz w:val="20"/>
                <w:szCs w:val="20"/>
                <w:color w:val="auto"/>
              </w:rPr>
            </w:pPr>
            <w:r>
              <w:rPr>
                <w:rFonts w:ascii="Arial" w:cs="Arial" w:eastAsia="Arial" w:hAnsi="Arial"/>
                <w:sz w:val="18"/>
                <w:szCs w:val="18"/>
                <w:color w:val="auto"/>
              </w:rPr>
              <w:t>2016</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2021</w:t>
            </w:r>
          </w:p>
        </w:tc>
      </w:tr>
      <w:tr>
        <w:trPr>
          <w:trHeight w:val="263"/>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Mahendra Shah, Ph.D.</w:t>
            </w:r>
          </w:p>
        </w:tc>
        <w:tc>
          <w:tcPr>
            <w:tcW w:w="4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r>
      <w:tr>
        <w:trPr>
          <w:trHeight w:val="250"/>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Andrew Sinclair, Ph.D.</w:t>
            </w:r>
          </w:p>
        </w:tc>
        <w:tc>
          <w:tcPr>
            <w:tcW w:w="4640" w:type="dxa"/>
            <w:vAlign w:val="bottom"/>
            <w:gridSpan w:val="3"/>
          </w:tcPr>
          <w:p>
            <w:pPr>
              <w:jc w:val="right"/>
              <w:ind w:right="280"/>
              <w:spacing w:after="0"/>
              <w:rPr>
                <w:sz w:val="20"/>
                <w:szCs w:val="20"/>
                <w:color w:val="auto"/>
              </w:rPr>
            </w:pPr>
            <w:r>
              <w:rPr>
                <w:rFonts w:ascii="Arial" w:cs="Arial" w:eastAsia="Arial" w:hAnsi="Arial"/>
                <w:sz w:val="18"/>
                <w:szCs w:val="18"/>
                <w:color w:val="auto"/>
              </w:rPr>
              <w:t>2016</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2019</w:t>
            </w:r>
          </w:p>
        </w:tc>
      </w:tr>
      <w:tr>
        <w:trPr>
          <w:trHeight w:val="263"/>
        </w:trPr>
        <w:tc>
          <w:tcPr>
            <w:tcW w:w="4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Vikas Sinha</w:t>
            </w:r>
          </w:p>
        </w:tc>
        <w:tc>
          <w:tcPr>
            <w:tcW w:w="4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2021</w:t>
            </w: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Anders Ullman, M.D., Ph.D.</w:t>
            </w:r>
          </w:p>
        </w:tc>
        <w:tc>
          <w:tcPr>
            <w:tcW w:w="4640" w:type="dxa"/>
            <w:vAlign w:val="bottom"/>
            <w:gridSpan w:val="3"/>
          </w:tcPr>
          <w:p>
            <w:pPr>
              <w:jc w:val="right"/>
              <w:ind w:right="280"/>
              <w:spacing w:after="0"/>
              <w:rPr>
                <w:sz w:val="20"/>
                <w:szCs w:val="20"/>
                <w:color w:val="auto"/>
              </w:rPr>
            </w:pPr>
            <w:r>
              <w:rPr>
                <w:rFonts w:ascii="Arial" w:cs="Arial" w:eastAsia="Arial" w:hAnsi="Arial"/>
                <w:sz w:val="18"/>
                <w:szCs w:val="18"/>
                <w:color w:val="auto"/>
              </w:rPr>
              <w:t>2015</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2018</w:t>
            </w: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382" w:right="239" w:bottom="1440" w:gutter="0" w:footer="0" w:header="0"/>
          <w:type w:val="continuous"/>
        </w:sectPr>
      </w:pPr>
    </w:p>
    <w:bookmarkStart w:id="110" w:name="page111"/>
    <w:bookmarkEnd w:id="110"/>
    <w:p>
      <w:pPr>
        <w:ind w:right="720"/>
        <w:spacing w:after="0" w:line="262" w:lineRule="auto"/>
        <w:rPr>
          <w:sz w:val="20"/>
          <w:szCs w:val="20"/>
          <w:color w:val="auto"/>
        </w:rPr>
      </w:pPr>
      <w:r>
        <w:rPr>
          <w:rFonts w:ascii="Arial" w:cs="Arial" w:eastAsia="Arial" w:hAnsi="Arial"/>
          <w:sz w:val="18"/>
          <w:szCs w:val="18"/>
          <w:color w:val="auto"/>
        </w:rPr>
        <w:t>There are no arrangements or understanding between us and any of the members of our board of directors providing for benefits upon termination of their service.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Our Board has three standing committees: an Audit Committee, a Remuneration Committee and a Nomination and Governance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193" w:lineRule="exact"/>
        <w:rPr>
          <w:sz w:val="20"/>
          <w:szCs w:val="20"/>
          <w:color w:val="auto"/>
        </w:rPr>
      </w:pPr>
    </w:p>
    <w:p>
      <w:pPr>
        <w:ind w:left="120" w:right="560"/>
        <w:spacing w:after="0" w:line="252" w:lineRule="auto"/>
        <w:rPr>
          <w:sz w:val="20"/>
          <w:szCs w:val="20"/>
          <w:color w:val="auto"/>
        </w:rPr>
      </w:pPr>
      <w:r>
        <w:rPr>
          <w:rFonts w:ascii="Arial" w:cs="Arial" w:eastAsia="Arial" w:hAnsi="Arial"/>
          <w:sz w:val="18"/>
          <w:szCs w:val="18"/>
          <w:color w:val="auto"/>
        </w:rPr>
        <w:t>The Audit Committee, which consists of Vikas Sinha, Dr. David Ebsworth and Dr. Andrew Sinclair , assists the Board in overseeing our accounting and financial reporting processes and the audits of our financial statements. Mr Sinha serves as Chairman of the Audit Committee. The Audit Committee consists of members of our Board who are financially literate and are also considered to be "audit committee financial experts" as defined by applicable SEC rules and have the requisite financial sophistication as defined under the applicable Nasdaq rules and regulations. Our Board has determined that all of the members of the Audit Committee satisfy the "independence" requirements set forth in Rule 10A-3 under the Exchange Act. The Audit Committee will be governed by a charter that complies with Nasdaq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responsibilities include:</w:t>
      </w:r>
    </w:p>
    <w:p>
      <w:pPr>
        <w:spacing w:after="0" w:line="9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the general meeting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the independent auditor;</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ind w:left="660" w:right="14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our Board on at least an annual basis;</w:t>
      </w:r>
    </w:p>
    <w:p>
      <w:pPr>
        <w:ind w:left="660" w:right="1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the executive officers, our Board and the independent auditor our financial statements and our financial reporting process; and</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considering and recommending to our Board whether the audited financial statements be approved.</w:t>
      </w:r>
    </w:p>
    <w:p>
      <w:pPr>
        <w:spacing w:after="0" w:line="90"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The Audit Committee will meet as often as one or more members of the Committee deem necessary, but in any event will meet at least four times per year. The Audit Committee will meet at least once per year with our independent auditor, without our executive officers being present.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 of the Board</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Remuneration Committee, which consists of Dr. Ken Cunningham, Dr. David Ebsworth and Rishi Gupta, assists the Board in determining directors’ and senior executives’ compensation. Dr Cunningham serves as Chairman of the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Committee's responsibilities include:</w:t>
      </w:r>
    </w:p>
    <w:p>
      <w:pPr>
        <w:spacing w:after="0" w:line="9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of the Company’s directors and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each executive officer's performance in light of such policies and reporting to the Board;</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analyzing the possible outcomes of the variable remuneration components and how they may affect the remuneration of the executive officers;</w:t>
      </w:r>
    </w:p>
    <w:p>
      <w:pPr>
        <w:ind w:left="660" w:right="10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w:t>
      </w:r>
    </w:p>
    <w:p>
      <w:pPr>
        <w:ind w:left="66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and setting the terms of reference for any remuneration consultants who advise the Committee and obtain benchmarking data with respect to the directors' and executive officers’ compensation; and</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Governance Committee of the Board</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Nomination and Governance Committee, which consists of Dr. David Ebsworth, Dr. Mahendra Shah and Dr. Anders Ullman, assists our Board in identifying individuals qualified to become executive and non-executive directors of our Company consistent with criteria established by our Board and in developing our corporate governance principles. Dr Ebsworth serves as Chairman of the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Nomination and Governance Committee's responsibilities include: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68" w:right="239" w:bottom="1440" w:gutter="0" w:footer="0" w:header="0"/>
        </w:sectPr>
      </w:pPr>
    </w:p>
    <w:bookmarkStart w:id="111" w:name="page112"/>
    <w:bookmarkEnd w:id="111"/>
    <w:p>
      <w:pPr>
        <w:ind w:left="660" w:right="880" w:hanging="328"/>
        <w:spacing w:after="0" w:line="250"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reviewing and evaluating the structure, size and composition of our Board and making recommendations with regard to any adjustments considered necessary;</w:t>
      </w: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identifying and nominating, for the approval of our Board, candidates to fill vacancies on theBoard and its corresponding committees;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keeping under review the leadership needs of the Company, both executive and non-executive, and planning the orderly succession of such appointments; and</w:t>
      </w: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assessing the functioning of our Board and individual members and reporting the results of such assessment to the Board.</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D. Employees</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December 31, 2017, 2016 and 2015, we had 15, 11, and 9 employees, respectively. All of our employees were based in the United Kingdom, except that, as of December 31, 2017, 2016 and 2015, we had one to four employees based outside of the United Kingdom. All of our employees were engaged in either administrative or research and development functions. None of our employees are covered by a collective bargaining agreement.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74"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7"/>
          <w:szCs w:val="17"/>
          <w:color w:val="auto"/>
        </w:rPr>
        <w:t>For information regarding the share ownership of members of our board and executive officers and arrangements involving our employees in our share capital, see “Item 6.B. Compensation,” Item 7.A. Major Shareholders” and “Item 7.B.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240" w:top="598"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December 31, 2017 by:</w:t>
      </w:r>
    </w:p>
    <w:p>
      <w:pPr>
        <w:spacing w:after="0" w:line="279"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or group of affiliated persons, that beneficially owns 3% or more of our outstanding ordinary shares;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other executive officers;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board members and executive officers as a group.</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February 27,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percentage of ordinary shares beneficially owned is computed on the basis of 105,017,400 of our ordinary shares outstanding as of February 1, 2018. Ordinary shares that a person has the right to acquire within 60 days of December 31, 2017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As of February 1, 2018, 55,931,336 ordinary shares, representing 53% of our issued and outstanding ordinary shares, were held by 14 U.S. record holders. Unless otherwise indicated below, the address for each beneficial owner listed is c/o Verona Pharma plc, 3 More London Riverside, London SE1 2RE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9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80" w:type="dxa"/>
            <w:vAlign w:val="bottom"/>
          </w:tcPr>
          <w:p>
            <w:pPr>
              <w:jc w:val="center"/>
              <w:ind w:right="1631"/>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060" w:type="dxa"/>
            <w:vAlign w:val="bottom"/>
            <w:gridSpan w:val="2"/>
          </w:tcPr>
          <w:p>
            <w:pPr>
              <w:jc w:val="center"/>
              <w:ind w:left="771"/>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350"/>
        </w:trPr>
        <w:tc>
          <w:tcPr>
            <w:tcW w:w="636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2580" w:type="dxa"/>
            <w:vAlign w:val="bottom"/>
          </w:tcPr>
          <w:p>
            <w:pPr>
              <w:ind w:left="1840"/>
              <w:spacing w:after="0"/>
              <w:rPr>
                <w:sz w:val="20"/>
                <w:szCs w:val="20"/>
                <w:color w:val="auto"/>
              </w:rPr>
            </w:pPr>
            <w:r>
              <w:rPr>
                <w:rFonts w:ascii="Arial" w:cs="Arial" w:eastAsia="Arial" w:hAnsi="Arial"/>
                <w:sz w:val="14"/>
                <w:szCs w:val="14"/>
                <w:b w:val="1"/>
                <w:bCs w:val="1"/>
                <w:color w:val="auto"/>
              </w:rPr>
              <w:t>Number</w:t>
            </w:r>
          </w:p>
        </w:tc>
        <w:tc>
          <w:tcPr>
            <w:tcW w:w="2480" w:type="dxa"/>
            <w:vAlign w:val="bottom"/>
          </w:tcPr>
          <w:p>
            <w:pPr>
              <w:ind w:left="12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3% or Greater Shareholders:</w:t>
            </w:r>
          </w:p>
        </w:tc>
        <w:tc>
          <w:tcPr>
            <w:tcW w:w="25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21"/>
                <w:szCs w:val="21"/>
                <w:color w:val="auto"/>
                <w:vertAlign w:val="superscript"/>
              </w:rPr>
              <w:t>(1)</w:t>
            </w:r>
          </w:p>
        </w:tc>
        <w:tc>
          <w:tcPr>
            <w:tcW w:w="2580" w:type="dxa"/>
            <w:vAlign w:val="bottom"/>
          </w:tcPr>
          <w:p>
            <w:pPr>
              <w:jc w:val="center"/>
              <w:ind w:left="1551"/>
              <w:spacing w:after="0"/>
              <w:rPr>
                <w:sz w:val="20"/>
                <w:szCs w:val="20"/>
                <w:color w:val="auto"/>
              </w:rPr>
            </w:pPr>
            <w:r>
              <w:rPr>
                <w:rFonts w:ascii="Arial" w:cs="Arial" w:eastAsia="Arial" w:hAnsi="Arial"/>
                <w:sz w:val="18"/>
                <w:szCs w:val="18"/>
                <w:color w:val="auto"/>
                <w:w w:val="99"/>
              </w:rPr>
              <w:t>14,159,611</w:t>
            </w:r>
          </w:p>
        </w:tc>
        <w:tc>
          <w:tcPr>
            <w:tcW w:w="2480" w:type="dxa"/>
            <w:vAlign w:val="bottom"/>
          </w:tcPr>
          <w:p>
            <w:pPr>
              <w:jc w:val="center"/>
              <w:ind w:left="671"/>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Vivo Capital affiliates </w:t>
            </w:r>
            <w:r>
              <w:rPr>
                <w:rFonts w:ascii="Arial" w:cs="Arial" w:eastAsia="Arial" w:hAnsi="Arial"/>
                <w:sz w:val="21"/>
                <w:szCs w:val="21"/>
                <w:color w:val="auto"/>
                <w:vertAlign w:val="superscript"/>
              </w:rPr>
              <w:t>(2)</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13,811,584</w:t>
            </w:r>
          </w:p>
        </w:tc>
        <w:tc>
          <w:tcPr>
            <w:tcW w:w="2480" w:type="dxa"/>
            <w:vAlign w:val="bottom"/>
            <w:shd w:val="clear" w:color="auto" w:fill="CCEEFF"/>
          </w:tcPr>
          <w:p>
            <w:pPr>
              <w:jc w:val="center"/>
              <w:ind w:left="671"/>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OrbiMed Private Investments VI, LP </w:t>
            </w:r>
            <w:r>
              <w:rPr>
                <w:rFonts w:ascii="Arial" w:cs="Arial" w:eastAsia="Arial" w:hAnsi="Arial"/>
                <w:sz w:val="21"/>
                <w:szCs w:val="21"/>
                <w:color w:val="auto"/>
                <w:vertAlign w:val="superscript"/>
              </w:rPr>
              <w:t>(3)</w:t>
            </w:r>
          </w:p>
        </w:tc>
        <w:tc>
          <w:tcPr>
            <w:tcW w:w="2580" w:type="dxa"/>
            <w:vAlign w:val="bottom"/>
          </w:tcPr>
          <w:p>
            <w:pPr>
              <w:jc w:val="center"/>
              <w:ind w:left="1551"/>
              <w:spacing w:after="0"/>
              <w:rPr>
                <w:sz w:val="20"/>
                <w:szCs w:val="20"/>
                <w:color w:val="auto"/>
              </w:rPr>
            </w:pPr>
            <w:r>
              <w:rPr>
                <w:rFonts w:ascii="Arial" w:cs="Arial" w:eastAsia="Arial" w:hAnsi="Arial"/>
                <w:sz w:val="18"/>
                <w:szCs w:val="18"/>
                <w:color w:val="auto"/>
                <w:w w:val="99"/>
              </w:rPr>
              <w:t>11,871,114</w:t>
            </w:r>
          </w:p>
        </w:tc>
        <w:tc>
          <w:tcPr>
            <w:tcW w:w="2480" w:type="dxa"/>
            <w:vAlign w:val="bottom"/>
          </w:tcPr>
          <w:p>
            <w:pPr>
              <w:jc w:val="center"/>
              <w:ind w:left="671"/>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Growth Equity Opportunities Fund IV, LLC </w:t>
            </w:r>
            <w:r>
              <w:rPr>
                <w:rFonts w:ascii="Arial" w:cs="Arial" w:eastAsia="Arial" w:hAnsi="Arial"/>
                <w:sz w:val="21"/>
                <w:szCs w:val="21"/>
                <w:color w:val="auto"/>
                <w:vertAlign w:val="superscript"/>
              </w:rPr>
              <w:t>(4)</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11,527,019</w:t>
            </w:r>
          </w:p>
        </w:tc>
        <w:tc>
          <w:tcPr>
            <w:tcW w:w="2480" w:type="dxa"/>
            <w:vAlign w:val="bottom"/>
            <w:shd w:val="clear" w:color="auto" w:fill="CCEEFF"/>
          </w:tcPr>
          <w:p>
            <w:pPr>
              <w:jc w:val="center"/>
              <w:ind w:left="671"/>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Abingworth Bioventures VI, LP </w:t>
            </w:r>
            <w:r>
              <w:rPr>
                <w:rFonts w:ascii="Arial" w:cs="Arial" w:eastAsia="Arial" w:hAnsi="Arial"/>
                <w:sz w:val="21"/>
                <w:szCs w:val="21"/>
                <w:color w:val="auto"/>
                <w:vertAlign w:val="superscript"/>
              </w:rPr>
              <w:t>(5)</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9"/>
              </w:rPr>
              <w:t>8,619,774</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venBio Select Advisor </w:t>
            </w:r>
            <w:r>
              <w:rPr>
                <w:rFonts w:ascii="Arial" w:cs="Arial" w:eastAsia="Arial" w:hAnsi="Arial"/>
                <w:sz w:val="21"/>
                <w:szCs w:val="21"/>
                <w:color w:val="auto"/>
                <w:vertAlign w:val="superscript"/>
              </w:rPr>
              <w:t>(6)</w:t>
            </w:r>
          </w:p>
        </w:tc>
        <w:tc>
          <w:tcPr>
            <w:tcW w:w="2580" w:type="dxa"/>
            <w:vAlign w:val="bottom"/>
            <w:shd w:val="clear" w:color="auto" w:fill="CCEEFF"/>
          </w:tcPr>
          <w:p>
            <w:pPr>
              <w:jc w:val="center"/>
              <w:ind w:left="1531"/>
              <w:spacing w:after="0"/>
              <w:rPr>
                <w:sz w:val="20"/>
                <w:szCs w:val="20"/>
                <w:color w:val="auto"/>
              </w:rPr>
            </w:pPr>
            <w:r>
              <w:rPr>
                <w:rFonts w:ascii="Arial" w:cs="Arial" w:eastAsia="Arial" w:hAnsi="Arial"/>
                <w:sz w:val="18"/>
                <w:szCs w:val="18"/>
                <w:color w:val="auto"/>
                <w:w w:val="99"/>
              </w:rPr>
              <w:t>7,000,000</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Biodiscovery 4 FCPI </w:t>
            </w:r>
            <w:r>
              <w:rPr>
                <w:rFonts w:ascii="Arial" w:cs="Arial" w:eastAsia="Arial" w:hAnsi="Arial"/>
                <w:sz w:val="21"/>
                <w:szCs w:val="21"/>
                <w:color w:val="auto"/>
                <w:vertAlign w:val="superscript"/>
              </w:rPr>
              <w:t>(7)</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9"/>
              </w:rPr>
              <w:t>6,652,398</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Foresite </w:t>
            </w:r>
            <w:r>
              <w:rPr>
                <w:rFonts w:ascii="Arial" w:cs="Arial" w:eastAsia="Arial" w:hAnsi="Arial"/>
                <w:sz w:val="21"/>
                <w:szCs w:val="21"/>
                <w:color w:val="auto"/>
                <w:vertAlign w:val="superscript"/>
              </w:rPr>
              <w:t>(8)</w:t>
            </w:r>
          </w:p>
        </w:tc>
        <w:tc>
          <w:tcPr>
            <w:tcW w:w="2580" w:type="dxa"/>
            <w:vAlign w:val="bottom"/>
            <w:shd w:val="clear" w:color="auto" w:fill="CCEEFF"/>
          </w:tcPr>
          <w:p>
            <w:pPr>
              <w:jc w:val="center"/>
              <w:ind w:left="1531"/>
              <w:spacing w:after="0"/>
              <w:rPr>
                <w:sz w:val="20"/>
                <w:szCs w:val="20"/>
                <w:color w:val="auto"/>
              </w:rPr>
            </w:pPr>
            <w:r>
              <w:rPr>
                <w:rFonts w:ascii="Arial" w:cs="Arial" w:eastAsia="Arial" w:hAnsi="Arial"/>
                <w:sz w:val="18"/>
                <w:szCs w:val="18"/>
                <w:color w:val="auto"/>
                <w:w w:val="99"/>
              </w:rPr>
              <w:t>5,000,000</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Tekla Capital affiliates </w:t>
            </w:r>
            <w:r>
              <w:rPr>
                <w:rFonts w:ascii="Arial" w:cs="Arial" w:eastAsia="Arial" w:hAnsi="Arial"/>
                <w:sz w:val="21"/>
                <w:szCs w:val="21"/>
                <w:color w:val="auto"/>
                <w:vertAlign w:val="superscript"/>
              </w:rPr>
              <w:t>(9)</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9"/>
              </w:rPr>
              <w:t>5,296,845</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Aisling Capital IV, LP </w:t>
            </w:r>
            <w:r>
              <w:rPr>
                <w:rFonts w:ascii="Arial" w:cs="Arial" w:eastAsia="Arial" w:hAnsi="Arial"/>
                <w:sz w:val="21"/>
                <w:szCs w:val="21"/>
                <w:color w:val="auto"/>
                <w:vertAlign w:val="superscript"/>
              </w:rPr>
              <w:t>(10)</w:t>
            </w:r>
          </w:p>
        </w:tc>
        <w:tc>
          <w:tcPr>
            <w:tcW w:w="2580" w:type="dxa"/>
            <w:vAlign w:val="bottom"/>
            <w:shd w:val="clear" w:color="auto" w:fill="CCEEFF"/>
          </w:tcPr>
          <w:p>
            <w:pPr>
              <w:jc w:val="center"/>
              <w:ind w:left="1531"/>
              <w:spacing w:after="0"/>
              <w:rPr>
                <w:sz w:val="20"/>
                <w:szCs w:val="20"/>
                <w:color w:val="auto"/>
              </w:rPr>
            </w:pPr>
            <w:r>
              <w:rPr>
                <w:rFonts w:ascii="Arial" w:cs="Arial" w:eastAsia="Arial" w:hAnsi="Arial"/>
                <w:sz w:val="18"/>
                <w:szCs w:val="18"/>
                <w:color w:val="auto"/>
                <w:w w:val="99"/>
              </w:rPr>
              <w:t>4,138,643</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Arix Bioscience Holdings Ltd affiliates </w:t>
            </w:r>
            <w:r>
              <w:rPr>
                <w:rFonts w:ascii="Arial" w:cs="Arial" w:eastAsia="Arial" w:hAnsi="Arial"/>
                <w:sz w:val="21"/>
                <w:szCs w:val="21"/>
                <w:color w:val="auto"/>
                <w:vertAlign w:val="superscript"/>
              </w:rPr>
              <w:t>(11)</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9"/>
              </w:rPr>
              <w:t>3,916,493</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00"/>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Canaccord Genuity Group, Inc.</w:t>
            </w:r>
            <w:r>
              <w:rPr>
                <w:rFonts w:ascii="Arial" w:cs="Arial" w:eastAsia="Arial" w:hAnsi="Arial"/>
                <w:sz w:val="21"/>
                <w:szCs w:val="21"/>
                <w:color w:val="auto"/>
                <w:vertAlign w:val="superscript"/>
              </w:rPr>
              <w:t>(12)</w:t>
            </w:r>
          </w:p>
        </w:tc>
        <w:tc>
          <w:tcPr>
            <w:tcW w:w="2580" w:type="dxa"/>
            <w:vAlign w:val="bottom"/>
            <w:vMerge w:val="restart"/>
            <w:shd w:val="clear" w:color="auto" w:fill="CCEEFF"/>
          </w:tcPr>
          <w:p>
            <w:pPr>
              <w:jc w:val="center"/>
              <w:ind w:left="1531"/>
              <w:spacing w:after="0"/>
              <w:rPr>
                <w:sz w:val="20"/>
                <w:szCs w:val="20"/>
                <w:color w:val="auto"/>
              </w:rPr>
            </w:pPr>
            <w:r>
              <w:rPr>
                <w:rFonts w:ascii="Arial" w:cs="Arial" w:eastAsia="Arial" w:hAnsi="Arial"/>
                <w:sz w:val="18"/>
                <w:szCs w:val="18"/>
                <w:color w:val="auto"/>
                <w:w w:val="99"/>
              </w:rPr>
              <w:t>3,255,792</w:t>
            </w:r>
          </w:p>
        </w:tc>
        <w:tc>
          <w:tcPr>
            <w:tcW w:w="2480" w:type="dxa"/>
            <w:vAlign w:val="bottom"/>
            <w:vMerge w:val="restart"/>
            <w:shd w:val="clear" w:color="auto" w:fill="CCEEFF"/>
          </w:tcPr>
          <w:p>
            <w:pPr>
              <w:jc w:val="center"/>
              <w:ind w:left="69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2580" w:type="dxa"/>
            <w:vAlign w:val="bottom"/>
            <w:vMerge w:val="continue"/>
            <w:shd w:val="clear" w:color="auto" w:fill="CCEEFF"/>
          </w:tcPr>
          <w:p>
            <w:pPr>
              <w:spacing w:after="0"/>
              <w:rPr>
                <w:sz w:val="13"/>
                <w:szCs w:val="13"/>
                <w:color w:val="auto"/>
              </w:rPr>
            </w:pPr>
          </w:p>
        </w:tc>
        <w:tc>
          <w:tcPr>
            <w:tcW w:w="24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Executive Officers and Directors:</w:t>
            </w:r>
          </w:p>
        </w:tc>
        <w:tc>
          <w:tcPr>
            <w:tcW w:w="25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Jan-Anders Karlsson, Ph.D</w:t>
            </w:r>
            <w:r>
              <w:rPr>
                <w:rFonts w:ascii="Arial" w:cs="Arial" w:eastAsia="Arial" w:hAnsi="Arial"/>
                <w:sz w:val="21"/>
                <w:szCs w:val="21"/>
                <w:color w:val="auto"/>
                <w:vertAlign w:val="superscript"/>
              </w:rPr>
              <w:t>.(13)</w:t>
            </w:r>
          </w:p>
        </w:tc>
        <w:tc>
          <w:tcPr>
            <w:tcW w:w="2580" w:type="dxa"/>
            <w:vAlign w:val="bottom"/>
            <w:shd w:val="clear" w:color="auto" w:fill="CCEEFF"/>
          </w:tcPr>
          <w:p>
            <w:pPr>
              <w:jc w:val="center"/>
              <w:ind w:left="1531"/>
              <w:spacing w:after="0"/>
              <w:rPr>
                <w:sz w:val="20"/>
                <w:szCs w:val="20"/>
                <w:color w:val="auto"/>
              </w:rPr>
            </w:pPr>
            <w:r>
              <w:rPr>
                <w:rFonts w:ascii="Arial" w:cs="Arial" w:eastAsia="Arial" w:hAnsi="Arial"/>
                <w:sz w:val="18"/>
                <w:szCs w:val="18"/>
                <w:color w:val="auto"/>
                <w:w w:val="98"/>
              </w:rPr>
              <w:t>749,142</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Piers Morgan </w:t>
            </w:r>
            <w:r>
              <w:rPr>
                <w:rFonts w:ascii="Arial" w:cs="Arial" w:eastAsia="Arial" w:hAnsi="Arial"/>
                <w:sz w:val="21"/>
                <w:szCs w:val="21"/>
                <w:color w:val="auto"/>
                <w:vertAlign w:val="superscript"/>
              </w:rPr>
              <w:t>(14)</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8"/>
              </w:rPr>
              <w:t>100,000</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Kenneth Newman, M.D.</w:t>
            </w:r>
            <w:r>
              <w:rPr>
                <w:rFonts w:ascii="Arial" w:cs="Arial" w:eastAsia="Arial" w:hAnsi="Arial"/>
                <w:sz w:val="21"/>
                <w:szCs w:val="21"/>
                <w:color w:val="auto"/>
                <w:vertAlign w:val="superscript"/>
              </w:rPr>
              <w:t>(15)</w:t>
            </w:r>
          </w:p>
        </w:tc>
        <w:tc>
          <w:tcPr>
            <w:tcW w:w="2580" w:type="dxa"/>
            <w:vAlign w:val="bottom"/>
            <w:shd w:val="clear" w:color="auto" w:fill="CCEEFF"/>
          </w:tcPr>
          <w:p>
            <w:pPr>
              <w:jc w:val="center"/>
              <w:ind w:left="1531"/>
              <w:spacing w:after="0"/>
              <w:rPr>
                <w:sz w:val="20"/>
                <w:szCs w:val="20"/>
                <w:color w:val="auto"/>
              </w:rPr>
            </w:pPr>
            <w:r>
              <w:rPr>
                <w:rFonts w:ascii="Arial" w:cs="Arial" w:eastAsia="Arial" w:hAnsi="Arial"/>
                <w:sz w:val="18"/>
                <w:szCs w:val="18"/>
                <w:color w:val="auto"/>
                <w:w w:val="98"/>
              </w:rPr>
              <w:t>356,665</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Claire Poll </w:t>
            </w:r>
            <w:r>
              <w:rPr>
                <w:rFonts w:ascii="Arial" w:cs="Arial" w:eastAsia="Arial" w:hAnsi="Arial"/>
                <w:sz w:val="21"/>
                <w:szCs w:val="21"/>
                <w:color w:val="auto"/>
                <w:vertAlign w:val="superscript"/>
              </w:rPr>
              <w:t>(16)</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8"/>
              </w:rPr>
              <w:t>236,663</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Richard Hennings</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Peter Spargo, Ph. D.</w:t>
            </w:r>
            <w:r>
              <w:rPr>
                <w:rFonts w:ascii="Arial" w:cs="Arial" w:eastAsia="Arial" w:hAnsi="Arial"/>
                <w:sz w:val="21"/>
                <w:szCs w:val="21"/>
                <w:color w:val="auto"/>
                <w:vertAlign w:val="superscript"/>
              </w:rPr>
              <w:t>(17)</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8"/>
              </w:rPr>
              <w:t>139,663</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Ken Cunningham, M.D.</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David Ebsworth, Ph.D.</w:t>
            </w:r>
            <w:r>
              <w:rPr>
                <w:rFonts w:ascii="Arial" w:cs="Arial" w:eastAsia="Arial" w:hAnsi="Arial"/>
                <w:sz w:val="21"/>
                <w:szCs w:val="21"/>
                <w:color w:val="auto"/>
                <w:vertAlign w:val="superscript"/>
              </w:rPr>
              <w:t>(18)</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8"/>
              </w:rPr>
              <w:t>140,703</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Rishi Gupta</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Mahendrah Shah, Ph.D.</w:t>
            </w:r>
          </w:p>
        </w:tc>
        <w:tc>
          <w:tcPr>
            <w:tcW w:w="2580" w:type="dxa"/>
            <w:vAlign w:val="bottom"/>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Andrew Sinclair, Ph.D.</w:t>
            </w:r>
            <w:r>
              <w:rPr>
                <w:rFonts w:ascii="Arial" w:cs="Arial" w:eastAsia="Arial" w:hAnsi="Arial"/>
                <w:sz w:val="21"/>
                <w:szCs w:val="21"/>
                <w:color w:val="auto"/>
                <w:vertAlign w:val="superscript"/>
              </w:rPr>
              <w:t>(19)</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 xml:space="preserve">Vikas Sinha </w:t>
            </w:r>
            <w:r>
              <w:rPr>
                <w:rFonts w:ascii="Arial" w:cs="Arial" w:eastAsia="Arial" w:hAnsi="Arial"/>
                <w:sz w:val="21"/>
                <w:szCs w:val="21"/>
                <w:color w:val="auto"/>
                <w:vertAlign w:val="superscript"/>
              </w:rPr>
              <w:t>(20)</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rPr>
              <w:t>22,222</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Anders Ullman, Ph.D.</w:t>
            </w:r>
          </w:p>
        </w:tc>
        <w:tc>
          <w:tcPr>
            <w:tcW w:w="2580" w:type="dxa"/>
            <w:vAlign w:val="bottom"/>
            <w:shd w:val="clear" w:color="auto" w:fill="CCEEFF"/>
          </w:tcPr>
          <w:p>
            <w:pPr>
              <w:jc w:val="center"/>
              <w:ind w:left="1551"/>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6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All executive officers and directors as a group (13 persons)</w:t>
            </w:r>
          </w:p>
        </w:tc>
        <w:tc>
          <w:tcPr>
            <w:tcW w:w="2580" w:type="dxa"/>
            <w:vAlign w:val="bottom"/>
          </w:tcPr>
          <w:p>
            <w:pPr>
              <w:jc w:val="center"/>
              <w:ind w:left="1531"/>
              <w:spacing w:after="0"/>
              <w:rPr>
                <w:sz w:val="20"/>
                <w:szCs w:val="20"/>
                <w:color w:val="auto"/>
              </w:rPr>
            </w:pPr>
            <w:r>
              <w:rPr>
                <w:rFonts w:ascii="Arial" w:cs="Arial" w:eastAsia="Arial" w:hAnsi="Arial"/>
                <w:sz w:val="18"/>
                <w:szCs w:val="18"/>
                <w:color w:val="auto"/>
                <w:w w:val="99"/>
              </w:rPr>
              <w:t>1,745,058</w:t>
            </w:r>
          </w:p>
        </w:tc>
        <w:tc>
          <w:tcPr>
            <w:tcW w:w="2480" w:type="dxa"/>
            <w:vAlign w:val="bottom"/>
          </w:tcPr>
          <w:p>
            <w:pPr>
              <w:jc w:val="center"/>
              <w:ind w:left="691"/>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160" w:hanging="652"/>
        <w:spacing w:after="0" w:line="285" w:lineRule="auto"/>
        <w:tabs>
          <w:tab w:leader="none" w:pos="660" w:val="left"/>
        </w:tabs>
        <w:numPr>
          <w:ilvl w:val="0"/>
          <w:numId w:val="63"/>
        </w:numPr>
        <w:rPr>
          <w:rFonts w:ascii="Arial" w:cs="Arial" w:eastAsia="Arial" w:hAnsi="Arial"/>
          <w:sz w:val="22"/>
          <w:szCs w:val="22"/>
          <w:color w:val="auto"/>
          <w:vertAlign w:val="subscript"/>
        </w:rPr>
      </w:pPr>
      <w:r>
        <w:rPr>
          <w:rFonts w:ascii="Arial" w:cs="Arial" w:eastAsia="Arial" w:hAnsi="Arial"/>
          <w:sz w:val="14"/>
          <w:szCs w:val="14"/>
          <w:color w:val="auto"/>
        </w:rPr>
        <w:t>Consists of (a) 12,389,985 ordinary shares held directly by Novo A/S, or Novo,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Form TR-1 provided to us on June 6, 2017. Novo's mailing address is Tuborg Havnevej 19, Hellerup, G7 2900, Denmark.</w:t>
      </w:r>
    </w:p>
    <w:p>
      <w:pPr>
        <w:spacing w:after="0" w:line="285" w:lineRule="exact"/>
        <w:rPr>
          <w:rFonts w:ascii="Arial" w:cs="Arial" w:eastAsia="Arial" w:hAnsi="Arial"/>
          <w:sz w:val="22"/>
          <w:szCs w:val="22"/>
          <w:color w:val="auto"/>
          <w:vertAlign w:val="subscript"/>
        </w:rPr>
      </w:pPr>
    </w:p>
    <w:p>
      <w:pPr>
        <w:ind w:left="660" w:right="40" w:hanging="652"/>
        <w:spacing w:after="0" w:line="304" w:lineRule="auto"/>
        <w:tabs>
          <w:tab w:leader="none" w:pos="660" w:val="left"/>
        </w:tabs>
        <w:numPr>
          <w:ilvl w:val="0"/>
          <w:numId w:val="63"/>
        </w:numPr>
        <w:rPr>
          <w:rFonts w:ascii="Arial" w:cs="Arial" w:eastAsia="Arial" w:hAnsi="Arial"/>
          <w:sz w:val="22"/>
          <w:szCs w:val="22"/>
          <w:color w:val="auto"/>
          <w:vertAlign w:val="subscript"/>
        </w:rPr>
      </w:pPr>
      <w:r>
        <w:rPr>
          <w:rFonts w:ascii="Arial" w:cs="Arial" w:eastAsia="Arial" w:hAnsi="Arial"/>
          <w:sz w:val="14"/>
          <w:szCs w:val="14"/>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9,554,917 ordinary shares held directly by Vivo Ventures Fund VII L.P., or Vivo VII, of which 4,507,040 are held in the form of ADSs, (e) warrants to purchase 1,462,477 ordinary shares held directly by Vivo VII, (f) warrants to purchase 31,874 ordinary shares held directly by Vivo Ventures VII Affiliates Fund, L.P., or Vivo Affiliates VII. Vivo Ventures VI, LLC , or Vivo Ventures VI, is the sole general partner of Vivo VI and Vivo Affiliates VI. Vivo Ventures VII, LLC, or Vivo Ventures VII, is the sole general partner of Vivo VII and Vivo Affiliates VII. Vivo Ventures VI and Vivo Ventures VII disclaim beneficial ownership of all shares held by Vivo VI, Vivo Affiliates VI, Vivo VII and Vivo Affiliates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Vll are Drs. Albert Cha, Edgar Engleman, Frank Kung, Chen Yu and Mr. Shan Fu, each of whom may be deemed to have shared voting and dispositive power of the shares held by Vivo Vll and Vivo Affiliates Vll. Mahendra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828" w:right="239" w:bottom="1440" w:gutter="0" w:footer="0" w:header="0"/>
        </w:sectPr>
      </w:pPr>
    </w:p>
    <w:bookmarkStart w:id="114" w:name="page115"/>
    <w:bookmarkEnd w:id="114"/>
    <w:p>
      <w:pPr>
        <w:ind w:left="652" w:right="60"/>
        <w:spacing w:after="0" w:line="390" w:lineRule="auto"/>
        <w:rPr>
          <w:sz w:val="20"/>
          <w:szCs w:val="20"/>
          <w:color w:val="auto"/>
        </w:rPr>
      </w:pPr>
      <w:r>
        <w:rPr>
          <w:rFonts w:ascii="Arial" w:cs="Arial" w:eastAsia="Arial" w:hAnsi="Arial"/>
          <w:sz w:val="14"/>
          <w:szCs w:val="14"/>
          <w:color w:val="auto"/>
        </w:rPr>
        <w:t>Shah, the Managing Director of Vivo Capital, is a member of our Board of Directors and disclaims beneficial ownership of these shares except to the extent of his pecuniary interest arising as a result of his employment by Vivo Capital. Beneficial ownership information is based on information known to us and Forms TR-1 provided to us on May 30, 2017. Vivo Capital's mailing address is 505 Hamilton Avenue, Suite 200, Palo Alto, CA 94301.</w:t>
      </w:r>
    </w:p>
    <w:p>
      <w:pPr>
        <w:spacing w:after="0" w:line="161"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2"/>
          <w:szCs w:val="22"/>
          <w:color w:val="auto"/>
          <w:vertAlign w:val="subscript"/>
        </w:rPr>
      </w:pPr>
      <w:r>
        <w:rPr>
          <w:rFonts w:ascii="Arial" w:cs="Arial" w:eastAsia="Arial" w:hAnsi="Arial"/>
          <w:sz w:val="14"/>
          <w:szCs w:val="14"/>
          <w:color w:val="auto"/>
        </w:rPr>
        <w:t>Consists of (a) 10,003,175 ordinary shares held directly by OrbiMed Private Investments VI, LP, or OrbiMed VI, of which 5,333,328 are held in the form of ADSs and</w:t>
      </w:r>
    </w:p>
    <w:p>
      <w:pPr>
        <w:spacing w:after="0" w:line="43" w:lineRule="exact"/>
        <w:rPr>
          <w:rFonts w:ascii="Arial" w:cs="Arial" w:eastAsia="Arial" w:hAnsi="Arial"/>
          <w:sz w:val="22"/>
          <w:szCs w:val="22"/>
          <w:color w:val="auto"/>
          <w:vertAlign w:val="subscript"/>
        </w:rPr>
      </w:pPr>
    </w:p>
    <w:p>
      <w:pPr>
        <w:ind w:left="652" w:right="20" w:hanging="4"/>
        <w:spacing w:after="0" w:line="324" w:lineRule="auto"/>
        <w:tabs>
          <w:tab w:leader="none" w:pos="868" w:val="left"/>
        </w:tabs>
        <w:numPr>
          <w:ilvl w:val="1"/>
          <w:numId w:val="64"/>
        </w:numPr>
        <w:rPr>
          <w:rFonts w:ascii="Arial" w:cs="Arial" w:eastAsia="Arial" w:hAnsi="Arial"/>
          <w:sz w:val="14"/>
          <w:szCs w:val="14"/>
          <w:color w:val="auto"/>
        </w:rPr>
      </w:pPr>
      <w:r>
        <w:rPr>
          <w:rFonts w:ascii="Arial" w:cs="Arial" w:eastAsia="Arial" w:hAnsi="Arial"/>
          <w:sz w:val="14"/>
          <w:szCs w:val="14"/>
          <w:color w:val="auto"/>
        </w:rPr>
        <w:t>warrants to purchase 1,867,939 ordinary shares held directly by OrbiMed VI. OrbiMed Capital GP VI LLC, or GP VI, is the general partner of OrbiMed VI. OrbiMed Advisors LLC, or OrbiMed Advisors, is the managing member of GP VI. Samuel D. Isaly is the managing member of and owner of a controlling interest in OrbiMed Advisors. By virtue of such relationships, GP VI, OrbiMed Advisors and Mr. Isaly may be deemed to have voting and investment power with respect to the shares held by OrbiMed VI and as a result may be deemed to have beneficial ownership of such shares. Rishi Gupta, an employee of OrbiMed Advisors, is a member of our Board of Directors. Each of GP VI, OrbiMed Advisors, Mr. Isaly and Mr. Gupta disclaims beneficial ownership of the shares held by OrbiMed VI, except to the extent of its or his pecuniary interest therein, if any. Beneficial ownership information is based on information known to us and a Form TR-1 provided to us on May 25, 2017. OrbiMed Advisors' mailing address is 601 Lexington Avenue, 54th Floor, New York, NY 10022.</w:t>
      </w:r>
    </w:p>
    <w:p>
      <w:pPr>
        <w:spacing w:after="0" w:line="180" w:lineRule="exact"/>
        <w:rPr>
          <w:rFonts w:ascii="Arial" w:cs="Arial" w:eastAsia="Arial" w:hAnsi="Arial"/>
          <w:sz w:val="14"/>
          <w:szCs w:val="14"/>
          <w:color w:val="auto"/>
        </w:rPr>
      </w:pPr>
    </w:p>
    <w:p>
      <w:pPr>
        <w:ind w:left="652" w:hanging="652"/>
        <w:spacing w:after="0"/>
        <w:tabs>
          <w:tab w:leader="none" w:pos="652" w:val="left"/>
        </w:tabs>
        <w:numPr>
          <w:ilvl w:val="0"/>
          <w:numId w:val="64"/>
        </w:numPr>
        <w:rPr>
          <w:rFonts w:ascii="Arial" w:cs="Arial" w:eastAsia="Arial" w:hAnsi="Arial"/>
          <w:sz w:val="22"/>
          <w:szCs w:val="22"/>
          <w:color w:val="auto"/>
          <w:vertAlign w:val="subscript"/>
        </w:rPr>
      </w:pPr>
      <w:r>
        <w:rPr>
          <w:rFonts w:ascii="Arial" w:cs="Arial" w:eastAsia="Arial" w:hAnsi="Arial"/>
          <w:sz w:val="14"/>
          <w:szCs w:val="14"/>
          <w:color w:val="auto"/>
        </w:rPr>
        <w:t>Consists of (a) 9,757,393 ordinary shares held directly by Growth Equity Opportunities Fund IV, LLC, or GEO, of which 5,333,328 are held in the form of ADSs, and</w:t>
      </w:r>
    </w:p>
    <w:p>
      <w:pPr>
        <w:spacing w:after="0" w:line="43" w:lineRule="exact"/>
        <w:rPr>
          <w:rFonts w:ascii="Arial" w:cs="Arial" w:eastAsia="Arial" w:hAnsi="Arial"/>
          <w:sz w:val="22"/>
          <w:szCs w:val="22"/>
          <w:color w:val="auto"/>
          <w:vertAlign w:val="subscript"/>
        </w:rPr>
      </w:pPr>
    </w:p>
    <w:p>
      <w:pPr>
        <w:ind w:left="852" w:hanging="204"/>
        <w:spacing w:after="0"/>
        <w:tabs>
          <w:tab w:leader="none" w:pos="852" w:val="left"/>
        </w:tabs>
        <w:numPr>
          <w:ilvl w:val="1"/>
          <w:numId w:val="65"/>
        </w:numPr>
        <w:rPr>
          <w:rFonts w:ascii="Arial" w:cs="Arial" w:eastAsia="Arial" w:hAnsi="Arial"/>
          <w:sz w:val="14"/>
          <w:szCs w:val="14"/>
          <w:color w:val="auto"/>
        </w:rPr>
      </w:pPr>
      <w:r>
        <w:rPr>
          <w:rFonts w:ascii="Arial" w:cs="Arial" w:eastAsia="Arial" w:hAnsi="Arial"/>
          <w:sz w:val="14"/>
          <w:szCs w:val="14"/>
          <w:color w:val="auto"/>
        </w:rPr>
        <w:t>warrants to purchase 1,769,626 ordinary shares held directly by GEO. New Enterprise Associates 15, L.P., or NEA 15, is the sole member of GEO. NEA Partners</w:t>
      </w:r>
    </w:p>
    <w:p>
      <w:pPr>
        <w:spacing w:after="0" w:line="55" w:lineRule="exact"/>
        <w:rPr>
          <w:sz w:val="20"/>
          <w:szCs w:val="20"/>
          <w:color w:val="auto"/>
        </w:rPr>
      </w:pPr>
    </w:p>
    <w:p>
      <w:pPr>
        <w:ind w:left="652"/>
        <w:spacing w:after="0" w:line="325" w:lineRule="auto"/>
        <w:rPr>
          <w:sz w:val="20"/>
          <w:szCs w:val="20"/>
          <w:color w:val="auto"/>
        </w:rPr>
      </w:pPr>
      <w:r>
        <w:rPr>
          <w:rFonts w:ascii="Arial" w:cs="Arial" w:eastAsia="Arial" w:hAnsi="Arial"/>
          <w:sz w:val="14"/>
          <w:szCs w:val="14"/>
          <w:color w:val="auto"/>
        </w:rPr>
        <w:t>15, L.P., NEA Partners 15, is the sole general partner of NEA 15. NEA 15 GP, LLC, or NEA 15 LLC, is the sole general partner of NEA Partners 15. Peter J. Barris, Forest Baskett, Anthony Florence, Jr., Krishnu Kolluri, David M. Mott, Scott D. Sandell, Peter Sonsini, Jon Sakoda, Ravia Viswanthan and Henry Weller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Beneficial ownership information is based on information known to us and a Form TR-1 provided to us on May 8, 2017. GEO's mailing address is 1954 Greenspring Drive, Suite 600, Timonium, MD 21093-4135.</w:t>
      </w:r>
    </w:p>
    <w:p>
      <w:pPr>
        <w:spacing w:after="0" w:line="178" w:lineRule="exact"/>
        <w:rPr>
          <w:sz w:val="20"/>
          <w:szCs w:val="20"/>
          <w:color w:val="auto"/>
        </w:rPr>
      </w:pPr>
    </w:p>
    <w:p>
      <w:pPr>
        <w:ind w:left="652" w:hanging="652"/>
        <w:spacing w:after="0"/>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(a) 7,215,553 ordinary shares held directly by Abingworth Bioventures VI, LP, or Abingworth VI, of which 3,705,000 are held in the form of ADSs, and</w:t>
      </w:r>
    </w:p>
    <w:p>
      <w:pPr>
        <w:spacing w:after="0" w:line="43" w:lineRule="exact"/>
        <w:rPr>
          <w:rFonts w:ascii="Arial" w:cs="Arial" w:eastAsia="Arial" w:hAnsi="Arial"/>
          <w:sz w:val="22"/>
          <w:szCs w:val="22"/>
          <w:color w:val="auto"/>
          <w:vertAlign w:val="subscript"/>
        </w:rPr>
      </w:pPr>
    </w:p>
    <w:p>
      <w:pPr>
        <w:ind w:left="652"/>
        <w:spacing w:after="0" w:line="324" w:lineRule="auto"/>
        <w:rPr>
          <w:rFonts w:ascii="Arial" w:cs="Arial" w:eastAsia="Arial" w:hAnsi="Arial"/>
          <w:sz w:val="22"/>
          <w:szCs w:val="22"/>
          <w:color w:val="auto"/>
          <w:vertAlign w:val="subscript"/>
        </w:rPr>
      </w:pPr>
      <w:r>
        <w:rPr>
          <w:rFonts w:ascii="Arial" w:cs="Arial" w:eastAsia="Arial" w:hAnsi="Arial"/>
          <w:sz w:val="14"/>
          <w:szCs w:val="14"/>
          <w:color w:val="auto"/>
        </w:rPr>
        <w:t>(b)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Stephen Bunting, Timothy Haines, Kurt von Emster and Genghis Lloyd-Harris approves investment and voting decisions of Abingworth VI by a majority vote, and no individual member has the sole control or voting power over the securities held by Abingworth VI. Abingworth GP VI, Abingworth General Partner VI, Abingworth LLP and each of Stephen Bunting, Timothy Haines, Kurt von Emster and Genghis Lloyd-Harris disclaim beneficial ownership of securities held by Abingworth VI, except to the extent, if any of their pecuniary interest therein. Beneficial ownership information is based on information known to us and a Form TR-1 provided to us on May 9, 2017. Abingworth VI's mailing address is 38 Jermyn Street, London SW1Y 6DN, United Kingdom.</w:t>
      </w:r>
    </w:p>
    <w:p>
      <w:pPr>
        <w:spacing w:after="0" w:line="260" w:lineRule="exact"/>
        <w:rPr>
          <w:rFonts w:ascii="Arial" w:cs="Arial" w:eastAsia="Arial" w:hAnsi="Arial"/>
          <w:sz w:val="22"/>
          <w:szCs w:val="22"/>
          <w:color w:val="auto"/>
          <w:vertAlign w:val="subscript"/>
        </w:rPr>
      </w:pPr>
    </w:p>
    <w:p>
      <w:pPr>
        <w:ind w:left="652" w:right="60" w:hanging="652"/>
        <w:spacing w:after="0" w:line="225"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7,000,000 ordinary shares held in the form of ADSs by VenBio Select Advisor. This information is based on information known to us. The mailing address for VenBio Select Advisor is 120 W 45th St #2802, New York, NY 10036</w:t>
      </w:r>
    </w:p>
    <w:p>
      <w:pPr>
        <w:spacing w:after="0" w:line="314" w:lineRule="exact"/>
        <w:rPr>
          <w:rFonts w:ascii="Arial" w:cs="Arial" w:eastAsia="Arial" w:hAnsi="Arial"/>
          <w:sz w:val="22"/>
          <w:szCs w:val="22"/>
          <w:color w:val="auto"/>
          <w:vertAlign w:val="subscript"/>
        </w:rPr>
      </w:pPr>
    </w:p>
    <w:p>
      <w:pPr>
        <w:jc w:val="both"/>
        <w:ind w:left="652" w:right="60" w:hanging="652"/>
        <w:spacing w:after="0" w:line="257"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(a) 5,767,585 ordinary shares held in the form of ADSs by Biodiscovery 4 FCPI, or Biodiscovery, and (b) warrants to purchase 884,813 ordinary shares held directly by Biodiscovery. Beneficial ownership information is based on information known to us and a Form TR-1 provided to us on May 5, 2017. The mailing address for Biodiscovery is 47 rue du Faubourg Saint-Honoré75401 Cedex 08 Paris France</w:t>
      </w:r>
    </w:p>
    <w:p>
      <w:pPr>
        <w:spacing w:after="0" w:line="302" w:lineRule="exact"/>
        <w:rPr>
          <w:rFonts w:ascii="Arial" w:cs="Arial" w:eastAsia="Arial" w:hAnsi="Arial"/>
          <w:sz w:val="22"/>
          <w:szCs w:val="22"/>
          <w:color w:val="auto"/>
          <w:vertAlign w:val="subscript"/>
        </w:rPr>
      </w:pPr>
    </w:p>
    <w:p>
      <w:pPr>
        <w:ind w:left="652" w:right="260" w:hanging="652"/>
        <w:spacing w:after="0" w:line="225"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5,000,000 ordinary shares held in the form of ADSs by Foresight Capital Management. This information is based on information known to us. The mailing address for Foresight Capital Management is [600 Montgomery Street, Suite 4500, San Francisco, CA 94111</w:t>
      </w:r>
    </w:p>
    <w:p>
      <w:pPr>
        <w:spacing w:after="0" w:line="314" w:lineRule="exact"/>
        <w:rPr>
          <w:rFonts w:ascii="Arial" w:cs="Arial" w:eastAsia="Arial" w:hAnsi="Arial"/>
          <w:sz w:val="22"/>
          <w:szCs w:val="22"/>
          <w:color w:val="auto"/>
          <w:vertAlign w:val="subscript"/>
        </w:rPr>
      </w:pPr>
    </w:p>
    <w:p>
      <w:pPr>
        <w:ind w:left="652" w:right="40" w:hanging="652"/>
        <w:spacing w:after="0" w:line="302"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(a) 4,412,031 ordinary shares held directly by Tekla World Healthcare Fund, or Tekla World, of which 2,200,000 are held in the form of ADSs, (b) warrants to 513,192 purchase ordinary shares held directly by Tekla World, and (c)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Securities and Exchange Commission on February 13, 2017. Tekla Capital's mailing address is 100 Federal Street, 19th Floor, Boston, MA 02110.</w:t>
      </w:r>
    </w:p>
    <w:p>
      <w:pPr>
        <w:spacing w:after="0" w:line="275" w:lineRule="exact"/>
        <w:rPr>
          <w:rFonts w:ascii="Arial" w:cs="Arial" w:eastAsia="Arial" w:hAnsi="Arial"/>
          <w:sz w:val="22"/>
          <w:szCs w:val="22"/>
          <w:color w:val="auto"/>
          <w:vertAlign w:val="subscript"/>
        </w:rPr>
      </w:pPr>
    </w:p>
    <w:p>
      <w:pPr>
        <w:ind w:left="652" w:right="20" w:hanging="652"/>
        <w:spacing w:after="0" w:line="257"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(a) 3,548,768 ordinary shares held directly by Aisling Capital IV, LP, or Aisling, of which 2,074,080 are held in the form of ADSs, and (b) warrants to purchase 589,875 ordinary shares held directly by Aisling. This information is based on information known to us and a TR-1 provided to us on June 6, 2017. The mailing address of Aisling is Aisling Capital, 888 Seventh Avenue, 12th Floor, New York, NY 10106</w:t>
      </w:r>
    </w:p>
    <w:p>
      <w:pPr>
        <w:spacing w:after="0" w:line="302" w:lineRule="exact"/>
        <w:rPr>
          <w:rFonts w:ascii="Arial" w:cs="Arial" w:eastAsia="Arial" w:hAnsi="Arial"/>
          <w:sz w:val="22"/>
          <w:szCs w:val="22"/>
          <w:color w:val="auto"/>
          <w:vertAlign w:val="subscript"/>
        </w:rPr>
      </w:pPr>
    </w:p>
    <w:p>
      <w:pPr>
        <w:ind w:left="652" w:right="80" w:hanging="652"/>
        <w:spacing w:after="0" w:line="275" w:lineRule="auto"/>
        <w:tabs>
          <w:tab w:leader="none" w:pos="652" w:val="left"/>
        </w:tabs>
        <w:numPr>
          <w:ilvl w:val="0"/>
          <w:numId w:val="66"/>
        </w:numPr>
        <w:rPr>
          <w:rFonts w:ascii="Arial" w:cs="Arial" w:eastAsia="Arial" w:hAnsi="Arial"/>
          <w:sz w:val="22"/>
          <w:szCs w:val="22"/>
          <w:color w:val="auto"/>
          <w:vertAlign w:val="subscript"/>
        </w:rPr>
      </w:pPr>
      <w:r>
        <w:rPr>
          <w:rFonts w:ascii="Arial" w:cs="Arial" w:eastAsia="Arial" w:hAnsi="Arial"/>
          <w:sz w:val="14"/>
          <w:szCs w:val="14"/>
          <w:color w:val="auto"/>
        </w:rPr>
        <w:t>Consists of (a) 1,290,352 ordinary shares held directly by Arix Bioscience Holdings Ltd, or Arix, (b) warrants to purchase 516,141 ordinary shares held directly by Arix and (c) 2,110,000 ordinary shares held directly by Wales Life Sciences Investment Fund, or WLSIF. Arthurian Life Sciences Ltd, or Arthurian, is the general partner of WLSIF and a wholly owned subsidiary of Arix. Beneficial ownership information is based on information known to us and a Form TR-1 provided to us on August 3, 2016 and January 3, 2017. Arix's mailing address is 20 Berkeley Square, London W1J 6EQ, United Kingdom.</w:t>
      </w:r>
    </w:p>
    <w:p>
      <w:pPr>
        <w:sectPr>
          <w:pgSz w:w="11900" w:h="16838" w:orient="portrait"/>
          <w:cols w:equalWidth="0" w:num="1">
            <w:col w:w="11392"/>
          </w:cols>
          <w:pgMar w:left="248" w:top="563" w:right="259" w:bottom="1440" w:gutter="0" w:footer="0" w:header="0"/>
        </w:sectPr>
      </w:pP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392"/>
          </w:cols>
          <w:pgMar w:left="248" w:top="563" w:right="259" w:bottom="1440" w:gutter="0" w:footer="0" w:header="0"/>
          <w:type w:val="continuous"/>
        </w:sectPr>
      </w:pPr>
    </w:p>
    <w:bookmarkStart w:id="115" w:name="page116"/>
    <w:bookmarkEnd w:id="115"/>
    <w:p>
      <w:pPr>
        <w:ind w:left="660" w:right="140" w:hanging="652"/>
        <w:spacing w:after="0" w:line="257" w:lineRule="auto"/>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Canaccord Genuity Group Inc. is the beneficial owner of an aggregate of 3,255,792 ordinary shares held directly by (a) Hargreave Hale which holds 2,941,250 ordinary shares and (b) Canaccord Genuity Wealth Management which holds 314,542 ordinary shares. This information is based on information known to us. The mailing address for Canaccord Genuity Group Inc. is 88 Wood Street, London, UK, EC2V 7QR.</w:t>
      </w:r>
    </w:p>
    <w:p>
      <w:pPr>
        <w:spacing w:after="0" w:line="302" w:lineRule="exact"/>
        <w:rPr>
          <w:rFonts w:ascii="Arial" w:cs="Arial" w:eastAsia="Arial" w:hAnsi="Arial"/>
          <w:sz w:val="22"/>
          <w:szCs w:val="22"/>
          <w:color w:val="auto"/>
          <w:vertAlign w:val="subscript"/>
        </w:rPr>
      </w:pPr>
    </w:p>
    <w:p>
      <w:pPr>
        <w:ind w:left="660" w:right="340" w:hanging="652"/>
        <w:spacing w:after="0" w:line="225" w:lineRule="auto"/>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(a) 89,150 ordinary shares and (b) 659,992 options to purchase ordinary shares that are or will be immediately exercisable within 60 days of February 1, 2018.</w:t>
      </w:r>
    </w:p>
    <w:p>
      <w:pPr>
        <w:spacing w:after="0" w:line="233" w:lineRule="exact"/>
        <w:rPr>
          <w:rFonts w:ascii="Arial" w:cs="Arial" w:eastAsia="Arial" w:hAnsi="Arial"/>
          <w:sz w:val="22"/>
          <w:szCs w:val="22"/>
          <w:color w:val="auto"/>
          <w:vertAlign w:val="subscript"/>
        </w:rPr>
      </w:pPr>
    </w:p>
    <w:p>
      <w:pPr>
        <w:ind w:left="660" w:hanging="652"/>
        <w:spacing w:after="0"/>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100,000 options to purchase ordinary shares that are or will be immediately exercisable within 60 days of February 1, 2018.</w:t>
      </w:r>
    </w:p>
    <w:p>
      <w:pPr>
        <w:spacing w:after="0" w:line="233" w:lineRule="exact"/>
        <w:rPr>
          <w:rFonts w:ascii="Arial" w:cs="Arial" w:eastAsia="Arial" w:hAnsi="Arial"/>
          <w:sz w:val="22"/>
          <w:szCs w:val="22"/>
          <w:color w:val="auto"/>
          <w:vertAlign w:val="subscript"/>
        </w:rPr>
      </w:pPr>
    </w:p>
    <w:p>
      <w:pPr>
        <w:ind w:left="660" w:hanging="652"/>
        <w:spacing w:after="0"/>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356,665 options to purchase ordinary shares that are or will be immediately exercisable within 60 days of February 1, 2018.</w:t>
      </w:r>
    </w:p>
    <w:p>
      <w:pPr>
        <w:spacing w:after="0" w:line="313" w:lineRule="exact"/>
        <w:rPr>
          <w:rFonts w:ascii="Arial" w:cs="Arial" w:eastAsia="Arial" w:hAnsi="Arial"/>
          <w:sz w:val="22"/>
          <w:szCs w:val="22"/>
          <w:color w:val="auto"/>
          <w:vertAlign w:val="subscript"/>
        </w:rPr>
      </w:pPr>
    </w:p>
    <w:p>
      <w:pPr>
        <w:ind w:left="660" w:right="340" w:hanging="652"/>
        <w:spacing w:after="0" w:line="225" w:lineRule="auto"/>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(a) 95,000 ordinary shares and (b) 141,663 options to purchase ordinary shares that are or will be immediately exercisable within 60 days of February 1, 2018.</w:t>
      </w:r>
    </w:p>
    <w:p>
      <w:pPr>
        <w:spacing w:after="0" w:line="314" w:lineRule="exact"/>
        <w:rPr>
          <w:rFonts w:ascii="Arial" w:cs="Arial" w:eastAsia="Arial" w:hAnsi="Arial"/>
          <w:sz w:val="22"/>
          <w:szCs w:val="22"/>
          <w:color w:val="auto"/>
          <w:vertAlign w:val="subscript"/>
        </w:rPr>
      </w:pPr>
    </w:p>
    <w:p>
      <w:pPr>
        <w:ind w:left="660" w:right="340" w:hanging="652"/>
        <w:spacing w:after="0" w:line="225" w:lineRule="auto"/>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(a) 13,000 ordinary shares and (b) 126,663 options to purchase ordinary shares that are or will be immediately exercisable within 60 days of February 1, 2018.</w:t>
      </w:r>
    </w:p>
    <w:p>
      <w:pPr>
        <w:spacing w:after="0" w:line="233" w:lineRule="exact"/>
        <w:rPr>
          <w:rFonts w:ascii="Arial" w:cs="Arial" w:eastAsia="Arial" w:hAnsi="Arial"/>
          <w:sz w:val="22"/>
          <w:szCs w:val="22"/>
          <w:color w:val="auto"/>
          <w:vertAlign w:val="subscript"/>
        </w:rPr>
      </w:pPr>
    </w:p>
    <w:p>
      <w:pPr>
        <w:ind w:left="660" w:hanging="652"/>
        <w:spacing w:after="0"/>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(a) 135,787 ordinary shares, and (b) warrants to purchase 4,916 ordinary shares.</w:t>
      </w:r>
    </w:p>
    <w:p>
      <w:pPr>
        <w:spacing w:after="0" w:line="313" w:lineRule="exact"/>
        <w:rPr>
          <w:rFonts w:ascii="Arial" w:cs="Arial" w:eastAsia="Arial" w:hAnsi="Arial"/>
          <w:sz w:val="22"/>
          <w:szCs w:val="22"/>
          <w:color w:val="auto"/>
          <w:vertAlign w:val="subscript"/>
        </w:rPr>
      </w:pPr>
    </w:p>
    <w:p>
      <w:pPr>
        <w:ind w:left="660" w:right="720" w:hanging="652"/>
        <w:spacing w:after="0" w:line="225" w:lineRule="auto"/>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Dr. Sinclair is a Partner and Portfolio Manager at Abingworth LLP. Dr. Sinclair does not have voting or dispositive power over any of the shares directly held by Abingworth Vl referenced in footnote (6) above. Dr. Sinclair's business address is 38 Jermyn Street, London SW1Y 6DN, United Kingdom.</w:t>
      </w:r>
    </w:p>
    <w:p>
      <w:pPr>
        <w:spacing w:after="0" w:line="233" w:lineRule="exact"/>
        <w:rPr>
          <w:rFonts w:ascii="Arial" w:cs="Arial" w:eastAsia="Arial" w:hAnsi="Arial"/>
          <w:sz w:val="22"/>
          <w:szCs w:val="22"/>
          <w:color w:val="auto"/>
          <w:vertAlign w:val="subscript"/>
        </w:rPr>
      </w:pPr>
    </w:p>
    <w:p>
      <w:pPr>
        <w:ind w:left="660" w:hanging="652"/>
        <w:spacing w:after="0"/>
        <w:tabs>
          <w:tab w:leader="none" w:pos="660" w:val="left"/>
        </w:tabs>
        <w:numPr>
          <w:ilvl w:val="0"/>
          <w:numId w:val="67"/>
        </w:numPr>
        <w:rPr>
          <w:rFonts w:ascii="Arial" w:cs="Arial" w:eastAsia="Arial" w:hAnsi="Arial"/>
          <w:sz w:val="22"/>
          <w:szCs w:val="22"/>
          <w:color w:val="auto"/>
          <w:vertAlign w:val="subscript"/>
        </w:rPr>
      </w:pPr>
      <w:r>
        <w:rPr>
          <w:rFonts w:ascii="Arial" w:cs="Arial" w:eastAsia="Arial" w:hAnsi="Arial"/>
          <w:sz w:val="14"/>
          <w:szCs w:val="14"/>
          <w:color w:val="auto"/>
        </w:rPr>
        <w:t>Consists of 22,222 options to purchase ordinary shares that are or will be immediately exercisable within 60 days of February 1, 2018.</w:t>
      </w:r>
    </w:p>
    <w:p>
      <w:pPr>
        <w:spacing w:after="0" w:line="3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of our ADSs, there has been no significant change in the percentage ownership held by the major shareholders listed above since January 1, 2017, except as discussed under the heading “Related Party Transactions.”</w:t>
      </w:r>
    </w:p>
    <w:p>
      <w:pPr>
        <w:spacing w:after="0" w:line="20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major shareholders listed above do not have voting rights with respect to their ordinary shares that are different from the voting rights of other holders of our ordinary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Global Offering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April 2017, the holders of 3% or more of our common shares participated in the global offering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Number of ADSs or shares</w:t>
            </w:r>
          </w:p>
        </w:tc>
        <w:tc>
          <w:tcPr>
            <w:tcW w:w="2160" w:type="dxa"/>
            <w:vAlign w:val="bottom"/>
          </w:tcPr>
          <w:p>
            <w:pPr>
              <w:spacing w:after="0"/>
              <w:rPr>
                <w:sz w:val="18"/>
                <w:szCs w:val="18"/>
                <w:color w:val="auto"/>
              </w:rPr>
            </w:pPr>
          </w:p>
        </w:tc>
      </w:tr>
      <w:tr>
        <w:trPr>
          <w:trHeight w:val="22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Investor</w:t>
            </w:r>
          </w:p>
        </w:tc>
        <w:tc>
          <w:tcPr>
            <w:tcW w:w="12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subscribed for</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Aggregate purchase price</w:t>
            </w:r>
          </w:p>
        </w:tc>
      </w:tr>
      <w:tr>
        <w:trPr>
          <w:trHeight w:val="25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Novo A/S</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740,740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9,999,990</w:t>
            </w:r>
          </w:p>
        </w:tc>
      </w:tr>
      <w:tr>
        <w:trPr>
          <w:trHeight w:val="26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Vivo Capital affiliates</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563,380 ADSs</w:t>
            </w:r>
          </w:p>
        </w:tc>
        <w:tc>
          <w:tcPr>
            <w:tcW w:w="2160" w:type="dxa"/>
            <w:vAlign w:val="bottom"/>
          </w:tcPr>
          <w:p>
            <w:pPr>
              <w:jc w:val="center"/>
              <w:spacing w:after="0"/>
              <w:rPr>
                <w:sz w:val="20"/>
                <w:szCs w:val="20"/>
                <w:color w:val="auto"/>
              </w:rPr>
            </w:pPr>
            <w:r>
              <w:rPr>
                <w:rFonts w:ascii="Arial" w:cs="Arial" w:eastAsia="Arial" w:hAnsi="Arial"/>
                <w:sz w:val="18"/>
                <w:szCs w:val="18"/>
                <w:color w:val="auto"/>
              </w:rPr>
              <w:t>USD 7,605,630</w:t>
            </w: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OrbiMed Private Investments VI, LP</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666,666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8,999,991</w:t>
            </w:r>
          </w:p>
        </w:tc>
      </w:tr>
      <w:tr>
        <w:trPr>
          <w:trHeight w:val="26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New Enterprise Associates, LP</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666,666 ADSs</w:t>
            </w:r>
          </w:p>
        </w:tc>
        <w:tc>
          <w:tcPr>
            <w:tcW w:w="2160" w:type="dxa"/>
            <w:vAlign w:val="bottom"/>
          </w:tcPr>
          <w:p>
            <w:pPr>
              <w:jc w:val="center"/>
              <w:spacing w:after="0"/>
              <w:rPr>
                <w:sz w:val="20"/>
                <w:szCs w:val="20"/>
                <w:color w:val="auto"/>
              </w:rPr>
            </w:pPr>
            <w:r>
              <w:rPr>
                <w:rFonts w:ascii="Arial" w:cs="Arial" w:eastAsia="Arial" w:hAnsi="Arial"/>
                <w:sz w:val="18"/>
                <w:szCs w:val="18"/>
                <w:color w:val="auto"/>
              </w:rPr>
              <w:t>USD 8,999,991</w:t>
            </w: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Abingworth Bioventures VI, LP</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463,125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6,252,188</w:t>
            </w:r>
          </w:p>
        </w:tc>
      </w:tr>
      <w:tr>
        <w:trPr>
          <w:trHeight w:val="26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venBio Select Advisor</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875,000 ADSs</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USD 11,812,500</w:t>
            </w: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Biodiscovery 4 FCPI</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444,444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5,999,994</w:t>
            </w:r>
          </w:p>
        </w:tc>
      </w:tr>
      <w:tr>
        <w:trPr>
          <w:trHeight w:val="26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Foresite</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600,000 ADSs</w:t>
            </w:r>
          </w:p>
        </w:tc>
        <w:tc>
          <w:tcPr>
            <w:tcW w:w="2160" w:type="dxa"/>
            <w:vAlign w:val="bottom"/>
          </w:tcPr>
          <w:p>
            <w:pPr>
              <w:jc w:val="center"/>
              <w:spacing w:after="0"/>
              <w:rPr>
                <w:sz w:val="20"/>
                <w:szCs w:val="20"/>
                <w:color w:val="auto"/>
              </w:rPr>
            </w:pPr>
            <w:r>
              <w:rPr>
                <w:rFonts w:ascii="Arial" w:cs="Arial" w:eastAsia="Arial" w:hAnsi="Arial"/>
                <w:sz w:val="18"/>
                <w:szCs w:val="18"/>
                <w:color w:val="auto"/>
              </w:rPr>
              <w:t>USD 8,100,000</w:t>
            </w: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Tekla Capital affiliates</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275,000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3,712,500</w:t>
            </w:r>
          </w:p>
        </w:tc>
      </w:tr>
      <w:tr>
        <w:trPr>
          <w:trHeight w:val="26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Aisling Capital IV, LP</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259,260 ADSs</w:t>
            </w:r>
          </w:p>
        </w:tc>
        <w:tc>
          <w:tcPr>
            <w:tcW w:w="2160" w:type="dxa"/>
            <w:vAlign w:val="bottom"/>
          </w:tcPr>
          <w:p>
            <w:pPr>
              <w:jc w:val="center"/>
              <w:spacing w:after="0"/>
              <w:rPr>
                <w:sz w:val="20"/>
                <w:szCs w:val="20"/>
                <w:color w:val="auto"/>
              </w:rPr>
            </w:pPr>
            <w:r>
              <w:rPr>
                <w:rFonts w:ascii="Arial" w:cs="Arial" w:eastAsia="Arial" w:hAnsi="Arial"/>
                <w:sz w:val="18"/>
                <w:szCs w:val="18"/>
                <w:color w:val="auto"/>
              </w:rPr>
              <w:t>USD 3,500,010</w:t>
            </w: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Arix Bioscience Holdings Ltd affiliates</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170,228 ADSs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USD 2,298,078</w:t>
            </w:r>
          </w:p>
        </w:tc>
      </w:tr>
      <w:tr>
        <w:trPr>
          <w:trHeight w:val="25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Canaccord Genuity Group, Inc.</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1,255,001 shares</w:t>
            </w:r>
          </w:p>
        </w:tc>
        <w:tc>
          <w:tcPr>
            <w:tcW w:w="2160" w:type="dxa"/>
            <w:vAlign w:val="bottom"/>
          </w:tcPr>
          <w:p>
            <w:pPr>
              <w:jc w:val="center"/>
              <w:spacing w:after="0"/>
              <w:rPr>
                <w:sz w:val="20"/>
                <w:szCs w:val="20"/>
                <w:color w:val="auto"/>
              </w:rPr>
            </w:pPr>
            <w:r>
              <w:rPr>
                <w:rFonts w:ascii="Arial" w:cs="Arial" w:eastAsia="Arial" w:hAnsi="Arial"/>
                <w:sz w:val="18"/>
                <w:szCs w:val="18"/>
                <w:color w:val="auto"/>
              </w:rPr>
              <w:t>GBP 1,656,601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Private Placement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issued and sold 13,373 ordinary shares to our Chairman, Dr. David Ebsworth, for aggregate gross proceeds to us of £18,000.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49"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July 2016, we entered into a registration rights agreement that provided certain demand registration rights to Abingworth Bioventures VI, LP, or Abingworth, Growth Equity Opportunities Fund IV, LLC, OrbiMed Private Investments VI, LP, or OrbiMed, and Vivo Ventures Fund VII, L.P., Vivo Ventures VII Affiliates Fund, L.P., Vivo Ventures Fund VI, L.P., and Vivo Ventures Fund VI Affiliates Fund, L.P., or collectively, Vivo Capital, with respect to the ordinary shares and any ADSs held by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any time, the holders of at least a majority of the registrable securities as defined in the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3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Registration Rights</w:t>
      </w:r>
    </w:p>
    <w:p>
      <w:pPr>
        <w:spacing w:after="0" w:line="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registration rights granted under the registration rights agreement shall terminate upon the earlier to occur of (i) the fifth anniversary of the closing of the global offering and (ii) the date on which there are no registrable securities remaining pursuant to the registration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2016, we entered into relationship agreements with each of Vivo Capital, OrbiMed, and Abingworth,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and Abingworth to our board of directors, who are Dr. Mahendra Shah, Mr. Rishi Gupta, and Dr. Andrew Sinclair, respectively. The appointment rights under the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and this has been in place since March 31, 2017. In addition to such indemnification, we provide our directors and executive officers with directors’ and officers’ liability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2017 or currently in effect with any member of our board of directors and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 and Directors</w:t>
      </w:r>
    </w:p>
    <w:p>
      <w:pPr>
        <w:spacing w:after="0" w:line="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have entered into employment agreements with certain of our executive officers and service agreements with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6B and note 8 of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U.S. Initial Public Offering</w:t>
      </w:r>
    </w:p>
    <w:p>
      <w:pPr>
        <w:spacing w:after="0" w:line="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part of the global offering our Chairman, Dr. David Ebsworth, purchased 13,373 shares at £1.32 per share generating gross proceeds of £18 thousand. The transaction was on the same terms as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Our consolidated financial statements are appended at the end of this Annual Report, starting at page F-1, and are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 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since December 31, 2017.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THE 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ADSs have been listed on The Nasdaq Global Market under the symbol “VRNA” since April 27, 2017. The initial public offering price of our ADSs was $13.50 per ADS. The following table sets forth for the periods indicated the high and low sales prices per common share as reported on The Nasdaq Global Market:</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Pr>
          <w:p>
            <w:pPr>
              <w:spacing w:after="0"/>
              <w:rPr>
                <w:sz w:val="21"/>
                <w:szCs w:val="21"/>
                <w:color w:val="auto"/>
              </w:rPr>
            </w:pPr>
          </w:p>
        </w:tc>
        <w:tc>
          <w:tcPr>
            <w:tcW w:w="456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Price Per Common ADS ($)</w:t>
            </w:r>
          </w:p>
        </w:tc>
      </w:tr>
      <w:tr>
        <w:trPr>
          <w:trHeight w:val="250"/>
        </w:trPr>
        <w:tc>
          <w:tcPr>
            <w:tcW w:w="68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High</w:t>
            </w: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0"/>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2017 (from April 27 through December 31)</w:t>
            </w:r>
          </w:p>
        </w:tc>
        <w:tc>
          <w:tcPr>
            <w:tcW w:w="3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16.95</w:t>
            </w:r>
          </w:p>
        </w:tc>
        <w:tc>
          <w:tcPr>
            <w:tcW w:w="142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color w:val="auto"/>
                <w:w w:val="97"/>
              </w:rPr>
              <w:t>10.80</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w:t>
            </w:r>
          </w:p>
        </w:tc>
        <w:tc>
          <w:tcPr>
            <w:tcW w:w="3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Second Quarter 2017 (beginning April 27)</w:t>
            </w:r>
          </w:p>
        </w:tc>
        <w:tc>
          <w:tcPr>
            <w:tcW w:w="3140" w:type="dxa"/>
            <w:vAlign w:val="bottom"/>
          </w:tcPr>
          <w:p>
            <w:pPr>
              <w:ind w:left="920"/>
              <w:spacing w:after="0"/>
              <w:rPr>
                <w:sz w:val="20"/>
                <w:szCs w:val="20"/>
                <w:color w:val="auto"/>
              </w:rPr>
            </w:pPr>
            <w:r>
              <w:rPr>
                <w:rFonts w:ascii="Arial" w:cs="Arial" w:eastAsia="Arial" w:hAnsi="Arial"/>
                <w:sz w:val="18"/>
                <w:szCs w:val="18"/>
                <w:color w:val="auto"/>
              </w:rPr>
              <w:t>16.26</w:t>
            </w:r>
          </w:p>
        </w:tc>
        <w:tc>
          <w:tcPr>
            <w:tcW w:w="1420" w:type="dxa"/>
            <w:vAlign w:val="bottom"/>
          </w:tcPr>
          <w:p>
            <w:pPr>
              <w:jc w:val="center"/>
              <w:ind w:right="770"/>
              <w:spacing w:after="0"/>
              <w:rPr>
                <w:sz w:val="20"/>
                <w:szCs w:val="20"/>
                <w:color w:val="auto"/>
              </w:rPr>
            </w:pPr>
            <w:r>
              <w:rPr>
                <w:rFonts w:ascii="Arial" w:cs="Arial" w:eastAsia="Arial" w:hAnsi="Arial"/>
                <w:sz w:val="18"/>
                <w:szCs w:val="18"/>
                <w:color w:val="auto"/>
                <w:w w:val="97"/>
              </w:rPr>
              <w:t>11.40</w:t>
            </w:r>
          </w:p>
        </w:tc>
      </w:tr>
      <w:tr>
        <w:trPr>
          <w:trHeight w:val="26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2017</w:t>
            </w:r>
          </w:p>
        </w:tc>
        <w:tc>
          <w:tcPr>
            <w:tcW w:w="3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16.95</w:t>
            </w:r>
          </w:p>
        </w:tc>
        <w:tc>
          <w:tcPr>
            <w:tcW w:w="142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7"/>
              </w:rPr>
              <w:t>11.54</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Fourth Quarter 2017</w:t>
            </w:r>
          </w:p>
        </w:tc>
        <w:tc>
          <w:tcPr>
            <w:tcW w:w="3140" w:type="dxa"/>
            <w:vAlign w:val="bottom"/>
          </w:tcPr>
          <w:p>
            <w:pPr>
              <w:ind w:left="920"/>
              <w:spacing w:after="0"/>
              <w:rPr>
                <w:sz w:val="20"/>
                <w:szCs w:val="20"/>
                <w:color w:val="auto"/>
              </w:rPr>
            </w:pPr>
            <w:r>
              <w:rPr>
                <w:rFonts w:ascii="Arial" w:cs="Arial" w:eastAsia="Arial" w:hAnsi="Arial"/>
                <w:sz w:val="18"/>
                <w:szCs w:val="18"/>
                <w:color w:val="auto"/>
              </w:rPr>
              <w:t>15.75</w:t>
            </w:r>
          </w:p>
        </w:tc>
        <w:tc>
          <w:tcPr>
            <w:tcW w:w="1420" w:type="dxa"/>
            <w:vAlign w:val="bottom"/>
          </w:tcPr>
          <w:p>
            <w:pPr>
              <w:jc w:val="center"/>
              <w:ind w:right="770"/>
              <w:spacing w:after="0"/>
              <w:rPr>
                <w:sz w:val="20"/>
                <w:szCs w:val="20"/>
                <w:color w:val="auto"/>
              </w:rPr>
            </w:pPr>
            <w:r>
              <w:rPr>
                <w:rFonts w:ascii="Arial" w:cs="Arial" w:eastAsia="Arial" w:hAnsi="Arial"/>
                <w:sz w:val="18"/>
                <w:szCs w:val="18"/>
                <w:color w:val="auto"/>
                <w:w w:val="97"/>
              </w:rPr>
              <w:t>10.80</w:t>
            </w:r>
          </w:p>
        </w:tc>
      </w:tr>
      <w:tr>
        <w:trPr>
          <w:trHeight w:val="257"/>
        </w:trPr>
        <w:tc>
          <w:tcPr>
            <w:tcW w:w="6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First Quarter 2018 (through February 16)</w:t>
            </w:r>
          </w:p>
        </w:tc>
        <w:tc>
          <w:tcPr>
            <w:tcW w:w="3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13.25</w:t>
            </w:r>
          </w:p>
        </w:tc>
        <w:tc>
          <w:tcPr>
            <w:tcW w:w="1420" w:type="dxa"/>
            <w:vAlign w:val="bottom"/>
            <w:tcBorders>
              <w:bottom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7"/>
              </w:rPr>
              <w:t>11.69</w:t>
            </w: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Month of</w:t>
            </w:r>
          </w:p>
        </w:tc>
        <w:tc>
          <w:tcPr>
            <w:tcW w:w="3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2017</w:t>
            </w:r>
          </w:p>
        </w:tc>
        <w:tc>
          <w:tcPr>
            <w:tcW w:w="3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12.70</w:t>
            </w:r>
          </w:p>
        </w:tc>
        <w:tc>
          <w:tcPr>
            <w:tcW w:w="142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7"/>
              </w:rPr>
              <w:t>11.80</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September 2017</w:t>
            </w:r>
          </w:p>
        </w:tc>
        <w:tc>
          <w:tcPr>
            <w:tcW w:w="3140" w:type="dxa"/>
            <w:vAlign w:val="bottom"/>
          </w:tcPr>
          <w:p>
            <w:pPr>
              <w:ind w:left="920"/>
              <w:spacing w:after="0"/>
              <w:rPr>
                <w:sz w:val="20"/>
                <w:szCs w:val="20"/>
                <w:color w:val="auto"/>
              </w:rPr>
            </w:pPr>
            <w:r>
              <w:rPr>
                <w:rFonts w:ascii="Arial" w:cs="Arial" w:eastAsia="Arial" w:hAnsi="Arial"/>
                <w:sz w:val="18"/>
                <w:szCs w:val="18"/>
                <w:color w:val="auto"/>
              </w:rPr>
              <w:t>16.95</w:t>
            </w:r>
          </w:p>
        </w:tc>
        <w:tc>
          <w:tcPr>
            <w:tcW w:w="1420" w:type="dxa"/>
            <w:vAlign w:val="bottom"/>
          </w:tcPr>
          <w:p>
            <w:pPr>
              <w:jc w:val="center"/>
              <w:ind w:right="770"/>
              <w:spacing w:after="0"/>
              <w:rPr>
                <w:sz w:val="20"/>
                <w:szCs w:val="20"/>
                <w:color w:val="auto"/>
              </w:rPr>
            </w:pPr>
            <w:r>
              <w:rPr>
                <w:rFonts w:ascii="Arial" w:cs="Arial" w:eastAsia="Arial" w:hAnsi="Arial"/>
                <w:sz w:val="18"/>
                <w:szCs w:val="18"/>
                <w:color w:val="auto"/>
                <w:w w:val="97"/>
              </w:rPr>
              <w:t>11.96</w:t>
            </w:r>
          </w:p>
        </w:tc>
      </w:tr>
      <w:tr>
        <w:trPr>
          <w:trHeight w:val="26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2017</w:t>
            </w:r>
          </w:p>
        </w:tc>
        <w:tc>
          <w:tcPr>
            <w:tcW w:w="3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15.75</w:t>
            </w:r>
          </w:p>
        </w:tc>
        <w:tc>
          <w:tcPr>
            <w:tcW w:w="142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7"/>
              </w:rPr>
              <w:t>13.35</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November 2017</w:t>
            </w:r>
          </w:p>
        </w:tc>
        <w:tc>
          <w:tcPr>
            <w:tcW w:w="3140" w:type="dxa"/>
            <w:vAlign w:val="bottom"/>
          </w:tcPr>
          <w:p>
            <w:pPr>
              <w:ind w:left="920"/>
              <w:spacing w:after="0"/>
              <w:rPr>
                <w:sz w:val="20"/>
                <w:szCs w:val="20"/>
                <w:color w:val="auto"/>
              </w:rPr>
            </w:pPr>
            <w:r>
              <w:rPr>
                <w:rFonts w:ascii="Arial" w:cs="Arial" w:eastAsia="Arial" w:hAnsi="Arial"/>
                <w:sz w:val="18"/>
                <w:szCs w:val="18"/>
                <w:color w:val="auto"/>
              </w:rPr>
              <w:t>14.13</w:t>
            </w:r>
          </w:p>
        </w:tc>
        <w:tc>
          <w:tcPr>
            <w:tcW w:w="1420" w:type="dxa"/>
            <w:vAlign w:val="bottom"/>
          </w:tcPr>
          <w:p>
            <w:pPr>
              <w:jc w:val="center"/>
              <w:ind w:right="770"/>
              <w:spacing w:after="0"/>
              <w:rPr>
                <w:sz w:val="20"/>
                <w:szCs w:val="20"/>
                <w:color w:val="auto"/>
              </w:rPr>
            </w:pPr>
            <w:r>
              <w:rPr>
                <w:rFonts w:ascii="Arial" w:cs="Arial" w:eastAsia="Arial" w:hAnsi="Arial"/>
                <w:sz w:val="18"/>
                <w:szCs w:val="18"/>
                <w:color w:val="auto"/>
                <w:w w:val="97"/>
              </w:rPr>
              <w:t>10.80</w:t>
            </w:r>
          </w:p>
        </w:tc>
      </w:tr>
      <w:tr>
        <w:trPr>
          <w:trHeight w:val="26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2017</w:t>
            </w:r>
          </w:p>
        </w:tc>
        <w:tc>
          <w:tcPr>
            <w:tcW w:w="3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12.10</w:t>
            </w:r>
          </w:p>
        </w:tc>
        <w:tc>
          <w:tcPr>
            <w:tcW w:w="142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7"/>
              </w:rPr>
              <w:t>11.30</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January 2018</w:t>
            </w:r>
          </w:p>
        </w:tc>
        <w:tc>
          <w:tcPr>
            <w:tcW w:w="3140" w:type="dxa"/>
            <w:vAlign w:val="bottom"/>
          </w:tcPr>
          <w:p>
            <w:pPr>
              <w:ind w:left="920"/>
              <w:spacing w:after="0"/>
              <w:rPr>
                <w:sz w:val="20"/>
                <w:szCs w:val="20"/>
                <w:color w:val="auto"/>
              </w:rPr>
            </w:pPr>
            <w:r>
              <w:rPr>
                <w:rFonts w:ascii="Arial" w:cs="Arial" w:eastAsia="Arial" w:hAnsi="Arial"/>
                <w:sz w:val="18"/>
                <w:szCs w:val="18"/>
                <w:color w:val="auto"/>
              </w:rPr>
              <w:t>13.25</w:t>
            </w:r>
          </w:p>
        </w:tc>
        <w:tc>
          <w:tcPr>
            <w:tcW w:w="1420" w:type="dxa"/>
            <w:vAlign w:val="bottom"/>
          </w:tcPr>
          <w:p>
            <w:pPr>
              <w:jc w:val="center"/>
              <w:ind w:right="770"/>
              <w:spacing w:after="0"/>
              <w:rPr>
                <w:sz w:val="20"/>
                <w:szCs w:val="20"/>
                <w:color w:val="auto"/>
              </w:rPr>
            </w:pPr>
            <w:r>
              <w:rPr>
                <w:rFonts w:ascii="Arial" w:cs="Arial" w:eastAsia="Arial" w:hAnsi="Arial"/>
                <w:sz w:val="18"/>
                <w:szCs w:val="18"/>
                <w:color w:val="auto"/>
                <w:w w:val="97"/>
              </w:rPr>
              <w:t>12.21</w:t>
            </w:r>
          </w:p>
        </w:tc>
      </w:tr>
      <w:tr>
        <w:trPr>
          <w:trHeight w:val="23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2018 (through February 16)</w:t>
            </w:r>
          </w:p>
        </w:tc>
        <w:tc>
          <w:tcPr>
            <w:tcW w:w="3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12.80</w:t>
            </w:r>
          </w:p>
        </w:tc>
        <w:tc>
          <w:tcPr>
            <w:tcW w:w="142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shd w:val="clear" w:color="auto" w:fill="CCEEFF"/>
              </w:rPr>
              <w:t>11.693</w:t>
            </w:r>
          </w:p>
        </w:tc>
      </w:tr>
      <w:tr>
        <w:trPr>
          <w:trHeight w:val="27"/>
        </w:trPr>
        <w:tc>
          <w:tcPr>
            <w:tcW w:w="68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ordinary shares have been trading on AIM, a market operated by the London Stock Exchange plc, under the symbol “VRP” since September 2006. The following table sets forth, for the periods indicated, the reported high and low closing sale prices of our ordinary shares on AIM in pounds sterling.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68"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6"/>
        </w:trPr>
        <w:tc>
          <w:tcPr>
            <w:tcW w:w="75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Price Per Share (£)</w:t>
            </w:r>
          </w:p>
        </w:tc>
      </w:tr>
      <w:tr>
        <w:trPr>
          <w:trHeight w:val="264"/>
        </w:trPr>
        <w:tc>
          <w:tcPr>
            <w:tcW w:w="7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High</w:t>
            </w:r>
          </w:p>
        </w:tc>
        <w:tc>
          <w:tcPr>
            <w:tcW w:w="274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b w:val="1"/>
                <w:bCs w:val="1"/>
                <w:color w:val="auto"/>
              </w:rPr>
              <w:t>Low</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2.58</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0.88</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2014</w:t>
            </w:r>
          </w:p>
        </w:tc>
        <w:tc>
          <w:tcPr>
            <w:tcW w:w="1140" w:type="dxa"/>
            <w:vAlign w:val="bottom"/>
          </w:tcPr>
          <w:p>
            <w:pPr>
              <w:ind w:left="740"/>
              <w:spacing w:after="0"/>
              <w:rPr>
                <w:sz w:val="20"/>
                <w:szCs w:val="20"/>
                <w:color w:val="auto"/>
              </w:rPr>
            </w:pPr>
            <w:r>
              <w:rPr>
                <w:rFonts w:ascii="Arial" w:cs="Arial" w:eastAsia="Arial" w:hAnsi="Arial"/>
                <w:sz w:val="18"/>
                <w:szCs w:val="18"/>
                <w:color w:val="auto"/>
              </w:rPr>
              <w:t>2.18</w:t>
            </w:r>
          </w:p>
        </w:tc>
        <w:tc>
          <w:tcPr>
            <w:tcW w:w="2740" w:type="dxa"/>
            <w:vAlign w:val="bottom"/>
          </w:tcPr>
          <w:p>
            <w:pPr>
              <w:ind w:left="1660"/>
              <w:spacing w:after="0"/>
              <w:rPr>
                <w:sz w:val="20"/>
                <w:szCs w:val="20"/>
                <w:color w:val="auto"/>
              </w:rPr>
            </w:pPr>
            <w:r>
              <w:rPr>
                <w:rFonts w:ascii="Arial" w:cs="Arial" w:eastAsia="Arial" w:hAnsi="Arial"/>
                <w:sz w:val="18"/>
                <w:szCs w:val="18"/>
                <w:color w:val="auto"/>
              </w:rPr>
              <w:t>0.53</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3.36</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0.60</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2016</w:t>
            </w:r>
          </w:p>
        </w:tc>
        <w:tc>
          <w:tcPr>
            <w:tcW w:w="1140" w:type="dxa"/>
            <w:vAlign w:val="bottom"/>
          </w:tcPr>
          <w:p>
            <w:pPr>
              <w:ind w:left="740"/>
              <w:spacing w:after="0"/>
              <w:rPr>
                <w:sz w:val="20"/>
                <w:szCs w:val="20"/>
                <w:color w:val="auto"/>
              </w:rPr>
            </w:pPr>
            <w:r>
              <w:rPr>
                <w:rFonts w:ascii="Arial" w:cs="Arial" w:eastAsia="Arial" w:hAnsi="Arial"/>
                <w:sz w:val="18"/>
                <w:szCs w:val="18"/>
                <w:color w:val="auto"/>
              </w:rPr>
              <w:t>2.16</w:t>
            </w:r>
          </w:p>
        </w:tc>
        <w:tc>
          <w:tcPr>
            <w:tcW w:w="2740" w:type="dxa"/>
            <w:vAlign w:val="bottom"/>
          </w:tcPr>
          <w:p>
            <w:pPr>
              <w:ind w:left="1660"/>
              <w:spacing w:after="0"/>
              <w:rPr>
                <w:sz w:val="20"/>
                <w:szCs w:val="20"/>
                <w:color w:val="auto"/>
              </w:rPr>
            </w:pPr>
            <w:r>
              <w:rPr>
                <w:rFonts w:ascii="Arial" w:cs="Arial" w:eastAsia="Arial" w:hAnsi="Arial"/>
                <w:sz w:val="18"/>
                <w:szCs w:val="18"/>
                <w:color w:val="auto"/>
              </w:rPr>
              <w:t>1.19</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1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1.69</w:t>
            </w:r>
          </w:p>
        </w:tc>
        <w:tc>
          <w:tcPr>
            <w:tcW w:w="27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1.04</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114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 2016</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2.16</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1.19</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Second Quarter 2016</w:t>
            </w:r>
          </w:p>
        </w:tc>
        <w:tc>
          <w:tcPr>
            <w:tcW w:w="1140" w:type="dxa"/>
            <w:vAlign w:val="bottom"/>
          </w:tcPr>
          <w:p>
            <w:pPr>
              <w:ind w:left="740"/>
              <w:spacing w:after="0"/>
              <w:rPr>
                <w:sz w:val="20"/>
                <w:szCs w:val="20"/>
                <w:color w:val="auto"/>
              </w:rPr>
            </w:pPr>
            <w:r>
              <w:rPr>
                <w:rFonts w:ascii="Arial" w:cs="Arial" w:eastAsia="Arial" w:hAnsi="Arial"/>
                <w:sz w:val="18"/>
                <w:szCs w:val="18"/>
                <w:color w:val="auto"/>
              </w:rPr>
              <w:t>1.86</w:t>
            </w:r>
          </w:p>
        </w:tc>
        <w:tc>
          <w:tcPr>
            <w:tcW w:w="2740" w:type="dxa"/>
            <w:vAlign w:val="bottom"/>
          </w:tcPr>
          <w:p>
            <w:pPr>
              <w:ind w:left="1660"/>
              <w:spacing w:after="0"/>
              <w:rPr>
                <w:sz w:val="20"/>
                <w:szCs w:val="20"/>
                <w:color w:val="auto"/>
              </w:rPr>
            </w:pPr>
            <w:r>
              <w:rPr>
                <w:rFonts w:ascii="Arial" w:cs="Arial" w:eastAsia="Arial" w:hAnsi="Arial"/>
                <w:sz w:val="18"/>
                <w:szCs w:val="18"/>
                <w:color w:val="auto"/>
              </w:rPr>
              <w:t>1.41</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2016</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1.73</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1.48</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Fourth Quarter 2016</w:t>
            </w:r>
          </w:p>
        </w:tc>
        <w:tc>
          <w:tcPr>
            <w:tcW w:w="1140" w:type="dxa"/>
            <w:vAlign w:val="bottom"/>
          </w:tcPr>
          <w:p>
            <w:pPr>
              <w:ind w:left="740"/>
              <w:spacing w:after="0"/>
              <w:rPr>
                <w:sz w:val="20"/>
                <w:szCs w:val="20"/>
                <w:color w:val="auto"/>
              </w:rPr>
            </w:pPr>
            <w:r>
              <w:rPr>
                <w:rFonts w:ascii="Arial" w:cs="Arial" w:eastAsia="Arial" w:hAnsi="Arial"/>
                <w:sz w:val="18"/>
                <w:szCs w:val="18"/>
                <w:color w:val="auto"/>
              </w:rPr>
              <w:t>2.06</w:t>
            </w:r>
          </w:p>
        </w:tc>
        <w:tc>
          <w:tcPr>
            <w:tcW w:w="2740" w:type="dxa"/>
            <w:vAlign w:val="bottom"/>
          </w:tcPr>
          <w:p>
            <w:pPr>
              <w:ind w:left="1660"/>
              <w:spacing w:after="0"/>
              <w:rPr>
                <w:sz w:val="20"/>
                <w:szCs w:val="20"/>
                <w:color w:val="auto"/>
              </w:rPr>
            </w:pPr>
            <w:r>
              <w:rPr>
                <w:rFonts w:ascii="Arial" w:cs="Arial" w:eastAsia="Arial" w:hAnsi="Arial"/>
                <w:sz w:val="18"/>
                <w:szCs w:val="18"/>
                <w:color w:val="auto"/>
              </w:rPr>
              <w:t>1.55</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 2017</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1.69</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1.25</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Second Quarter 2017</w:t>
            </w:r>
          </w:p>
        </w:tc>
        <w:tc>
          <w:tcPr>
            <w:tcW w:w="1140" w:type="dxa"/>
            <w:vAlign w:val="bottom"/>
          </w:tcPr>
          <w:p>
            <w:pPr>
              <w:ind w:left="740"/>
              <w:spacing w:after="0"/>
              <w:rPr>
                <w:sz w:val="20"/>
                <w:szCs w:val="20"/>
                <w:color w:val="auto"/>
              </w:rPr>
            </w:pPr>
            <w:r>
              <w:rPr>
                <w:rFonts w:ascii="Arial" w:cs="Arial" w:eastAsia="Arial" w:hAnsi="Arial"/>
                <w:sz w:val="18"/>
                <w:szCs w:val="18"/>
                <w:color w:val="auto"/>
              </w:rPr>
              <w:t>1.61</w:t>
            </w:r>
          </w:p>
        </w:tc>
        <w:tc>
          <w:tcPr>
            <w:tcW w:w="2740" w:type="dxa"/>
            <w:vAlign w:val="bottom"/>
          </w:tcPr>
          <w:p>
            <w:pPr>
              <w:ind w:left="1660"/>
              <w:spacing w:after="0"/>
              <w:rPr>
                <w:sz w:val="20"/>
                <w:szCs w:val="20"/>
                <w:color w:val="auto"/>
              </w:rPr>
            </w:pPr>
            <w:r>
              <w:rPr>
                <w:rFonts w:ascii="Arial" w:cs="Arial" w:eastAsia="Arial" w:hAnsi="Arial"/>
                <w:sz w:val="18"/>
                <w:szCs w:val="18"/>
                <w:color w:val="auto"/>
              </w:rPr>
              <w:t>1.11</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2017</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1.53</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1.12</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Fourth Quarter 2017</w:t>
            </w:r>
          </w:p>
        </w:tc>
        <w:tc>
          <w:tcPr>
            <w:tcW w:w="1140" w:type="dxa"/>
            <w:vAlign w:val="bottom"/>
          </w:tcPr>
          <w:p>
            <w:pPr>
              <w:ind w:left="740"/>
              <w:spacing w:after="0"/>
              <w:rPr>
                <w:sz w:val="20"/>
                <w:szCs w:val="20"/>
                <w:color w:val="auto"/>
              </w:rPr>
            </w:pPr>
            <w:r>
              <w:rPr>
                <w:rFonts w:ascii="Arial" w:cs="Arial" w:eastAsia="Arial" w:hAnsi="Arial"/>
                <w:sz w:val="18"/>
                <w:szCs w:val="18"/>
                <w:color w:val="auto"/>
              </w:rPr>
              <w:t>1.48</w:t>
            </w:r>
          </w:p>
        </w:tc>
        <w:tc>
          <w:tcPr>
            <w:tcW w:w="2740" w:type="dxa"/>
            <w:vAlign w:val="bottom"/>
          </w:tcPr>
          <w:p>
            <w:pPr>
              <w:ind w:left="1660"/>
              <w:spacing w:after="0"/>
              <w:rPr>
                <w:sz w:val="20"/>
                <w:szCs w:val="20"/>
                <w:color w:val="auto"/>
              </w:rPr>
            </w:pPr>
            <w:r>
              <w:rPr>
                <w:rFonts w:ascii="Arial" w:cs="Arial" w:eastAsia="Arial" w:hAnsi="Arial"/>
                <w:sz w:val="18"/>
                <w:szCs w:val="18"/>
                <w:color w:val="auto"/>
              </w:rPr>
              <w:t>1.04</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First Quarter 2018 (through February 16)</w:t>
            </w:r>
          </w:p>
        </w:tc>
        <w:tc>
          <w:tcPr>
            <w:tcW w:w="11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1.21</w:t>
            </w:r>
          </w:p>
        </w:tc>
        <w:tc>
          <w:tcPr>
            <w:tcW w:w="27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1.02</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Month of</w:t>
            </w:r>
          </w:p>
        </w:tc>
        <w:tc>
          <w:tcPr>
            <w:tcW w:w="114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2017</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1.24</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1.16</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September 2017</w:t>
            </w:r>
          </w:p>
        </w:tc>
        <w:tc>
          <w:tcPr>
            <w:tcW w:w="1140" w:type="dxa"/>
            <w:vAlign w:val="bottom"/>
          </w:tcPr>
          <w:p>
            <w:pPr>
              <w:ind w:left="740"/>
              <w:spacing w:after="0"/>
              <w:rPr>
                <w:sz w:val="20"/>
                <w:szCs w:val="20"/>
                <w:color w:val="auto"/>
              </w:rPr>
            </w:pPr>
            <w:r>
              <w:rPr>
                <w:rFonts w:ascii="Arial" w:cs="Arial" w:eastAsia="Arial" w:hAnsi="Arial"/>
                <w:sz w:val="18"/>
                <w:szCs w:val="18"/>
                <w:color w:val="auto"/>
              </w:rPr>
              <w:t>1.53</w:t>
            </w:r>
          </w:p>
        </w:tc>
        <w:tc>
          <w:tcPr>
            <w:tcW w:w="2740" w:type="dxa"/>
            <w:vAlign w:val="bottom"/>
          </w:tcPr>
          <w:p>
            <w:pPr>
              <w:ind w:left="1660"/>
              <w:spacing w:after="0"/>
              <w:rPr>
                <w:sz w:val="20"/>
                <w:szCs w:val="20"/>
                <w:color w:val="auto"/>
              </w:rPr>
            </w:pPr>
            <w:r>
              <w:rPr>
                <w:rFonts w:ascii="Arial" w:cs="Arial" w:eastAsia="Arial" w:hAnsi="Arial"/>
                <w:sz w:val="18"/>
                <w:szCs w:val="18"/>
                <w:color w:val="auto"/>
              </w:rPr>
              <w:t>1.12</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2017</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1.48</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1.33</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November 2017</w:t>
            </w:r>
          </w:p>
        </w:tc>
        <w:tc>
          <w:tcPr>
            <w:tcW w:w="1140" w:type="dxa"/>
            <w:vAlign w:val="bottom"/>
          </w:tcPr>
          <w:p>
            <w:pPr>
              <w:ind w:left="740"/>
              <w:spacing w:after="0"/>
              <w:rPr>
                <w:sz w:val="20"/>
                <w:szCs w:val="20"/>
                <w:color w:val="auto"/>
              </w:rPr>
            </w:pPr>
            <w:r>
              <w:rPr>
                <w:rFonts w:ascii="Arial" w:cs="Arial" w:eastAsia="Arial" w:hAnsi="Arial"/>
                <w:sz w:val="18"/>
                <w:szCs w:val="18"/>
                <w:color w:val="auto"/>
              </w:rPr>
              <w:t>1.34</w:t>
            </w:r>
          </w:p>
        </w:tc>
        <w:tc>
          <w:tcPr>
            <w:tcW w:w="2740" w:type="dxa"/>
            <w:vAlign w:val="bottom"/>
          </w:tcPr>
          <w:p>
            <w:pPr>
              <w:ind w:left="1660"/>
              <w:spacing w:after="0"/>
              <w:rPr>
                <w:sz w:val="20"/>
                <w:szCs w:val="20"/>
                <w:color w:val="auto"/>
              </w:rPr>
            </w:pPr>
            <w:r>
              <w:rPr>
                <w:rFonts w:ascii="Arial" w:cs="Arial" w:eastAsia="Arial" w:hAnsi="Arial"/>
                <w:sz w:val="18"/>
                <w:szCs w:val="18"/>
                <w:color w:val="auto"/>
              </w:rPr>
              <w:t>1.06</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2017</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1.11</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1.04</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January 2018</w:t>
            </w:r>
          </w:p>
        </w:tc>
        <w:tc>
          <w:tcPr>
            <w:tcW w:w="1140" w:type="dxa"/>
            <w:vAlign w:val="bottom"/>
          </w:tcPr>
          <w:p>
            <w:pPr>
              <w:ind w:left="740"/>
              <w:spacing w:after="0"/>
              <w:rPr>
                <w:sz w:val="20"/>
                <w:szCs w:val="20"/>
                <w:color w:val="auto"/>
              </w:rPr>
            </w:pPr>
            <w:r>
              <w:rPr>
                <w:rFonts w:ascii="Arial" w:cs="Arial" w:eastAsia="Arial" w:hAnsi="Arial"/>
                <w:sz w:val="18"/>
                <w:szCs w:val="18"/>
                <w:color w:val="auto"/>
              </w:rPr>
              <w:t>1.21</w:t>
            </w:r>
          </w:p>
        </w:tc>
        <w:tc>
          <w:tcPr>
            <w:tcW w:w="2740" w:type="dxa"/>
            <w:vAlign w:val="bottom"/>
          </w:tcPr>
          <w:p>
            <w:pPr>
              <w:ind w:left="1660"/>
              <w:spacing w:after="0"/>
              <w:rPr>
                <w:sz w:val="20"/>
                <w:szCs w:val="20"/>
                <w:color w:val="auto"/>
              </w:rPr>
            </w:pPr>
            <w:r>
              <w:rPr>
                <w:rFonts w:ascii="Arial" w:cs="Arial" w:eastAsia="Arial" w:hAnsi="Arial"/>
                <w:sz w:val="18"/>
                <w:szCs w:val="18"/>
                <w:color w:val="auto"/>
              </w:rPr>
              <w:t>1.06</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2018 (through February 16)</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1.21</w:t>
            </w:r>
          </w:p>
        </w:tc>
        <w:tc>
          <w:tcPr>
            <w:tcW w:w="27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Plan of Distribution.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Ordinary Shares have been listed on the AIM market of the London Stock Exchange since September 19, 2006, and our ADSs have been listed on The Nasdaq Global Market under the symbol “VRNA” since April 27,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ind w:right="10220" w:firstLine="8"/>
        <w:spacing w:after="0" w:line="412" w:lineRule="auto"/>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Dilution. </w:t>
      </w:r>
      <w:r>
        <w:rPr>
          <w:rFonts w:ascii="Arial" w:cs="Arial" w:eastAsia="Arial" w:hAnsi="Arial"/>
          <w:sz w:val="18"/>
          <w:szCs w:val="18"/>
          <w:color w:val="auto"/>
        </w:rPr>
        <w:t>Not applicable.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6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 Expenses of the Issue.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information in response to this item is contained under the caption “Description of Share Capital and Articles of Association” in our final prospectus filed with the Securities and Exchange Commission on April 28, 2017 and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summaries of each material contract to which we are a party for the two years preceding the date of this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26, 2017, we entered into an underwriting agreement with Jefferies LLC and Stifel, Nicolaus &amp; Company, Incorporated, as representatives of the underwriters, on April 26, 2017, for the initial public offering of 5,768,000 American Depositary Shares in the United States and the private placement of 1,255,001 ordinary shares in Europe. Pursuant to the underwriting agreement, we paid underwriting discounts and commissions of $ 0.9450 per ADS and £0.0924 per ordinary shares. The underwriting agreement contained customary representations and warranties. We also agreed to indemnify the underwriters against certain liabilities, including liabilities under the Securities Act, and to contribute to payments the underwriters may be required to make in respect of such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entered into employment agreements with our executive officers. Information on the employment agreements may be found in this Annual Report under “Item 6.B. Compensation-Executive Officer Remuneration-Executive Officer Employment Agreements”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9"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color w:val="auto"/>
        </w:rPr>
        <w:t>We have entered into indemnification agreements with our executive officers and board members. Information on the indemnification agreements may be found in this Annual Report under “Item 7-Major Shareholders and Related Party Transactions-Indemnification Agreements”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have entered into registration rights agreement with certain of our existing shareholders. Information on the registration rights agreements may be found in this Annual Report under “Item 7-Major Shareholders and Related Party Transactions-Registration Rights Agreement”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have entered into relationship agreements with certain of our existing shareholders. Information on these relationship agreements may be found in this Annual Report under “Item 7-Major Shareholders and Related Party Transactions-Relationship Agreements”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principal office is located at 3 More London Riverside, London SE1 2RE, United Kingdom, where we lease office space. We also lease office space in White Plains, New York. The office space in these two locations is held under four leases that terminate between August 2018 and January 2020 and under these leases we pay £0.3m per year. We intend to add new facilities as we add employees, and we believe that suitable additional or substitute space will be available as needed to accommodate any such expansion of our operations.</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684"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 Exchange Controls.</w:t>
      </w:r>
    </w:p>
    <w:p>
      <w:pPr>
        <w:spacing w:after="0" w:line="139" w:lineRule="exact"/>
        <w:rPr>
          <w:sz w:val="20"/>
          <w:szCs w:val="20"/>
          <w:color w:val="auto"/>
        </w:rPr>
      </w:pPr>
    </w:p>
    <w:p>
      <w:pPr>
        <w:ind w:right="80"/>
        <w:spacing w:after="0" w:line="216" w:lineRule="exact"/>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w:t>
      </w:r>
      <w:r>
        <w:rPr>
          <w:rFonts w:ascii="MS PGothic" w:cs="MS PGothic" w:eastAsia="MS PGothic" w:hAnsi="MS PGothic"/>
          <w:sz w:val="18"/>
          <w:szCs w:val="18"/>
          <w:color w:val="auto"/>
        </w:rPr>
        <w:t>‑</w:t>
      </w:r>
      <w:r>
        <w:rPr>
          <w:rFonts w:ascii="Arial" w:cs="Arial" w:eastAsia="Arial" w:hAnsi="Arial"/>
          <w:sz w:val="18"/>
          <w:szCs w:val="18"/>
          <w:color w:val="auto"/>
        </w:rPr>
        <w:t>resident holders of our ordinary shares or ADSs, other than withholding tax requirements. There is no limitation imposed by English law or in our Articles of Association on the right of non</w:t>
      </w:r>
      <w:r>
        <w:rPr>
          <w:rFonts w:ascii="MS PGothic" w:cs="MS PGothic" w:eastAsia="MS PGothic" w:hAnsi="MS PGothic"/>
          <w:sz w:val="18"/>
          <w:szCs w:val="18"/>
          <w:color w:val="auto"/>
        </w:rPr>
        <w:t>‑</w:t>
      </w:r>
      <w:r>
        <w:rPr>
          <w:rFonts w:ascii="Arial" w:cs="Arial" w:eastAsia="Arial" w:hAnsi="Arial"/>
          <w:sz w:val="18"/>
          <w:szCs w:val="18"/>
          <w:color w:val="auto"/>
        </w:rPr>
        <w:t>residents to hold or vote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34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44"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44" w:lineRule="exact"/>
        <w:rPr>
          <w:rFonts w:ascii="Arial" w:cs="Arial" w:eastAsia="Arial" w:hAnsi="Arial"/>
          <w:sz w:val="18"/>
          <w:szCs w:val="18"/>
          <w:color w:val="auto"/>
        </w:rPr>
      </w:pPr>
    </w:p>
    <w:p>
      <w:pPr>
        <w:ind w:left="660" w:right="1040" w:hanging="328"/>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34" w:lineRule="exact"/>
        <w:rPr>
          <w:sz w:val="20"/>
          <w:szCs w:val="20"/>
          <w:color w:val="auto"/>
        </w:rPr>
      </w:pPr>
    </w:p>
    <w:p>
      <w:pPr>
        <w:ind w:left="660" w:right="180" w:hanging="328"/>
        <w:spacing w:after="0" w:line="371"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ordinary shares or ADSs being taken into account in an applicable financial statement;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persons that own or are deemed to own ten percent or more of our shares by vote or value; and</w:t>
      </w:r>
    </w:p>
    <w:p>
      <w:pPr>
        <w:spacing w:after="0" w:line="144" w:lineRule="exact"/>
        <w:rPr>
          <w:sz w:val="20"/>
          <w:szCs w:val="20"/>
          <w:color w:val="auto"/>
        </w:rPr>
      </w:pPr>
    </w:p>
    <w:p>
      <w:pPr>
        <w:ind w:left="660" w:right="20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2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2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684" w:right="259" w:bottom="1440" w:gutter="0" w:footer="0" w:header="0"/>
        </w:sectPr>
      </w:pPr>
    </w:p>
    <w:bookmarkStart w:id="121" w:name="page122"/>
    <w:bookmarkEnd w:id="121"/>
    <w:p>
      <w:pPr>
        <w:ind w:left="880" w:hanging="872"/>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 w:lineRule="exact"/>
        <w:rPr>
          <w:rFonts w:ascii="Arial" w:cs="Arial" w:eastAsia="Arial" w:hAnsi="Arial"/>
          <w:sz w:val="18"/>
          <w:szCs w:val="18"/>
          <w:color w:val="auto"/>
        </w:rPr>
      </w:pPr>
    </w:p>
    <w:p>
      <w:pPr>
        <w:ind w:left="660" w:right="80" w:hanging="652"/>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 w:lineRule="exact"/>
        <w:rPr>
          <w:rFonts w:ascii="Arial" w:cs="Arial" w:eastAsia="Arial" w:hAnsi="Arial"/>
          <w:sz w:val="18"/>
          <w:szCs w:val="18"/>
          <w:color w:val="auto"/>
        </w:rPr>
      </w:pPr>
    </w:p>
    <w:p>
      <w:pPr>
        <w:ind w:left="880" w:hanging="872"/>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("PFIC") Rules</w:t>
      </w:r>
    </w:p>
    <w:p>
      <w:pPr>
        <w:spacing w:after="0" w:line="30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non-U.S. corporation will be classified as a PFIC for any taxable year in which, after applying certain look-through rules, either:</w:t>
      </w:r>
    </w:p>
    <w:p>
      <w:pPr>
        <w:spacing w:after="0" w:line="25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4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6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you will be deemed to have sold the ordinary shares or ADSs you hold at their fair market value and any gain from such deemed sale would be subject to the rules described below. After the deemed sale election, so long as we do not become a PFIC in a subsequent taxable year, your ordinary shares or ADSs with respect to which such election was made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26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09" w:right="259" w:bottom="1440" w:gutter="0" w:footer="0" w:header="0"/>
        </w:sectPr>
      </w:pPr>
    </w:p>
    <w:bookmarkStart w:id="122" w:name="page123"/>
    <w:bookmarkEnd w:id="122"/>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ordinary shares or ADSs;</w:t>
      </w:r>
    </w:p>
    <w:p>
      <w:pPr>
        <w:spacing w:after="0" w:line="14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1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mark-to-market election would be available to you if we are a PFIC (which we believe likely for the current year). Each U.S. Holder should consult its tax advisor as to the whether a mark-to-market election is available or advisable with respect to the ordinary shares or ADSs.</w:t>
      </w:r>
    </w:p>
    <w:p>
      <w:pPr>
        <w:spacing w:after="0" w:line="2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w:t>
      </w:r>
    </w:p>
    <w:p>
      <w:pPr>
        <w:spacing w:after="0" w:line="26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We believe that</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6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517" w:right="259" w:bottom="1440" w:gutter="0" w:footer="0" w:header="0"/>
        </w:sectPr>
      </w:pPr>
    </w:p>
    <w:bookmarkStart w:id="123" w:name="page124"/>
    <w:bookmarkEnd w:id="123"/>
    <w:p>
      <w:pPr>
        <w:spacing w:after="0" w:line="251"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lower-tier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Subject to the discussion above under "Passive Foreign Investment Company Rules," distributions paid on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26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517"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3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6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24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3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maintain a corporate website at www.veronapharma.com. We make available free of charge on our website our Reports on Form 6-K and we intend make available our Annual Reports on Form 20-F, as soon as reasonably practicable after we electronically file such material with, or furnish it to, the SEC. Information contained on, or that can be accessed through, our website does not constitute a part of this Annual Report. We have included our website address in this Annual Report solely as an inactive textual reference.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95" w:right="239" w:bottom="1440" w:gutter="0" w:footer="0" w:header="0"/>
        </w:sectPr>
      </w:pPr>
    </w:p>
    <w:bookmarkStart w:id="125" w:name="page126"/>
    <w:bookmarkEnd w:id="125"/>
    <w:p>
      <w:pPr>
        <w:spacing w:after="0" w:line="274" w:lineRule="auto"/>
        <w:rPr>
          <w:sz w:val="20"/>
          <w:szCs w:val="20"/>
          <w:color w:val="auto"/>
        </w:rPr>
      </w:pPr>
      <w:r>
        <w:rPr>
          <w:rFonts w:ascii="Arial" w:cs="Arial" w:eastAsia="Arial" w:hAnsi="Arial"/>
          <w:sz w:val="17"/>
          <w:szCs w:val="17"/>
          <w:color w:val="auto"/>
        </w:rPr>
        <w:t>You may also review a copy of this Annual Report, including exhibits and any schedule filed herewith, and obtain copies of such materials at prescribed rates, at the SEC’s Public Reference Room in Room 1580, 100 F Street, N.E., Washington, D.C. 20549. You may obtain information on the operation of the Public Reference Room by calling the SEC at 1-800-SEC-0330. The SEC maintains a website (www.sec.gov) that contains reports, proxy and information statements and other information regarding registrants that file electronically, such as us, with the SEC.</w:t>
      </w:r>
    </w:p>
    <w:p>
      <w:pPr>
        <w:spacing w:after="0" w:line="18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References made in this Annual Report to any contract or other document of Verona Pharma plc are not necessarily complete and you should refer to the exhibits attached or incorporated by reference into this Annual Report for copies of the actual contract or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598" w:right="2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30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for foreign bank accounts. We monitor our exposure to foreign exchange risk. We have not entered into foreign exchange contracts to hedge against gains or losses from foreign exchange fluctuations.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change in market interest rates on classes of financial assets and financial liabilities. We do not hold any derivative instruments to manage interest rate risk.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 3.1 of the financial statements for quantitative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Warrants and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ADSs are required to pay the following fees under the terms of the deposit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576" w:right="259" w:bottom="1440" w:gutter="0" w:footer="0" w:header="0"/>
        </w:sectPr>
      </w:pPr>
    </w:p>
    <w:bookmarkStart w:id="127" w:name="page128"/>
    <w:bookmarkEnd w:id="127"/>
    <w:p>
      <w:pPr>
        <w:ind w:left="120"/>
        <w:spacing w:after="0"/>
        <w:rPr>
          <w:sz w:val="20"/>
          <w:szCs w:val="20"/>
          <w:color w:val="auto"/>
        </w:rPr>
      </w:pPr>
      <w:r>
        <w:rPr>
          <w:rFonts w:ascii="Arial" w:cs="Arial" w:eastAsia="Arial" w:hAnsi="Arial"/>
          <w:sz w:val="18"/>
          <w:szCs w:val="18"/>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28575</wp:posOffset>
            </wp:positionV>
            <wp:extent cx="712660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52" w:lineRule="exact"/>
        <w:rPr>
          <w:sz w:val="20"/>
          <w:szCs w:val="20"/>
          <w:color w:val="auto"/>
        </w:rPr>
      </w:pPr>
    </w:p>
    <w:p>
      <w:pPr>
        <w:ind w:left="120" w:right="420"/>
        <w:spacing w:after="0" w:line="210" w:lineRule="exact"/>
        <w:rPr>
          <w:sz w:val="20"/>
          <w:szCs w:val="20"/>
          <w:color w:val="auto"/>
        </w:rPr>
      </w:pPr>
      <w:r>
        <w:rPr>
          <w:rFonts w:ascii="Arial" w:cs="Arial" w:eastAsia="Arial" w:hAnsi="Arial"/>
          <w:sz w:val="18"/>
          <w:szCs w:val="18"/>
          <w:color w:val="auto"/>
        </w:rPr>
        <w:t>Issuance of ADSs (e.g., an issuance of ADS upon a deposit of ordinary shares or upon a change in the ADS(s)</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ordinary shares ratio), excluding ADS issuances as a result of distributions of ordinary shares</w:t>
      </w:r>
    </w:p>
    <w:p>
      <w:pPr>
        <w:spacing w:after="0" w:line="40" w:lineRule="exact"/>
        <w:rPr>
          <w:sz w:val="20"/>
          <w:szCs w:val="20"/>
          <w:color w:val="auto"/>
        </w:rPr>
      </w:pPr>
    </w:p>
    <w:p>
      <w:pPr>
        <w:ind w:left="120" w:right="60"/>
        <w:spacing w:after="0" w:line="210" w:lineRule="exact"/>
        <w:rPr>
          <w:sz w:val="20"/>
          <w:szCs w:val="20"/>
          <w:color w:val="auto"/>
        </w:rPr>
      </w:pPr>
      <w:r>
        <w:rPr>
          <w:rFonts w:ascii="Arial" w:cs="Arial" w:eastAsia="Arial" w:hAnsi="Arial"/>
          <w:sz w:val="18"/>
          <w:szCs w:val="18"/>
          <w:color w:val="auto"/>
        </w:rPr>
        <w:t>Cancellation of ADSs (e.g., a cancellation of ADSs for delivery of deposited property or upon a change in the ADS(s)</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ordinary shares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8890</wp:posOffset>
            </wp:positionV>
            <wp:extent cx="712660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15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wp:posOffset>
            </wp:positionV>
            <wp:extent cx="712660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09"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Distribution of securities other than ADSs or rights to purchase additional ADSs (e.g., upon a spin</w:t>
      </w:r>
      <w:r>
        <w:rPr>
          <w:rFonts w:ascii="MS PGothic" w:cs="MS PGothic" w:eastAsia="MS PGothic" w:hAnsi="MS PGothic"/>
          <w:sz w:val="18"/>
          <w:szCs w:val="18"/>
          <w:color w:val="auto"/>
        </w:rPr>
        <w:t>‑</w:t>
      </w:r>
      <w:r>
        <w:rPr>
          <w:rFonts w:ascii="Arial" w:cs="Arial" w:eastAsia="Arial" w:hAnsi="Arial"/>
          <w:sz w:val="18"/>
          <w:szCs w:val="18"/>
          <w:color w:val="auto"/>
        </w:rPr>
        <w:t>off)</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ADSs are also responsible to pay certain charges such as: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taxes (including applicable interest and penalties) and other governmental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Fee</w:t>
      </w:r>
    </w:p>
    <w:p>
      <w:pPr>
        <w:spacing w:after="0" w:line="7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 to $0.05 per ADS issued</w:t>
      </w:r>
    </w:p>
    <w:p>
      <w:pPr>
        <w:spacing w:after="0" w:line="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 to $0.05 per ADS cancelled</w:t>
      </w:r>
    </w:p>
    <w:p>
      <w:pPr>
        <w:spacing w:after="0" w:line="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Up to $0.05 per ADS held on the applicable record date(s) established by the depositary</w:t>
      </w:r>
    </w:p>
    <w:p>
      <w:pPr>
        <w:spacing w:after="0" w:line="1068" w:lineRule="exact"/>
        <w:rPr>
          <w:sz w:val="20"/>
          <w:szCs w:val="20"/>
          <w:color w:val="auto"/>
        </w:rPr>
      </w:pPr>
    </w:p>
    <w:p>
      <w:pPr>
        <w:sectPr>
          <w:pgSz w:w="11900" w:h="16838" w:orient="portrait"/>
          <w:cols w:equalWidth="0" w:num="2">
            <w:col w:w="8820" w:space="520"/>
            <w:col w:w="2060"/>
          </w:cols>
          <w:pgMar w:left="240" w:top="859" w:right="259" w:bottom="1440" w:gutter="0" w:footer="0" w:header="0"/>
        </w:sectPr>
      </w:pPr>
    </w:p>
    <w:p>
      <w:pPr>
        <w:spacing w:after="0" w:line="25" w:lineRule="exact"/>
        <w:rPr>
          <w:sz w:val="20"/>
          <w:szCs w:val="20"/>
          <w:color w:val="auto"/>
        </w:rPr>
      </w:pPr>
    </w:p>
    <w:p>
      <w:pPr>
        <w:ind w:left="980" w:right="40" w:firstLine="648"/>
        <w:spacing w:after="0" w:line="256" w:lineRule="auto"/>
        <w:rPr>
          <w:sz w:val="20"/>
          <w:szCs w:val="20"/>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cable, telex and facsimile transmission and delivery expenses;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sz w:val="20"/>
          <w:szCs w:val="20"/>
          <w:color w:val="auto"/>
        </w:rPr>
      </w:pPr>
    </w:p>
    <w:p>
      <w:pPr>
        <w:ind w:left="980" w:right="320" w:firstLine="648"/>
        <w:spacing w:after="0" w:line="262" w:lineRule="auto"/>
        <w:rPr>
          <w:sz w:val="20"/>
          <w:szCs w:val="20"/>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American Depositary Receipts; and</w:t>
      </w:r>
    </w:p>
    <w:p>
      <w:pPr>
        <w:spacing w:after="0" w:line="196" w:lineRule="exact"/>
        <w:rPr>
          <w:sz w:val="20"/>
          <w:szCs w:val="20"/>
          <w:color w:val="auto"/>
        </w:rPr>
      </w:pPr>
    </w:p>
    <w:p>
      <w:pPr>
        <w:ind w:left="980" w:right="580" w:firstLine="648"/>
        <w:spacing w:after="0" w:line="262" w:lineRule="auto"/>
        <w:rPr>
          <w:sz w:val="20"/>
          <w:szCs w:val="20"/>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the Depositary Trust Company, or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859" w:right="259" w:bottom="1440" w:gutter="0" w:footer="0" w:header="0"/>
          <w:type w:val="continuous"/>
        </w:sectPr>
      </w:pPr>
    </w:p>
    <w:bookmarkStart w:id="128" w:name="page129"/>
    <w:bookmarkEnd w:id="128"/>
    <w:p>
      <w:pPr>
        <w:spacing w:after="0" w:line="252"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holders of our ADSs may be required to pay may vary over time and may be changed by us and by the depositary. Holders of our ADSs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382" w:right="259" w:bottom="1440" w:gutter="0" w:footer="0" w:header="0"/>
        </w:sectPr>
      </w:pPr>
    </w:p>
    <w:bookmarkStart w:id="129" w:name="page130"/>
    <w:bookmarkEnd w:id="129"/>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20"/>
        <w:spacing w:after="0" w:line="412" w:lineRule="auto"/>
        <w:rPr>
          <w:sz w:val="20"/>
          <w:szCs w:val="20"/>
          <w:color w:val="auto"/>
        </w:rPr>
      </w:pPr>
      <w:r>
        <w:rPr>
          <w:rFonts w:ascii="Arial" w:cs="Arial" w:eastAsia="Arial" w:hAnsi="Arial"/>
          <w:sz w:val="18"/>
          <w:szCs w:val="18"/>
          <w:b w:val="1"/>
          <w:bCs w:val="1"/>
          <w:color w:val="auto"/>
        </w:rPr>
        <w:t xml:space="preserve">ITEM 13: DEFAULTS, DIVIDEND ARREARAGES AND DELINQUENCIES </w:t>
      </w: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39"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b w:val="1"/>
          <w:bCs w:val="1"/>
          <w:color w:val="auto"/>
        </w:rPr>
      </w:pPr>
    </w:p>
    <w:p>
      <w:pPr>
        <w:spacing w:after="0" w:line="219" w:lineRule="exact"/>
        <w:rPr>
          <w:rFonts w:ascii="Arial" w:cs="Arial" w:eastAsia="Arial" w:hAnsi="Arial"/>
          <w:sz w:val="18"/>
          <w:szCs w:val="18"/>
          <w:b w:val="1"/>
          <w:bCs w:val="1"/>
          <w:color w:val="auto"/>
        </w:rPr>
      </w:pPr>
    </w:p>
    <w:p>
      <w:pPr>
        <w:ind w:left="220" w:hanging="212"/>
        <w:spacing w:after="0"/>
        <w:tabs>
          <w:tab w:leader="none" w:pos="2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2017, we completed the initial public offering of our American Depositary Shares in the United States and a private placement of our ordinary shares in Europe, or the global offering. In the global offering we issued and sold 6,501,738 ADSs, including 733,738 ADSs issued and sold upon the partial exercises of the underwriters pursuant to their overallotment option to purchase additional ADSs, at a public offering price of $13.50 per ADS and 1,225,001 ordinary shares at an offering price of £1.32 per share.</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offer and sale of all of the ADSs and ordinary shares in the global offering was registered under the Securities Act pursuant to a registration statement on Form F-1 (File No. 333-217124), which was declared effective by the SEC on April 26, 2017, and a registration statement on Form F-1 to register additional securities (File No. 333-217487), which was immediately effective upon filing on April 26, 2017, or, together, the Registration Statement. Under the Registration Statement, we registered 5,768,000 ADSs, 1,225,001 ordinary shares, and 865,200 ADSs issuable upon exercise of the underwriters’ option to purchase additional ADSs at a public offering price of $13.50 per ADS and £1.32 per ordinary share, for a registered aggregate offering price of approximately $89.9 million including the 733,738 ADSs issued and sold upon the partial exercises of the underwriters’ option to purchase additional ADSs. Following the sale of the ADSs and ordinary shares in connection with the closing of the global offering, the offering terminated. The offering commenced on April 18, 2017 and did not terminate until the sale of all of the shares offered. Jefferies LLC and Stifel, Nicholaus &amp; Company, Incorporated acted as joint book-running managers of the offering, and Wedbush Securities Inc. and SunTrust Robinson Humphrey, Inc. acted as co-managers of the offering.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a further 254,099 shares were issued to private investors for proceeds of $0.4m.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received aggregate gross proceeds from the offering of approximately $90.3 million, or aggregate net proceeds of approximately</w:t>
      </w:r>
    </w:p>
    <w:p>
      <w:pPr>
        <w:spacing w:after="0" w:line="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$80.8 million after deducting underwriting discounts and commissions of approximately $6.3 million and offering expenses of $3.2 million. No payments for such expenses were made directly or indirectly to (i) any of our officers, members of our board of directors, or their associates, (ii) any persons owning 10% or more of any class of our equity securities or (iii) any of our affiliates.</w:t>
      </w:r>
    </w:p>
    <w:p>
      <w:pPr>
        <w:spacing w:after="0" w:line="20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There has been no material change in our planned use of the net proceeds from the global offering as described in our final prospectus filed pursuant to Rule 424(b)(4) under the Securities Act with the SEC on April 28,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20-F. Based on such evaluation, our principal executive officer and principal financial officer have concluded that as of such date, our disclosure controls and procedures were effective at the reasonable assurance level as of December 31,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60" w:right="239" w:bottom="1440" w:gutter="0" w:footer="0" w:header="0"/>
        </w:sectPr>
      </w:pPr>
    </w:p>
    <w:bookmarkStart w:id="130" w:name="page131"/>
    <w:bookmarkEnd w:id="130"/>
    <w:p>
      <w:pPr>
        <w:ind w:right="240"/>
        <w:spacing w:after="0" w:line="256"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Annual Report on Form 20-F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connection with the preparation for the initial public offering of our ADSs, we reassessed our critical accounting policies to ensure compliance with IFRS. As part of this reassessment, we identified errors relating to the recognition of assumed liabilities and goodwill in connection with the acquisition of Rhinopharma Ltd. in September 2006. We concluded that a lack of adequate controls surrounding our historic accounting for business combinations constituted a material weakness in our internal control over financial reporting, as defined in the standards established by the U.S. Public Accounting Oversight Board</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remediated this material weakness by the hiring of our chief financial officer in September 2016 and enhancing our financial reporting team’s technical accounting knowledge associated with the accounting rules for business combinations. However, we cannot be certain that these efforts will prevent future material weaknesses or significant deficiencies from occurring. Review updated remediation language.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Other than as discussed above, there has been no change in our internal control over financial reporting (as defined in Rule 13a-15(f) under the Exchange Act) during the period covered by this annual report that has materially affected, or is reasonably likely to materially affect,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3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board of directors has determined that Vikas Sinha, Dr. David Ebsworth and Dr. Andrew Sinclair each qualify as an audit committee financial expert as defined by the rules of the Securities and Exchange Commission and has the requisite financial sophistication under the applicable rules and regulations of Nasdaq. Mr. Sinha and Drs. Ebsworth and Sinclair are each independent as such term is defined in Rule 10A-3 under the Securities Exchange Act of 1934, as amended, and under the listing standards of Nasdaq.</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adopted a Code of Business Conduct and Ethics, or the Code of Conduct, that is applicable to all of our employees, executive officers, members of our board of directors, and consultants. The Code of Conduct is available on our website at www.veronapharma.com. We intend to satisfy the disclosure requirement under Item 16B(e) of Form 20-F regarding amendment to, or waiver from, a provision of our Code of Conduct, as well as Nasdaq’s requirement to disclose waivers with respect to directors and executive officers, by posting such information on our website at the address and location specified above. Our executive officers are responsible for administering the Code of Conduct. Amendment, alteration or termination of the Code of Conduct requires the approval of our board of directors.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9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3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and other services: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Fee Category</w:t>
            </w:r>
          </w:p>
        </w:tc>
        <w:tc>
          <w:tcPr>
            <w:tcW w:w="4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63"/>
        </w:trPr>
        <w:tc>
          <w:tcPr>
            <w:tcW w:w="5320" w:type="dxa"/>
            <w:vAlign w:val="bottom"/>
          </w:tcPr>
          <w:p>
            <w:pPr>
              <w:spacing w:after="0"/>
              <w:rPr>
                <w:sz w:val="22"/>
                <w:szCs w:val="22"/>
                <w:color w:val="auto"/>
              </w:rPr>
            </w:pPr>
          </w:p>
        </w:tc>
        <w:tc>
          <w:tcPr>
            <w:tcW w:w="4860" w:type="dxa"/>
            <w:vAlign w:val="bottom"/>
          </w:tcPr>
          <w:p>
            <w:pPr>
              <w:jc w:val="right"/>
              <w:ind w:right="470"/>
              <w:spacing w:after="0"/>
              <w:rPr>
                <w:sz w:val="20"/>
                <w:szCs w:val="20"/>
                <w:color w:val="auto"/>
              </w:rPr>
            </w:pPr>
            <w:r>
              <w:rPr>
                <w:rFonts w:ascii="Arial" w:cs="Arial" w:eastAsia="Arial" w:hAnsi="Arial"/>
                <w:sz w:val="18"/>
                <w:szCs w:val="18"/>
                <w:b w:val="1"/>
                <w:bCs w:val="1"/>
                <w:color w:val="auto"/>
              </w:rPr>
              <w:t>£'000s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£'000s</w:t>
            </w:r>
          </w:p>
        </w:tc>
      </w:tr>
      <w:tr>
        <w:trPr>
          <w:trHeight w:val="27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4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63"/>
        </w:trPr>
        <w:tc>
          <w:tcPr>
            <w:tcW w:w="53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4860" w:type="dxa"/>
            <w:vAlign w:val="bottom"/>
          </w:tcPr>
          <w:p>
            <w:pPr>
              <w:jc w:val="right"/>
              <w:ind w:right="470"/>
              <w:spacing w:after="0"/>
              <w:rPr>
                <w:sz w:val="20"/>
                <w:szCs w:val="20"/>
                <w:color w:val="auto"/>
              </w:rPr>
            </w:pPr>
            <w:r>
              <w:rPr>
                <w:rFonts w:ascii="Arial" w:cs="Arial" w:eastAsia="Arial" w:hAnsi="Arial"/>
                <w:sz w:val="18"/>
                <w:szCs w:val="18"/>
                <w:color w:val="auto"/>
              </w:rPr>
              <w:t>525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0"/>
        </w:trPr>
        <w:tc>
          <w:tcPr>
            <w:tcW w:w="5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Services</w:t>
            </w:r>
          </w:p>
        </w:tc>
        <w:tc>
          <w:tcPr>
            <w:tcW w:w="48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64"/>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Fees</w:t>
            </w:r>
          </w:p>
        </w:tc>
        <w:tc>
          <w:tcPr>
            <w:tcW w:w="4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605</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6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For the year ended December 31, 2017, audit related services include fees for quarterly interim reviews, advice on compliance with Sarbanes-Oxley legislation and assurance on information included in the Company's U.S. registration statement for the April 2017 initial public offering in the United States (the"Global Offering"). For the year ended December 31, 2017, an amount of £256 thousand in relation to these services was offset against share premium on completion of the Global Offering.</w:t>
      </w:r>
    </w:p>
    <w:p>
      <w:pPr>
        <w:spacing w:after="0" w:line="25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the year ended December 31, 2016, audit related services include assurance reporting on historical financial information included in the Company's U.S. registration statement for the Global Offering. As at December 31, 2016 an amount of £466 thousand in relation to these services was booked in deferred IPO costs that was offset against share premium on completion of the Global Offering.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any tax fees for services from PricewaterhouseCoopers LLP in 2016 or 2017.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any other fees in 2017 or 2016.</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has adopted a policy, or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The Audit Committee may also review and generally pre-approve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60"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ITEM 16D: EXEMPTIONS FORM THE LISTING STANDARDS FOR AUDIT COMMITTEES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16F: CHANGE IN REGISTRANT'S CERTIFYING ACCOUNTANT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our independent accountant during our two most recent fiscal years.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follow U.K. corporate governance practices in lieu of Nasdaq corporate governance rules as follows: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175"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We do not follow Nasdaq Rule 5605(b)(2), which requires that independent directors regularly meet in executive session, where only independent directors are present. Our independent directors may choose to meet in executive session at their discretion.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at the end of this Annual Report are filed as Exhibits to this Annual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224"/>
        </w:trPr>
        <w:tc>
          <w:tcPr>
            <w:tcW w:w="9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0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Incorporated by Reference to Filings Indicated</w:t>
            </w:r>
          </w:p>
        </w:tc>
      </w:tr>
      <w:tr>
        <w:trPr>
          <w:trHeight w:val="526"/>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3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Exhibit</w:t>
            </w:r>
          </w:p>
        </w:tc>
        <w:tc>
          <w:tcPr>
            <w:tcW w:w="1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Filed /</w:t>
            </w:r>
          </w:p>
        </w:tc>
      </w:t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Number</w:t>
            </w:r>
          </w:p>
        </w:tc>
        <w:tc>
          <w:tcPr>
            <w:tcW w:w="3120" w:type="dxa"/>
            <w:vAlign w:val="bottom"/>
          </w:tcPr>
          <w:p>
            <w:pPr>
              <w:ind w:left="240"/>
              <w:spacing w:after="0"/>
              <w:rPr>
                <w:sz w:val="20"/>
                <w:szCs w:val="20"/>
                <w:color w:val="auto"/>
              </w:rPr>
            </w:pPr>
            <w:r>
              <w:rPr>
                <w:rFonts w:ascii="Arial" w:cs="Arial" w:eastAsia="Arial" w:hAnsi="Arial"/>
                <w:sz w:val="18"/>
                <w:szCs w:val="18"/>
                <w:color w:val="auto"/>
              </w:rPr>
              <w:t>Exhibit Description</w:t>
            </w:r>
          </w:p>
        </w:tc>
        <w:tc>
          <w:tcPr>
            <w:tcW w:w="2120" w:type="dxa"/>
            <w:vAlign w:val="bottom"/>
          </w:tcPr>
          <w:p>
            <w:pPr>
              <w:jc w:val="right"/>
              <w:spacing w:after="0"/>
              <w:rPr>
                <w:sz w:val="20"/>
                <w:szCs w:val="20"/>
                <w:color w:val="auto"/>
              </w:rPr>
            </w:pPr>
            <w:r>
              <w:rPr>
                <w:rFonts w:ascii="Arial" w:cs="Arial" w:eastAsia="Arial" w:hAnsi="Arial"/>
                <w:sz w:val="18"/>
                <w:szCs w:val="18"/>
                <w:color w:val="auto"/>
              </w:rPr>
              <w:t>Form</w:t>
            </w:r>
          </w:p>
        </w:tc>
        <w:tc>
          <w:tcPr>
            <w:tcW w:w="1740" w:type="dxa"/>
            <w:vAlign w:val="bottom"/>
          </w:tcPr>
          <w:p>
            <w:pPr>
              <w:ind w:left="920"/>
              <w:spacing w:after="0"/>
              <w:rPr>
                <w:sz w:val="20"/>
                <w:szCs w:val="20"/>
                <w:color w:val="auto"/>
              </w:rPr>
            </w:pPr>
            <w:r>
              <w:rPr>
                <w:rFonts w:ascii="Arial" w:cs="Arial" w:eastAsia="Arial" w:hAnsi="Arial"/>
                <w:sz w:val="18"/>
                <w:szCs w:val="18"/>
                <w:color w:val="auto"/>
              </w:rPr>
              <w:t>File No.</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No.</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Filing date</w:t>
            </w:r>
          </w:p>
        </w:tc>
        <w:tc>
          <w:tcPr>
            <w:tcW w:w="1060" w:type="dxa"/>
            <w:vAlign w:val="bottom"/>
          </w:tcPr>
          <w:p>
            <w:pPr>
              <w:jc w:val="right"/>
              <w:spacing w:after="0"/>
              <w:rPr>
                <w:sz w:val="20"/>
                <w:szCs w:val="20"/>
                <w:color w:val="auto"/>
              </w:rPr>
            </w:pPr>
            <w:r>
              <w:rPr>
                <w:rFonts w:ascii="Arial" w:cs="Arial" w:eastAsia="Arial" w:hAnsi="Arial"/>
                <w:sz w:val="18"/>
                <w:szCs w:val="18"/>
                <w:color w:val="auto"/>
              </w:rPr>
              <w:t>Furnished</w:t>
            </w:r>
          </w:p>
        </w:tc>
      </w:tr>
      <w:tr>
        <w:trPr>
          <w:trHeight w:val="270"/>
        </w:trPr>
        <w:tc>
          <w:tcPr>
            <w:tcW w:w="9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No.</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Date</w:t>
            </w:r>
          </w:p>
        </w:tc>
        <w:tc>
          <w:tcPr>
            <w:tcW w:w="1060" w:type="dxa"/>
            <w:vAlign w:val="bottom"/>
          </w:tcPr>
          <w:p>
            <w:pPr>
              <w:jc w:val="right"/>
              <w:spacing w:after="0"/>
              <w:rPr>
                <w:sz w:val="20"/>
                <w:szCs w:val="20"/>
                <w:color w:val="auto"/>
              </w:rPr>
            </w:pPr>
            <w:r>
              <w:rPr>
                <w:rFonts w:ascii="Arial" w:cs="Arial" w:eastAsia="Arial" w:hAnsi="Arial"/>
                <w:sz w:val="18"/>
                <w:szCs w:val="18"/>
                <w:color w:val="auto"/>
              </w:rPr>
              <w:t>Furnished</w:t>
            </w:r>
          </w:p>
        </w:tc>
      </w:tr>
      <w:tr>
        <w:trPr>
          <w:trHeight w:val="594"/>
        </w:trPr>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80"/>
          </w:cols>
          <w:pgMar w:left="240" w:top="360" w:right="27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w w:val="99"/>
              </w:rPr>
              <w:t>Articles of Association, as amended and as currently</w:t>
            </w:r>
          </w:p>
        </w:tc>
      </w:tr>
      <w:tr>
        <w:trPr>
          <w:trHeight w:val="217"/>
        </w:trPr>
        <w:tc>
          <w:tcPr>
            <w:tcW w:w="420" w:type="dxa"/>
            <w:vAlign w:val="bottom"/>
            <w:gridSpan w:val="2"/>
          </w:tcPr>
          <w:p>
            <w:pPr>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in effect</w:t>
            </w:r>
          </w:p>
        </w:tc>
      </w:tr>
      <w:tr>
        <w:trPr>
          <w:trHeight w:val="351"/>
        </w:trPr>
        <w:tc>
          <w:tcPr>
            <w:tcW w:w="420" w:type="dxa"/>
            <w:vAlign w:val="bottom"/>
            <w:gridSpan w:val="2"/>
          </w:tcPr>
          <w:p>
            <w:pPr>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w:t>
            </w: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Deposit Agreement</w:t>
            </w:r>
          </w:p>
        </w:tc>
      </w:tr>
      <w:tr>
        <w:trPr>
          <w:trHeight w:val="384"/>
        </w:trPr>
        <w:tc>
          <w:tcPr>
            <w:tcW w:w="2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Form of American Depositary Receipt (included in</w:t>
            </w:r>
          </w:p>
        </w:tc>
      </w:tr>
      <w:tr>
        <w:trPr>
          <w:trHeight w:val="217"/>
        </w:trPr>
        <w:tc>
          <w:tcPr>
            <w:tcW w:w="420" w:type="dxa"/>
            <w:vAlign w:val="bottom"/>
            <w:gridSpan w:val="2"/>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Exhibit 2.1)</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Form of Warrant issued to each of the investors</w:t>
            </w:r>
          </w:p>
        </w:tc>
      </w:tr>
      <w:tr>
        <w:trPr>
          <w:trHeight w:val="217"/>
        </w:trPr>
        <w:tc>
          <w:tcPr>
            <w:tcW w:w="420" w:type="dxa"/>
            <w:vAlign w:val="bottom"/>
            <w:gridSpan w:val="2"/>
          </w:tcPr>
          <w:p>
            <w:pPr>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named in Schedule A thereto</w:t>
            </w:r>
          </w:p>
        </w:tc>
      </w:tr>
      <w:tr>
        <w:trPr>
          <w:trHeight w:val="392"/>
        </w:trPr>
        <w:tc>
          <w:tcPr>
            <w:tcW w:w="420" w:type="dxa"/>
            <w:vAlign w:val="bottom"/>
            <w:gridSpan w:val="2"/>
          </w:tcPr>
          <w:p>
            <w:pPr>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Warrant Instrument issued to NPlus1 Singer LLP</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w w:val="99"/>
              </w:rPr>
              <w:t>Registration Rights Agreement, dated July 29, 2016,</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by and among Verona Pharma plc and the investors</w:t>
            </w:r>
          </w:p>
        </w:tc>
      </w:tr>
      <w:tr>
        <w:trPr>
          <w:trHeight w:val="217"/>
        </w:trPr>
        <w:tc>
          <w:tcPr>
            <w:tcW w:w="420" w:type="dxa"/>
            <w:vAlign w:val="bottom"/>
            <w:gridSpan w:val="2"/>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set forth therein</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Intellectual Property Assignment and Licence</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Agreement between Vernalis Development Limited</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and Rhinopharma Limited, as predecessor to</w:t>
            </w:r>
          </w:p>
        </w:tc>
      </w:tr>
      <w:tr>
        <w:trPr>
          <w:trHeight w:val="217"/>
        </w:trPr>
        <w:tc>
          <w:tcPr>
            <w:tcW w:w="780" w:type="dxa"/>
            <w:vAlign w:val="bottom"/>
            <w:gridSpan w:val="3"/>
          </w:tcPr>
          <w:p>
            <w:pPr>
              <w:spacing w:after="0"/>
              <w:rPr>
                <w:sz w:val="20"/>
                <w:szCs w:val="20"/>
                <w:color w:val="auto"/>
              </w:rPr>
            </w:pPr>
            <w:r>
              <w:rPr>
                <w:rFonts w:ascii="Arial" w:cs="Arial" w:eastAsia="Arial" w:hAnsi="Arial"/>
                <w:sz w:val="18"/>
                <w:szCs w:val="18"/>
                <w:color w:val="auto"/>
              </w:rPr>
              <w:t>4.2†</w:t>
            </w:r>
          </w:p>
        </w:tc>
        <w:tc>
          <w:tcPr>
            <w:tcW w:w="4540" w:type="dxa"/>
            <w:vAlign w:val="bottom"/>
          </w:tcPr>
          <w:p>
            <w:pPr>
              <w:ind w:left="360"/>
              <w:spacing w:after="0"/>
              <w:rPr>
                <w:sz w:val="20"/>
                <w:szCs w:val="20"/>
                <w:color w:val="auto"/>
              </w:rPr>
            </w:pPr>
            <w:r>
              <w:rPr>
                <w:rFonts w:ascii="Arial" w:cs="Arial" w:eastAsia="Arial" w:hAnsi="Arial"/>
                <w:sz w:val="18"/>
                <w:szCs w:val="18"/>
                <w:color w:val="auto"/>
              </w:rPr>
              <w:t>Verona Pharma plc, dated February 7, 2005</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Lease by and between the Verona Pharma plc and</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w w:val="99"/>
              </w:rPr>
              <w:t>Regus Management (UK) Limited dated October 17,</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2014 and related Renewal Agreements dated</w:t>
            </w:r>
          </w:p>
        </w:tc>
      </w:tr>
      <w:tr>
        <w:trPr>
          <w:trHeight w:val="217"/>
        </w:trPr>
        <w:tc>
          <w:tcPr>
            <w:tcW w:w="420" w:type="dxa"/>
            <w:vAlign w:val="bottom"/>
            <w:gridSpan w:val="2"/>
          </w:tcPr>
          <w:p>
            <w:pPr>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September 30, 2015 and October 1, 2016</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Lease by and between the Verona Pharma plc and</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w w:val="99"/>
              </w:rPr>
              <w:t>Regus Management (UK) Limited dated October 26,</w:t>
            </w:r>
          </w:p>
        </w:tc>
      </w:tr>
      <w:tr>
        <w:trPr>
          <w:trHeight w:val="217"/>
        </w:trPr>
        <w:tc>
          <w:tcPr>
            <w:tcW w:w="780" w:type="dxa"/>
            <w:vAlign w:val="bottom"/>
            <w:gridSpan w:val="3"/>
          </w:tcPr>
          <w:p>
            <w:pPr>
              <w:spacing w:after="0"/>
              <w:rPr>
                <w:sz w:val="20"/>
                <w:szCs w:val="20"/>
                <w:color w:val="auto"/>
              </w:rPr>
            </w:pPr>
            <w:r>
              <w:rPr>
                <w:rFonts w:ascii="Arial" w:cs="Arial" w:eastAsia="Arial" w:hAnsi="Arial"/>
                <w:sz w:val="18"/>
                <w:szCs w:val="18"/>
                <w:color w:val="auto"/>
              </w:rPr>
              <w:t>4.3.1</w:t>
            </w:r>
          </w:p>
        </w:tc>
        <w:tc>
          <w:tcPr>
            <w:tcW w:w="4540" w:type="dxa"/>
            <w:vAlign w:val="bottom"/>
          </w:tcPr>
          <w:p>
            <w:pPr>
              <w:ind w:left="360"/>
              <w:spacing w:after="0"/>
              <w:rPr>
                <w:sz w:val="20"/>
                <w:szCs w:val="20"/>
                <w:color w:val="auto"/>
              </w:rPr>
            </w:pPr>
            <w:r>
              <w:rPr>
                <w:rFonts w:ascii="Arial" w:cs="Arial" w:eastAsia="Arial" w:hAnsi="Arial"/>
                <w:sz w:val="18"/>
                <w:szCs w:val="18"/>
                <w:color w:val="auto"/>
              </w:rPr>
              <w:t>2016</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Lease by and between the Verona Pharma plc and</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w w:val="99"/>
              </w:rPr>
              <w:t>Regus Management (UK) Limited dated October 26,</w:t>
            </w:r>
          </w:p>
        </w:tc>
      </w:tr>
      <w:tr>
        <w:trPr>
          <w:trHeight w:val="217"/>
        </w:trPr>
        <w:tc>
          <w:tcPr>
            <w:tcW w:w="780" w:type="dxa"/>
            <w:vAlign w:val="bottom"/>
            <w:gridSpan w:val="3"/>
          </w:tcPr>
          <w:p>
            <w:pPr>
              <w:spacing w:after="0"/>
              <w:rPr>
                <w:sz w:val="20"/>
                <w:szCs w:val="20"/>
                <w:color w:val="auto"/>
              </w:rPr>
            </w:pPr>
            <w:r>
              <w:rPr>
                <w:rFonts w:ascii="Arial" w:cs="Arial" w:eastAsia="Arial" w:hAnsi="Arial"/>
                <w:sz w:val="18"/>
                <w:szCs w:val="18"/>
                <w:color w:val="auto"/>
              </w:rPr>
              <w:t>4.3.2</w:t>
            </w:r>
          </w:p>
        </w:tc>
        <w:tc>
          <w:tcPr>
            <w:tcW w:w="4540" w:type="dxa"/>
            <w:vAlign w:val="bottom"/>
          </w:tcPr>
          <w:p>
            <w:pPr>
              <w:ind w:left="360"/>
              <w:spacing w:after="0"/>
              <w:rPr>
                <w:sz w:val="20"/>
                <w:szCs w:val="20"/>
                <w:color w:val="auto"/>
              </w:rPr>
            </w:pPr>
            <w:r>
              <w:rPr>
                <w:rFonts w:ascii="Arial" w:cs="Arial" w:eastAsia="Arial" w:hAnsi="Arial"/>
                <w:sz w:val="18"/>
                <w:szCs w:val="18"/>
                <w:color w:val="auto"/>
              </w:rPr>
              <w:t>2016</w:t>
            </w:r>
          </w:p>
        </w:tc>
      </w:tr>
      <w:tr>
        <w:trPr>
          <w:trHeight w:val="36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Renewal Agreement to Lease by and between the</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Verona Pharma plc and Regus Management (UK)</w:t>
            </w:r>
          </w:p>
        </w:tc>
      </w:tr>
      <w:tr>
        <w:trPr>
          <w:trHeight w:val="176"/>
        </w:trPr>
        <w:tc>
          <w:tcPr>
            <w:tcW w:w="780" w:type="dxa"/>
            <w:vAlign w:val="bottom"/>
            <w:gridSpan w:val="3"/>
          </w:tcPr>
          <w:p>
            <w:pPr>
              <w:spacing w:after="0" w:line="176" w:lineRule="exact"/>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3.3</w:t>
            </w:r>
          </w:p>
        </w:tc>
        <w:tc>
          <w:tcPr>
            <w:tcW w:w="4540" w:type="dxa"/>
            <w:vAlign w:val="bottom"/>
          </w:tcPr>
          <w:p>
            <w:pPr>
              <w:ind w:left="360"/>
              <w:spacing w:after="0" w:line="176" w:lineRule="exact"/>
              <w:rPr>
                <w:sz w:val="20"/>
                <w:szCs w:val="20"/>
                <w:color w:val="auto"/>
              </w:rPr>
            </w:pPr>
            <w:r>
              <w:rPr>
                <w:rFonts w:ascii="Arial" w:cs="Arial" w:eastAsia="Arial" w:hAnsi="Arial"/>
                <w:sz w:val="18"/>
                <w:szCs w:val="18"/>
                <w:color w:val="auto"/>
              </w:rPr>
              <w:t>Limited dated October 17, 2014 (exhibit 4.3)</w:t>
            </w:r>
          </w:p>
        </w:tc>
      </w:tr>
      <w:tr>
        <w:trPr>
          <w:trHeight w:val="384"/>
        </w:trPr>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Renewal Agreement to Lease by and between the</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Verona Pharma plc and Regus Management (UK)</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Limited dated October 26, 2016 (exhibits 4.3.1 and</w:t>
            </w:r>
          </w:p>
        </w:tc>
      </w:tr>
      <w:tr>
        <w:trPr>
          <w:trHeight w:val="176"/>
        </w:trPr>
        <w:tc>
          <w:tcPr>
            <w:tcW w:w="780" w:type="dxa"/>
            <w:vAlign w:val="bottom"/>
            <w:gridSpan w:val="3"/>
          </w:tcPr>
          <w:p>
            <w:pPr>
              <w:spacing w:after="0" w:line="176" w:lineRule="exact"/>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3.4</w:t>
            </w:r>
          </w:p>
        </w:tc>
        <w:tc>
          <w:tcPr>
            <w:tcW w:w="4540" w:type="dxa"/>
            <w:vAlign w:val="bottom"/>
          </w:tcPr>
          <w:p>
            <w:pPr>
              <w:ind w:left="360"/>
              <w:spacing w:after="0" w:line="176" w:lineRule="exact"/>
              <w:rPr>
                <w:sz w:val="20"/>
                <w:szCs w:val="20"/>
                <w:color w:val="auto"/>
              </w:rPr>
            </w:pPr>
            <w:r>
              <w:rPr>
                <w:rFonts w:ascii="Arial" w:cs="Arial" w:eastAsia="Arial" w:hAnsi="Arial"/>
                <w:sz w:val="18"/>
                <w:szCs w:val="18"/>
                <w:color w:val="auto"/>
              </w:rPr>
              <w:t>4.3.2)</w:t>
            </w:r>
          </w:p>
        </w:tc>
      </w:tr>
      <w:tr>
        <w:trPr>
          <w:trHeight w:val="412"/>
        </w:trPr>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EMI Option Scheme</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860" w:val="left"/>
          <w:tab w:leader="none" w:pos="2480" w:val="left"/>
          <w:tab w:leader="none" w:pos="334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8"/>
          <w:szCs w:val="18"/>
          <w:color w:val="auto"/>
        </w:rPr>
        <w:t>333-217124</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4/3/2017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783"/>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986"/>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986"/>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783"/>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10.3.1</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r>
        <w:trPr>
          <w:trHeight w:val="783"/>
        </w:trPr>
        <w:tc>
          <w:tcPr>
            <w:tcW w:w="580" w:type="dxa"/>
            <w:vAlign w:val="bottom"/>
          </w:tcPr>
          <w:p>
            <w:pPr>
              <w:spacing w:after="0"/>
              <w:rPr>
                <w:sz w:val="20"/>
                <w:szCs w:val="20"/>
                <w:color w:val="auto"/>
              </w:rPr>
            </w:pPr>
            <w:r>
              <w:rPr>
                <w:rFonts w:ascii="Arial" w:cs="Arial" w:eastAsia="Arial" w:hAnsi="Arial"/>
                <w:sz w:val="18"/>
                <w:szCs w:val="18"/>
                <w:color w:val="auto"/>
              </w:rPr>
              <w:t>F-1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10.3.2</w:t>
            </w:r>
          </w:p>
        </w:tc>
        <w:tc>
          <w:tcPr>
            <w:tcW w:w="1000" w:type="dxa"/>
            <w:vAlign w:val="bottom"/>
          </w:tcPr>
          <w:p>
            <w:pPr>
              <w:jc w:val="right"/>
              <w:spacing w:after="0"/>
              <w:rPr>
                <w:sz w:val="20"/>
                <w:szCs w:val="20"/>
                <w:color w:val="auto"/>
              </w:rPr>
            </w:pPr>
            <w:r>
              <w:rPr>
                <w:rFonts w:ascii="Arial" w:cs="Arial" w:eastAsia="Arial" w:hAnsi="Arial"/>
                <w:sz w:val="18"/>
                <w:szCs w:val="18"/>
                <w:color w:val="auto"/>
              </w:rPr>
              <w:t>4/3/2017</w:t>
            </w: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tabs>
          <w:tab w:leader="none" w:pos="860" w:val="left"/>
          <w:tab w:leader="none" w:pos="2380" w:val="left"/>
          <w:tab w:leader="none" w:pos="334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8"/>
          <w:szCs w:val="18"/>
          <w:color w:val="auto"/>
        </w:rPr>
        <w:t>333-217124</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4/3/2017</w:t>
      </w:r>
    </w:p>
    <w:p>
      <w:pPr>
        <w:sectPr>
          <w:pgSz w:w="11900" w:h="16838" w:orient="portrait"/>
          <w:cols w:equalWidth="0" w:num="2">
            <w:col w:w="5720" w:space="120"/>
            <w:col w:w="5300"/>
          </w:cols>
          <w:pgMar w:left="380" w:top="539" w:right="3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4.5#</w:t>
            </w:r>
          </w:p>
        </w:tc>
        <w:tc>
          <w:tcPr>
            <w:tcW w:w="4560" w:type="dxa"/>
            <w:vAlign w:val="bottom"/>
          </w:tcPr>
          <w:p>
            <w:pPr>
              <w:ind w:left="340"/>
              <w:spacing w:after="0"/>
              <w:rPr>
                <w:sz w:val="20"/>
                <w:szCs w:val="20"/>
                <w:color w:val="auto"/>
              </w:rPr>
            </w:pPr>
            <w:r>
              <w:rPr>
                <w:rFonts w:ascii="Arial" w:cs="Arial" w:eastAsia="Arial" w:hAnsi="Arial"/>
                <w:sz w:val="18"/>
                <w:szCs w:val="18"/>
                <w:color w:val="auto"/>
              </w:rPr>
              <w:t>Unapproved Share Option Scheme, as amended</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2017 Incentive Award Plan and forms of award</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6"/>
        </w:trPr>
        <w:tc>
          <w:tcPr>
            <w:tcW w:w="360" w:type="dxa"/>
            <w:vAlign w:val="bottom"/>
            <w:gridSpan w:val="2"/>
          </w:tcPr>
          <w:p>
            <w:pPr>
              <w:spacing w:after="0" w:line="176" w:lineRule="exact"/>
              <w:rPr>
                <w:sz w:val="20"/>
                <w:szCs w:val="20"/>
                <w:color w:val="auto"/>
              </w:rPr>
            </w:pPr>
            <w:r>
              <w:rPr>
                <w:rFonts w:ascii="Arial" w:cs="Arial" w:eastAsia="Arial" w:hAnsi="Arial"/>
                <w:sz w:val="18"/>
                <w:szCs w:val="18"/>
                <w:color w:val="0000FF"/>
                <w:w w:val="96"/>
              </w:rPr>
              <w:t>4.</w:t>
            </w:r>
            <w:r>
              <w:rPr>
                <w:rFonts w:ascii="Arial" w:cs="Arial" w:eastAsia="Arial" w:hAnsi="Arial"/>
                <w:sz w:val="18"/>
                <w:szCs w:val="18"/>
                <w:u w:val="single" w:color="auto"/>
                <w:color w:val="0000FF"/>
                <w:w w:val="96"/>
              </w:rPr>
              <w:t>6</w:t>
            </w:r>
            <w:r>
              <w:rPr>
                <w:rFonts w:ascii="Arial" w:cs="Arial" w:eastAsia="Arial" w:hAnsi="Arial"/>
                <w:sz w:val="18"/>
                <w:szCs w:val="18"/>
                <w:color w:val="000000"/>
                <w:w w:val="96"/>
              </w:rPr>
              <w:t>#</w:t>
            </w:r>
          </w:p>
        </w:tc>
        <w:tc>
          <w:tcPr>
            <w:tcW w:w="440" w:type="dxa"/>
            <w:vAlign w:val="bottom"/>
          </w:tcPr>
          <w:p>
            <w:pPr>
              <w:spacing w:after="0"/>
              <w:rPr>
                <w:sz w:val="15"/>
                <w:szCs w:val="15"/>
                <w:color w:val="auto"/>
              </w:rPr>
            </w:pPr>
          </w:p>
        </w:tc>
        <w:tc>
          <w:tcPr>
            <w:tcW w:w="4560" w:type="dxa"/>
            <w:vAlign w:val="bottom"/>
          </w:tcPr>
          <w:p>
            <w:pPr>
              <w:ind w:left="340"/>
              <w:spacing w:after="0" w:line="176" w:lineRule="exact"/>
              <w:rPr>
                <w:sz w:val="20"/>
                <w:szCs w:val="20"/>
                <w:color w:val="auto"/>
              </w:rPr>
            </w:pPr>
            <w:r>
              <w:rPr>
                <w:rFonts w:ascii="Arial" w:cs="Arial" w:eastAsia="Arial" w:hAnsi="Arial"/>
                <w:sz w:val="18"/>
                <w:szCs w:val="18"/>
                <w:color w:val="auto"/>
              </w:rPr>
              <w:t>agreements thereunder</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384"/>
        </w:trPr>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April 30, 2012, as</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amended, between Verona Pharma plc and Jan-</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4.7#</w:t>
            </w:r>
          </w:p>
        </w:tc>
        <w:tc>
          <w:tcPr>
            <w:tcW w:w="4560" w:type="dxa"/>
            <w:vAlign w:val="bottom"/>
          </w:tcPr>
          <w:p>
            <w:pPr>
              <w:ind w:left="340"/>
              <w:spacing w:after="0"/>
              <w:rPr>
                <w:sz w:val="20"/>
                <w:szCs w:val="20"/>
                <w:color w:val="auto"/>
              </w:rPr>
            </w:pPr>
            <w:r>
              <w:rPr>
                <w:rFonts w:ascii="Arial" w:cs="Arial" w:eastAsia="Arial" w:hAnsi="Arial"/>
                <w:sz w:val="18"/>
                <w:szCs w:val="18"/>
                <w:color w:val="auto"/>
              </w:rPr>
              <w:t>Anders Karlsson</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Offer Letter, dated December 15, 2014, as</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amended, between Verona Pharma plc and Kenneth</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4.8#</w:t>
            </w:r>
          </w:p>
        </w:tc>
        <w:tc>
          <w:tcPr>
            <w:tcW w:w="4560" w:type="dxa"/>
            <w:vAlign w:val="bottom"/>
          </w:tcPr>
          <w:p>
            <w:pPr>
              <w:ind w:left="340"/>
              <w:spacing w:after="0"/>
              <w:rPr>
                <w:sz w:val="20"/>
                <w:szCs w:val="20"/>
                <w:color w:val="auto"/>
              </w:rPr>
            </w:pPr>
            <w:r>
              <w:rPr>
                <w:rFonts w:ascii="Arial" w:cs="Arial" w:eastAsia="Arial" w:hAnsi="Arial"/>
                <w:sz w:val="18"/>
                <w:szCs w:val="18"/>
                <w:color w:val="auto"/>
              </w:rPr>
              <w:t>Newman</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September 24,</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2016, between Verona Pharma plc and Piers John</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4.9#</w:t>
            </w:r>
          </w:p>
        </w:tc>
        <w:tc>
          <w:tcPr>
            <w:tcW w:w="4560" w:type="dxa"/>
            <w:vAlign w:val="bottom"/>
          </w:tcPr>
          <w:p>
            <w:pPr>
              <w:ind w:left="340"/>
              <w:spacing w:after="0"/>
              <w:rPr>
                <w:sz w:val="20"/>
                <w:szCs w:val="20"/>
                <w:color w:val="auto"/>
              </w:rPr>
            </w:pPr>
            <w:r>
              <w:rPr>
                <w:rFonts w:ascii="Arial" w:cs="Arial" w:eastAsia="Arial" w:hAnsi="Arial"/>
                <w:sz w:val="18"/>
                <w:szCs w:val="18"/>
                <w:color w:val="auto"/>
              </w:rPr>
              <w:t>Morgan</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October 1, 2016,</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4.10#</w:t>
            </w:r>
          </w:p>
        </w:tc>
        <w:tc>
          <w:tcPr>
            <w:tcW w:w="4560" w:type="dxa"/>
            <w:vAlign w:val="bottom"/>
          </w:tcPr>
          <w:p>
            <w:pPr>
              <w:ind w:left="340"/>
              <w:spacing w:after="0"/>
              <w:rPr>
                <w:sz w:val="20"/>
                <w:szCs w:val="20"/>
                <w:color w:val="auto"/>
              </w:rPr>
            </w:pPr>
            <w:r>
              <w:rPr>
                <w:rFonts w:ascii="Arial" w:cs="Arial" w:eastAsia="Arial" w:hAnsi="Arial"/>
                <w:sz w:val="18"/>
                <w:szCs w:val="18"/>
                <w:color w:val="auto"/>
              </w:rPr>
              <w:t>between Verona Pharma plc and Claire Poll</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October 1, 2016, as</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amended, between Verona Pharma plc and Peter</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4.11#</w:t>
            </w:r>
          </w:p>
        </w:tc>
        <w:tc>
          <w:tcPr>
            <w:tcW w:w="4560" w:type="dxa"/>
            <w:vAlign w:val="bottom"/>
          </w:tcPr>
          <w:p>
            <w:pPr>
              <w:ind w:left="340"/>
              <w:spacing w:after="0"/>
              <w:rPr>
                <w:sz w:val="20"/>
                <w:szCs w:val="20"/>
                <w:color w:val="auto"/>
              </w:rPr>
            </w:pPr>
            <w:r>
              <w:rPr>
                <w:rFonts w:ascii="Arial" w:cs="Arial" w:eastAsia="Arial" w:hAnsi="Arial"/>
                <w:sz w:val="18"/>
                <w:szCs w:val="18"/>
                <w:color w:val="auto"/>
              </w:rPr>
              <w:t>Spargo</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10.10</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October 1, 2016, as</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amended, between Verona Pharma plc and Peter</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4.12#</w:t>
            </w:r>
          </w:p>
        </w:tc>
        <w:tc>
          <w:tcPr>
            <w:tcW w:w="4560" w:type="dxa"/>
            <w:vAlign w:val="bottom"/>
          </w:tcPr>
          <w:p>
            <w:pPr>
              <w:ind w:left="340"/>
              <w:spacing w:after="0"/>
              <w:rPr>
                <w:sz w:val="20"/>
                <w:szCs w:val="20"/>
                <w:color w:val="auto"/>
              </w:rPr>
            </w:pPr>
            <w:r>
              <w:rPr>
                <w:rFonts w:ascii="Arial" w:cs="Arial" w:eastAsia="Arial" w:hAnsi="Arial"/>
                <w:sz w:val="18"/>
                <w:szCs w:val="18"/>
                <w:color w:val="auto"/>
              </w:rPr>
              <w:t>Spargo</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10.16</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Employment Agreement, dated May 1, 2017,</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between Verona Pharma plc and Desiree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13</w:t>
            </w:r>
            <w:r>
              <w:rPr>
                <w:rFonts w:ascii="Arial" w:cs="Arial" w:eastAsia="Arial" w:hAnsi="Arial"/>
                <w:sz w:val="18"/>
                <w:szCs w:val="18"/>
                <w:color w:val="000000"/>
              </w:rPr>
              <w:t>#</w:t>
            </w:r>
          </w:p>
        </w:tc>
        <w:tc>
          <w:tcPr>
            <w:tcW w:w="4560" w:type="dxa"/>
            <w:vAlign w:val="bottom"/>
          </w:tcPr>
          <w:p>
            <w:pPr>
              <w:ind w:left="340"/>
              <w:spacing w:after="0" w:line="176" w:lineRule="exact"/>
              <w:rPr>
                <w:sz w:val="20"/>
                <w:szCs w:val="20"/>
                <w:color w:val="auto"/>
              </w:rPr>
            </w:pPr>
            <w:r>
              <w:rPr>
                <w:rFonts w:ascii="Arial" w:cs="Arial" w:eastAsia="Arial" w:hAnsi="Arial"/>
                <w:sz w:val="18"/>
                <w:szCs w:val="18"/>
                <w:color w:val="auto"/>
              </w:rPr>
              <w:t>Luthman[2]</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384"/>
        </w:trPr>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Form of Indemnification Agreement for board</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4.14</w:t>
            </w:r>
          </w:p>
        </w:tc>
        <w:tc>
          <w:tcPr>
            <w:tcW w:w="4560" w:type="dxa"/>
            <w:vAlign w:val="bottom"/>
          </w:tcPr>
          <w:p>
            <w:pPr>
              <w:ind w:left="340"/>
              <w:spacing w:after="0"/>
              <w:rPr>
                <w:sz w:val="20"/>
                <w:szCs w:val="20"/>
                <w:color w:val="auto"/>
              </w:rPr>
            </w:pPr>
            <w:r>
              <w:rPr>
                <w:rFonts w:ascii="Arial" w:cs="Arial" w:eastAsia="Arial" w:hAnsi="Arial"/>
                <w:sz w:val="18"/>
                <w:szCs w:val="18"/>
                <w:color w:val="auto"/>
              </w:rPr>
              <w:t>members</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F-1/A</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10.11.1</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4/18/2017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Form of Indemnification Agreement for executive</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4.15</w:t>
            </w:r>
          </w:p>
        </w:tc>
        <w:tc>
          <w:tcPr>
            <w:tcW w:w="4560" w:type="dxa"/>
            <w:vAlign w:val="bottom"/>
          </w:tcPr>
          <w:p>
            <w:pPr>
              <w:ind w:left="340"/>
              <w:spacing w:after="0"/>
              <w:rPr>
                <w:sz w:val="20"/>
                <w:szCs w:val="20"/>
                <w:color w:val="auto"/>
              </w:rPr>
            </w:pPr>
            <w:r>
              <w:rPr>
                <w:rFonts w:ascii="Arial" w:cs="Arial" w:eastAsia="Arial" w:hAnsi="Arial"/>
                <w:sz w:val="18"/>
                <w:szCs w:val="18"/>
                <w:color w:val="auto"/>
              </w:rPr>
              <w:t>officers</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F-1/A</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10.11.2</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4/18/2017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Relationship Agreement relating to Verona</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Pharma plc, dated July 29, 2016, by and among the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Verona Pharma plc, OrbiMed Private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4.16</w:t>
            </w:r>
          </w:p>
        </w:tc>
        <w:tc>
          <w:tcPr>
            <w:tcW w:w="4560" w:type="dxa"/>
            <w:vAlign w:val="bottom"/>
          </w:tcPr>
          <w:p>
            <w:pPr>
              <w:ind w:left="340"/>
              <w:spacing w:after="0"/>
              <w:rPr>
                <w:sz w:val="20"/>
                <w:szCs w:val="20"/>
                <w:color w:val="auto"/>
              </w:rPr>
            </w:pPr>
            <w:r>
              <w:rPr>
                <w:rFonts w:ascii="Arial" w:cs="Arial" w:eastAsia="Arial" w:hAnsi="Arial"/>
                <w:sz w:val="18"/>
                <w:szCs w:val="18"/>
                <w:color w:val="auto"/>
              </w:rPr>
              <w:t>Investments VI, LP and NPlus1 Singer Advisory LLP</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10.12</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Relationship Agreement relating to Verona</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Pharma plc, dated July 29, 2016, by and among the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Verona Pharma plc, Abingworth Bioventures VI LP</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4.17</w:t>
            </w:r>
          </w:p>
        </w:tc>
        <w:tc>
          <w:tcPr>
            <w:tcW w:w="4560" w:type="dxa"/>
            <w:vAlign w:val="bottom"/>
          </w:tcPr>
          <w:p>
            <w:pPr>
              <w:ind w:left="340"/>
              <w:spacing w:after="0"/>
              <w:rPr>
                <w:sz w:val="20"/>
                <w:szCs w:val="20"/>
                <w:color w:val="auto"/>
              </w:rPr>
            </w:pPr>
            <w:r>
              <w:rPr>
                <w:rFonts w:ascii="Arial" w:cs="Arial" w:eastAsia="Arial" w:hAnsi="Arial"/>
                <w:sz w:val="18"/>
                <w:szCs w:val="18"/>
                <w:color w:val="auto"/>
              </w:rPr>
              <w:t>and NPlus1 Singer Advisory LLP</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10.13</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Relationship Agreement relating to Verona</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Pharma plc, dated July 29, 2016, by and among the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Verona Pharma plc, Vivo Ventures Fund VII, L.P.,</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w w:val="99"/>
              </w:rPr>
              <w:t>Vivo Ventures VII Affiliates Fund, L.P., Vivo Ventures</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Pr>
          <w:p>
            <w:pPr>
              <w:ind w:left="340"/>
              <w:spacing w:after="0" w:line="202" w:lineRule="exact"/>
              <w:rPr>
                <w:sz w:val="20"/>
                <w:szCs w:val="20"/>
                <w:color w:val="auto"/>
              </w:rPr>
            </w:pPr>
            <w:r>
              <w:rPr>
                <w:rFonts w:ascii="Arial" w:cs="Arial" w:eastAsia="Arial" w:hAnsi="Arial"/>
                <w:sz w:val="18"/>
                <w:szCs w:val="18"/>
                <w:color w:val="auto"/>
              </w:rPr>
              <w:t>Fund VI, L.P., Vivo Ventures VI Affiliates Fund, L.P.</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7"/>
        </w:trPr>
        <w:tc>
          <w:tcPr>
            <w:tcW w:w="800" w:type="dxa"/>
            <w:vAlign w:val="bottom"/>
            <w:gridSpan w:val="3"/>
          </w:tcPr>
          <w:p>
            <w:pPr>
              <w:spacing w:after="0"/>
              <w:rPr>
                <w:sz w:val="20"/>
                <w:szCs w:val="20"/>
                <w:color w:val="auto"/>
              </w:rPr>
            </w:pPr>
            <w:r>
              <w:rPr>
                <w:rFonts w:ascii="Arial" w:cs="Arial" w:eastAsia="Arial" w:hAnsi="Arial"/>
                <w:sz w:val="18"/>
                <w:szCs w:val="18"/>
                <w:color w:val="auto"/>
              </w:rPr>
              <w:t>4.18</w:t>
            </w:r>
          </w:p>
        </w:tc>
        <w:tc>
          <w:tcPr>
            <w:tcW w:w="4560" w:type="dxa"/>
            <w:vAlign w:val="bottom"/>
          </w:tcPr>
          <w:p>
            <w:pPr>
              <w:ind w:left="340"/>
              <w:spacing w:after="0"/>
              <w:rPr>
                <w:sz w:val="20"/>
                <w:szCs w:val="20"/>
                <w:color w:val="auto"/>
              </w:rPr>
            </w:pPr>
            <w:r>
              <w:rPr>
                <w:rFonts w:ascii="Arial" w:cs="Arial" w:eastAsia="Arial" w:hAnsi="Arial"/>
                <w:sz w:val="18"/>
                <w:szCs w:val="18"/>
                <w:color w:val="auto"/>
              </w:rPr>
              <w:t>and NPlus1 Singer Advisory LLP</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10.14</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92"/>
        </w:trPr>
        <w:tc>
          <w:tcPr>
            <w:tcW w:w="360" w:type="dxa"/>
            <w:vAlign w:val="bottom"/>
            <w:gridSpan w:val="2"/>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List of Subsidiaries</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F-1</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10.14</w:t>
            </w:r>
          </w:p>
        </w:tc>
        <w:tc>
          <w:tcPr>
            <w:tcW w:w="228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59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133</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140"/>
          </w:cols>
          <w:pgMar w:left="380" w:top="557" w:right="379" w:bottom="1440" w:gutter="0" w:footer="0" w:header="0"/>
        </w:sectPr>
      </w:pPr>
    </w:p>
    <w:bookmarkStart w:id="135" w:name="page136"/>
    <w:bookmarkEnd w:id="135"/>
    <w:p>
      <w:pPr>
        <w:spacing w:after="0" w:line="1" w:lineRule="exact"/>
        <w:rPr>
          <w:sz w:val="20"/>
          <w:szCs w:val="20"/>
          <w:color w:val="auto"/>
        </w:rPr>
      </w:pPr>
    </w:p>
    <w:tbl>
      <w:tblPr>
        <w:tblLayout w:type="fixed"/>
        <w:tblInd w:w="118"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Rule 13a-14(a)/15d-14(a) Certification of Chief</w:t>
            </w:r>
          </w:p>
        </w:tc>
        <w:tc>
          <w:tcPr>
            <w:tcW w:w="3020" w:type="dxa"/>
            <w:vAlign w:val="bottom"/>
          </w:tcPr>
          <w:p>
            <w:pPr>
              <w:spacing w:after="0"/>
              <w:rPr>
                <w:sz w:val="17"/>
                <w:szCs w:val="17"/>
                <w:color w:val="auto"/>
              </w:rPr>
            </w:pPr>
          </w:p>
        </w:tc>
      </w:tr>
      <w:tr>
        <w:trPr>
          <w:trHeight w:val="176"/>
        </w:trPr>
        <w:tc>
          <w:tcPr>
            <w:tcW w:w="36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6"/>
              </w:rPr>
              <w:t>12.</w:t>
            </w:r>
            <w:r>
              <w:rPr>
                <w:rFonts w:ascii="Arial" w:cs="Arial" w:eastAsia="Arial" w:hAnsi="Arial"/>
                <w:sz w:val="18"/>
                <w:szCs w:val="18"/>
                <w:u w:val="single" w:color="auto"/>
                <w:color w:val="0000FF"/>
                <w:w w:val="96"/>
              </w:rPr>
              <w:t>1</w:t>
            </w:r>
          </w:p>
        </w:tc>
        <w:tc>
          <w:tcPr>
            <w:tcW w:w="580" w:type="dxa"/>
            <w:vAlign w:val="bottom"/>
          </w:tcPr>
          <w:p>
            <w:pPr>
              <w:spacing w:after="0"/>
              <w:rPr>
                <w:sz w:val="15"/>
                <w:szCs w:val="15"/>
                <w:color w:val="auto"/>
              </w:rPr>
            </w:pPr>
          </w:p>
        </w:tc>
        <w:tc>
          <w:tcPr>
            <w:tcW w:w="7180" w:type="dxa"/>
            <w:vAlign w:val="bottom"/>
          </w:tcPr>
          <w:p>
            <w:pPr>
              <w:ind w:left="200"/>
              <w:spacing w:after="0" w:line="176" w:lineRule="exact"/>
              <w:rPr>
                <w:sz w:val="20"/>
                <w:szCs w:val="20"/>
                <w:color w:val="auto"/>
              </w:rPr>
            </w:pPr>
            <w:r>
              <w:rPr>
                <w:rFonts w:ascii="Arial" w:cs="Arial" w:eastAsia="Arial" w:hAnsi="Arial"/>
                <w:sz w:val="18"/>
                <w:szCs w:val="18"/>
                <w:color w:val="auto"/>
              </w:rPr>
              <w:t>Executive Officer</w:t>
            </w:r>
          </w:p>
        </w:tc>
        <w:tc>
          <w:tcPr>
            <w:tcW w:w="3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384"/>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Rule 13a-14(a)/15d-14(a) Certification of Chief</w:t>
            </w:r>
          </w:p>
        </w:tc>
        <w:tc>
          <w:tcPr>
            <w:tcW w:w="3020" w:type="dxa"/>
            <w:vAlign w:val="bottom"/>
          </w:tcPr>
          <w:p>
            <w:pPr>
              <w:spacing w:after="0"/>
              <w:rPr>
                <w:sz w:val="24"/>
                <w:szCs w:val="24"/>
                <w:color w:val="auto"/>
              </w:rPr>
            </w:pPr>
          </w:p>
        </w:tc>
      </w:tr>
      <w:tr>
        <w:trPr>
          <w:trHeight w:val="176"/>
        </w:trPr>
        <w:tc>
          <w:tcPr>
            <w:tcW w:w="36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6"/>
              </w:rPr>
              <w:t>12.</w:t>
            </w:r>
            <w:r>
              <w:rPr>
                <w:rFonts w:ascii="Arial" w:cs="Arial" w:eastAsia="Arial" w:hAnsi="Arial"/>
                <w:sz w:val="18"/>
                <w:szCs w:val="18"/>
                <w:u w:val="single" w:color="auto"/>
                <w:color w:val="0000FF"/>
                <w:w w:val="96"/>
              </w:rPr>
              <w:t>2</w:t>
            </w:r>
          </w:p>
        </w:tc>
        <w:tc>
          <w:tcPr>
            <w:tcW w:w="580" w:type="dxa"/>
            <w:vAlign w:val="bottom"/>
          </w:tcPr>
          <w:p>
            <w:pPr>
              <w:spacing w:after="0"/>
              <w:rPr>
                <w:sz w:val="15"/>
                <w:szCs w:val="15"/>
                <w:color w:val="auto"/>
              </w:rPr>
            </w:pPr>
          </w:p>
        </w:tc>
        <w:tc>
          <w:tcPr>
            <w:tcW w:w="7180" w:type="dxa"/>
            <w:vAlign w:val="bottom"/>
          </w:tcPr>
          <w:p>
            <w:pPr>
              <w:ind w:left="200"/>
              <w:spacing w:after="0" w:line="176" w:lineRule="exact"/>
              <w:rPr>
                <w:sz w:val="20"/>
                <w:szCs w:val="20"/>
                <w:color w:val="auto"/>
              </w:rPr>
            </w:pPr>
            <w:r>
              <w:rPr>
                <w:rFonts w:ascii="Arial" w:cs="Arial" w:eastAsia="Arial" w:hAnsi="Arial"/>
                <w:sz w:val="18"/>
                <w:szCs w:val="18"/>
                <w:color w:val="auto"/>
              </w:rPr>
              <w:t>Financial Officer</w:t>
            </w:r>
          </w:p>
        </w:tc>
        <w:tc>
          <w:tcPr>
            <w:tcW w:w="3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372"/>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13.</w:t>
            </w:r>
            <w:r>
              <w:rPr>
                <w:rFonts w:ascii="Arial" w:cs="Arial" w:eastAsia="Arial" w:hAnsi="Arial"/>
                <w:sz w:val="18"/>
                <w:szCs w:val="18"/>
                <w:u w:val="single" w:color="auto"/>
                <w:color w:val="0000FF"/>
                <w:w w:val="96"/>
              </w:rPr>
              <w:t>1</w:t>
            </w: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Section 1350 Certification of Chief Executive Officer</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13.</w:t>
            </w:r>
            <w:r>
              <w:rPr>
                <w:rFonts w:ascii="Arial" w:cs="Arial" w:eastAsia="Arial" w:hAnsi="Arial"/>
                <w:sz w:val="18"/>
                <w:szCs w:val="18"/>
                <w:u w:val="single" w:color="auto"/>
                <w:color w:val="0000FF"/>
                <w:w w:val="96"/>
              </w:rPr>
              <w:t>2</w:t>
            </w: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Section 1350 Certification of Chief Financial Officer</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15.</w:t>
            </w:r>
            <w:r>
              <w:rPr>
                <w:rFonts w:ascii="Arial" w:cs="Arial" w:eastAsia="Arial" w:hAnsi="Arial"/>
                <w:sz w:val="18"/>
                <w:szCs w:val="18"/>
                <w:u w:val="single" w:color="auto"/>
                <w:color w:val="0000FF"/>
                <w:w w:val="96"/>
              </w:rPr>
              <w:t>1</w:t>
            </w: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Consent of PricewaterhouseCoopers LLP</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180" w:type="dxa"/>
            <w:vAlign w:val="bottom"/>
          </w:tcPr>
          <w:p>
            <w:pPr>
              <w:ind w:left="200"/>
              <w:spacing w:after="0"/>
              <w:rPr>
                <w:sz w:val="20"/>
                <w:szCs w:val="20"/>
                <w:color w:val="auto"/>
              </w:rPr>
            </w:pPr>
            <w:r>
              <w:rPr>
                <w:rFonts w:ascii="Arial" w:cs="Arial" w:eastAsia="Arial" w:hAnsi="Arial"/>
                <w:sz w:val="18"/>
                <w:szCs w:val="18"/>
                <w:color w:val="auto"/>
              </w:rPr>
              <w:t>XBRL Instance 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18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c>
          <w:tcPr>
            <w:tcW w:w="3020" w:type="dxa"/>
            <w:vAlign w:val="bottom"/>
          </w:tcPr>
          <w:p>
            <w:pPr>
              <w:spacing w:after="0"/>
              <w:rPr>
                <w:sz w:val="24"/>
                <w:szCs w:val="24"/>
                <w:color w:val="auto"/>
              </w:rPr>
            </w:pPr>
          </w:p>
        </w:tc>
      </w:tr>
      <w:tr>
        <w:trPr>
          <w:trHeight w:val="217"/>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18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c>
          <w:tcPr>
            <w:tcW w:w="3020" w:type="dxa"/>
            <w:vAlign w:val="bottom"/>
          </w:tcPr>
          <w:p>
            <w:pPr>
              <w:spacing w:after="0"/>
              <w:rPr>
                <w:sz w:val="24"/>
                <w:szCs w:val="24"/>
                <w:color w:val="auto"/>
              </w:rPr>
            </w:pPr>
          </w:p>
        </w:tc>
      </w:tr>
      <w:tr>
        <w:trPr>
          <w:trHeight w:val="217"/>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18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c>
          <w:tcPr>
            <w:tcW w:w="3020" w:type="dxa"/>
            <w:vAlign w:val="bottom"/>
          </w:tcPr>
          <w:p>
            <w:pPr>
              <w:spacing w:after="0"/>
              <w:rPr>
                <w:sz w:val="24"/>
                <w:szCs w:val="24"/>
                <w:color w:val="auto"/>
              </w:rPr>
            </w:pPr>
          </w:p>
        </w:tc>
      </w:tr>
      <w:tr>
        <w:trPr>
          <w:trHeight w:val="217"/>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18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c>
          <w:tcPr>
            <w:tcW w:w="3020" w:type="dxa"/>
            <w:vAlign w:val="bottom"/>
          </w:tcPr>
          <w:p>
            <w:pPr>
              <w:spacing w:after="0"/>
              <w:rPr>
                <w:sz w:val="24"/>
                <w:szCs w:val="24"/>
                <w:color w:val="auto"/>
              </w:rPr>
            </w:pPr>
          </w:p>
        </w:tc>
      </w:tr>
      <w:tr>
        <w:trPr>
          <w:trHeight w:val="217"/>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18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438" w:hanging="438"/>
        <w:spacing w:after="0"/>
        <w:tabs>
          <w:tab w:leader="none" w:pos="4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38" w:hanging="438"/>
        <w:spacing w:after="0"/>
        <w:tabs>
          <w:tab w:leader="none" w:pos="438" w:val="left"/>
        </w:tabs>
        <w:numPr>
          <w:ilvl w:val="0"/>
          <w:numId w:val="7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38" w:hanging="438"/>
        <w:spacing w:after="0"/>
        <w:tabs>
          <w:tab w:leader="none" w:pos="4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38" w:right="400" w:hanging="438"/>
        <w:spacing w:after="0" w:line="261" w:lineRule="auto"/>
        <w:tabs>
          <w:tab w:leader="none" w:pos="4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7"/>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58"/>
          </w:cols>
          <w:pgMar w:left="262" w:top="539" w:right="37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9"/>
        </w:trPr>
        <w:tc>
          <w:tcPr>
            <w:tcW w:w="8600" w:type="dxa"/>
            <w:vAlign w:val="bottom"/>
            <w:gridSpan w:val="6"/>
          </w:tcPr>
          <w:p>
            <w:pPr>
              <w:jc w:val="center"/>
              <w:ind w:left="265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86"/>
        </w:trPr>
        <w:tc>
          <w:tcPr>
            <w:tcW w:w="3800" w:type="dxa"/>
            <w:vAlign w:val="bottom"/>
          </w:tcPr>
          <w:p>
            <w:pPr>
              <w:spacing w:after="0"/>
              <w:rPr>
                <w:sz w:val="24"/>
                <w:szCs w:val="24"/>
                <w:color w:val="auto"/>
              </w:rPr>
            </w:pPr>
          </w:p>
        </w:tc>
        <w:tc>
          <w:tcPr>
            <w:tcW w:w="480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99"/>
              </w:rPr>
              <w:t>Consolidated financial statements</w:t>
            </w: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86"/>
        </w:trPr>
        <w:tc>
          <w:tcPr>
            <w:tcW w:w="8600" w:type="dxa"/>
            <w:vAlign w:val="bottom"/>
            <w:gridSpan w:val="6"/>
          </w:tcPr>
          <w:p>
            <w:pPr>
              <w:jc w:val="center"/>
              <w:ind w:left="2670"/>
              <w:spacing w:after="0"/>
              <w:rPr>
                <w:sz w:val="20"/>
                <w:szCs w:val="20"/>
                <w:color w:val="auto"/>
              </w:rPr>
            </w:pPr>
            <w:r>
              <w:rPr>
                <w:rFonts w:ascii="Arial" w:cs="Arial" w:eastAsia="Arial" w:hAnsi="Arial"/>
                <w:sz w:val="18"/>
                <w:szCs w:val="18"/>
                <w:b w:val="1"/>
                <w:bCs w:val="1"/>
                <w:color w:val="auto"/>
              </w:rPr>
              <w:t>as of and for the years ended December 31, 2016 and 2017</w:t>
            </w: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3"/>
        </w:trPr>
        <w:tc>
          <w:tcPr>
            <w:tcW w:w="46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38">
              <w:r>
                <w:rPr>
                  <w:rFonts w:ascii="Arial" w:cs="Arial" w:eastAsia="Arial" w:hAnsi="Arial"/>
                  <w:sz w:val="18"/>
                  <w:szCs w:val="18"/>
                  <w:color w:val="0000EE"/>
                  <w:w w:val="99"/>
                </w:rPr>
                <w:t>Report of Independent Registered Public Accounting Firm</w:t>
              </w:r>
            </w:hyperlink>
          </w:p>
        </w:tc>
        <w:tc>
          <w:tcPr>
            <w:tcW w:w="4000" w:type="dxa"/>
            <w:vAlign w:val="bottom"/>
            <w:gridSpan w:val="4"/>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138">
              <w:r>
                <w:rPr>
                  <w:rFonts w:ascii="Arial" w:cs="Arial" w:eastAsia="Arial" w:hAnsi="Arial"/>
                  <w:sz w:val="18"/>
                  <w:szCs w:val="18"/>
                  <w:color w:val="0000EE"/>
                  <w:w w:val="96"/>
                </w:rPr>
                <w:t>F-2</w:t>
              </w:r>
            </w:hyperlink>
          </w:p>
        </w:tc>
      </w:tr>
      <w:tr>
        <w:trPr>
          <w:trHeight w:val="237"/>
        </w:trPr>
        <w:tc>
          <w:tcPr>
            <w:tcW w:w="8600" w:type="dxa"/>
            <w:vAlign w:val="bottom"/>
            <w:gridSpan w:val="6"/>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Consolidated Statement of Financial Position as at December 31, 2016 and 2017</w:t>
              </w:r>
            </w:hyperlink>
          </w:p>
        </w:tc>
        <w:tc>
          <w:tcPr>
            <w:tcW w:w="2760" w:type="dxa"/>
            <w:vAlign w:val="bottom"/>
            <w:gridSpan w:val="2"/>
          </w:tcPr>
          <w:p>
            <w:pPr>
              <w:ind w:left="2480"/>
              <w:spacing w:after="0"/>
              <w:rPr>
                <w:rFonts w:ascii="Arial" w:cs="Arial" w:eastAsia="Arial" w:hAnsi="Arial"/>
                <w:sz w:val="18"/>
                <w:szCs w:val="18"/>
                <w:color w:val="0000EE"/>
                <w:w w:val="96"/>
              </w:rPr>
            </w:pPr>
            <w:hyperlink w:anchor="page139">
              <w:r>
                <w:rPr>
                  <w:rFonts w:ascii="Arial" w:cs="Arial" w:eastAsia="Arial" w:hAnsi="Arial"/>
                  <w:sz w:val="18"/>
                  <w:szCs w:val="18"/>
                  <w:color w:val="0000EE"/>
                  <w:w w:val="96"/>
                </w:rPr>
                <w:t>F-3</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37"/>
        </w:trPr>
        <w:tc>
          <w:tcPr>
            <w:tcW w:w="86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40">
              <w:r>
                <w:rPr>
                  <w:rFonts w:ascii="Arial" w:cs="Arial" w:eastAsia="Arial" w:hAnsi="Arial"/>
                  <w:sz w:val="18"/>
                  <w:szCs w:val="18"/>
                  <w:color w:val="0000EE"/>
                  <w:w w:val="99"/>
                </w:rPr>
                <w:t>Consolidated Statement of Comprehensive Income for the years ended December 31, 2015, 2016 and 2017</w:t>
              </w:r>
            </w:hyperlink>
          </w:p>
        </w:tc>
        <w:tc>
          <w:tcPr>
            <w:tcW w:w="248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140">
              <w:r>
                <w:rPr>
                  <w:rFonts w:ascii="Arial" w:cs="Arial" w:eastAsia="Arial" w:hAnsi="Arial"/>
                  <w:sz w:val="18"/>
                  <w:szCs w:val="18"/>
                  <w:color w:val="0000EE"/>
                  <w:w w:val="96"/>
                </w:rPr>
                <w:t>F-4</w:t>
              </w:r>
            </w:hyperlink>
          </w:p>
        </w:tc>
      </w:tr>
      <w:tr>
        <w:trPr>
          <w:trHeight w:val="237"/>
        </w:trPr>
        <w:tc>
          <w:tcPr>
            <w:tcW w:w="76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41">
              <w:r>
                <w:rPr>
                  <w:rFonts w:ascii="Arial" w:cs="Arial" w:eastAsia="Arial" w:hAnsi="Arial"/>
                  <w:sz w:val="18"/>
                  <w:szCs w:val="18"/>
                  <w:color w:val="0000EE"/>
                  <w:w w:val="99"/>
                </w:rPr>
                <w:t>Consolidated Statement of Cash Flows for the years ended December 31, 2015, 2016 and 2017</w:t>
              </w:r>
            </w:hyperlink>
          </w:p>
        </w:tc>
        <w:tc>
          <w:tcPr>
            <w:tcW w:w="960" w:type="dxa"/>
            <w:vAlign w:val="bottom"/>
            <w:gridSpan w:val="2"/>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141">
              <w:r>
                <w:rPr>
                  <w:rFonts w:ascii="Arial" w:cs="Arial" w:eastAsia="Arial" w:hAnsi="Arial"/>
                  <w:sz w:val="18"/>
                  <w:szCs w:val="18"/>
                  <w:color w:val="0000EE"/>
                  <w:w w:val="96"/>
                </w:rPr>
                <w:t>F-5</w:t>
              </w:r>
            </w:hyperlink>
          </w:p>
        </w:tc>
      </w:tr>
      <w:tr>
        <w:trPr>
          <w:trHeight w:val="237"/>
        </w:trPr>
        <w:tc>
          <w:tcPr>
            <w:tcW w:w="8600" w:type="dxa"/>
            <w:vAlign w:val="bottom"/>
            <w:gridSpan w:val="6"/>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Consolidated Statement of Changes in Equity for the years ended December 31, 2015, 2016 and 2017</w:t>
              </w:r>
            </w:hyperlink>
          </w:p>
        </w:tc>
        <w:tc>
          <w:tcPr>
            <w:tcW w:w="2760" w:type="dxa"/>
            <w:vAlign w:val="bottom"/>
            <w:gridSpan w:val="2"/>
          </w:tcPr>
          <w:p>
            <w:pPr>
              <w:ind w:left="2480"/>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F-6</w:t>
              </w:r>
            </w:hyperlink>
          </w:p>
        </w:tc>
      </w:tr>
      <w:tr>
        <w:trPr>
          <w:trHeight w:val="237"/>
        </w:trPr>
        <w:tc>
          <w:tcPr>
            <w:tcW w:w="8160" w:type="dxa"/>
            <w:vAlign w:val="bottom"/>
            <w:tcBorders>
              <w:top w:val="single" w:sz="8" w:color="0000EE"/>
            </w:tcBorders>
            <w:gridSpan w:val="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Notes to the Financial Statements</w:t>
              </w:r>
            </w:hyperlink>
          </w:p>
        </w:tc>
        <w:tc>
          <w:tcPr>
            <w:tcW w:w="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F-7</w:t>
              </w:r>
            </w:hyperlink>
          </w:p>
        </w:tc>
      </w:tr>
      <w:tr>
        <w:trPr>
          <w:trHeight w:val="979"/>
        </w:trPr>
        <w:tc>
          <w:tcPr>
            <w:tcW w:w="38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gridSpan w:val="4"/>
          </w:tcPr>
          <w:p>
            <w:pPr>
              <w:jc w:val="center"/>
              <w:ind w:right="1860"/>
              <w:spacing w:after="0"/>
              <w:rPr>
                <w:sz w:val="20"/>
                <w:szCs w:val="20"/>
                <w:color w:val="auto"/>
              </w:rPr>
            </w:pPr>
            <w:r>
              <w:rPr>
                <w:rFonts w:ascii="Arial" w:cs="Arial" w:eastAsia="Arial" w:hAnsi="Arial"/>
                <w:sz w:val="18"/>
                <w:szCs w:val="18"/>
                <w:color w:val="auto"/>
                <w:w w:val="96"/>
              </w:rPr>
              <w:t>F-1</w:t>
            </w:r>
          </w:p>
        </w:tc>
        <w:tc>
          <w:tcPr>
            <w:tcW w:w="24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495" w:right="25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900430" cy="68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004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Verona Pharma Plc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statement of financial position of Verona Pharma Plc and its subsidiaries as of December 31, 2017 and December 31, 2016 and the related consolidated statements of comprehensive income, of changes in equity and of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December 31, 2016, and the results of their operations and their cash flows for each of the three years in the period ended December 31, 2017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17" w:lineRule="exact"/>
        <w:rPr>
          <w:sz w:val="20"/>
          <w:szCs w:val="20"/>
          <w:color w:val="auto"/>
        </w:rPr>
      </w:pPr>
    </w:p>
    <w:p>
      <w:pPr>
        <w:ind w:right="5260"/>
        <w:spacing w:after="0" w:line="279" w:lineRule="auto"/>
        <w:rPr>
          <w:sz w:val="20"/>
          <w:szCs w:val="20"/>
          <w:color w:val="auto"/>
        </w:rPr>
      </w:pPr>
      <w:r>
        <w:rPr>
          <w:rFonts w:ascii="Arial" w:cs="Arial" w:eastAsia="Arial" w:hAnsi="Arial"/>
          <w:sz w:val="14"/>
          <w:szCs w:val="14"/>
          <w:i w:val="1"/>
          <w:iCs w:val="1"/>
          <w:color w:val="auto"/>
        </w:rPr>
        <w:t>PricewaterhouseCoopers LLP, 3 Forbury Place, 23 Forbury Road, Reading, Berkshire, RG1 3JH T: +44 (0) 118 597 111, F: +44 (0) 1189 383 020, www.pwc.co.uk</w:t>
      </w:r>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PricewaterhouseCoopers LLP is a limited liability partnership registered in England with registered number OC303525. The registered office of</w:t>
      </w:r>
    </w:p>
    <w:p>
      <w:pPr>
        <w:spacing w:after="0"/>
        <w:rPr>
          <w:sz w:val="20"/>
          <w:szCs w:val="20"/>
          <w:color w:val="auto"/>
        </w:rPr>
      </w:pPr>
      <w:r>
        <w:rPr>
          <w:rFonts w:ascii="Arial" w:cs="Arial" w:eastAsia="Arial" w:hAnsi="Arial"/>
          <w:sz w:val="11"/>
          <w:szCs w:val="11"/>
          <w:color w:val="auto"/>
        </w:rPr>
        <w:t>PricewaterhouseCoopers LLP is 1 Embankment Place, London WC2N 6RH. PricewaterhouseCoopers LLP is authorised and regulated by the Financial Conduct Authority for designated investment business.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440" w:right="2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96"/>
        </w:trPr>
        <w:tc>
          <w:tcPr>
            <w:tcW w:w="7660" w:type="dxa"/>
            <w:vAlign w:val="bottom"/>
          </w:tcPr>
          <w:p>
            <w:pPr>
              <w:spacing w:after="0"/>
              <w:rPr>
                <w:sz w:val="17"/>
                <w:szCs w:val="17"/>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7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1,969</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2,426</w:t>
            </w:r>
          </w:p>
        </w:tc>
      </w:tr>
      <w:tr>
        <w:trPr>
          <w:trHeight w:val="297"/>
        </w:trPr>
        <w:tc>
          <w:tcPr>
            <w:tcW w:w="7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1,810</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5,006</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48,819</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39,785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31,443</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43,811</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87,078</w:t>
            </w:r>
          </w:p>
        </w:tc>
      </w:tr>
      <w:tr>
        <w:trPr>
          <w:trHeight w:val="29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46,143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89,504</w:t>
            </w:r>
          </w:p>
        </w:tc>
      </w:tr>
      <w:tr>
        <w:trPr>
          <w:trHeight w:val="251"/>
        </w:trPr>
        <w:tc>
          <w:tcPr>
            <w:tcW w:w="76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5,251</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58,526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5,022</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(28,728)</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9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34,469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79,881</w:t>
            </w:r>
          </w:p>
        </w:tc>
      </w:tr>
      <w:tr>
        <w:trPr>
          <w:trHeight w:val="278"/>
        </w:trPr>
        <w:tc>
          <w:tcPr>
            <w:tcW w:w="7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1,273</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7,154</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payable—U.S. Operations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5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10,872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8,596</w:t>
            </w:r>
          </w:p>
        </w:tc>
      </w:tr>
      <w:tr>
        <w:trPr>
          <w:trHeight w:val="324"/>
        </w:trPr>
        <w:tc>
          <w:tcPr>
            <w:tcW w:w="7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r>
      <w:tr>
        <w:trPr>
          <w:trHeight w:val="250"/>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46,143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89,504</w:t>
            </w:r>
          </w:p>
        </w:tc>
      </w:tr>
      <w:tr>
        <w:trPr>
          <w:trHeight w:val="20"/>
        </w:trPr>
        <w:tc>
          <w:tcPr>
            <w:tcW w:w="7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6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6140" w:type="dxa"/>
            <w:vAlign w:val="bottom"/>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6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r>
      <w:tr>
        <w:trPr>
          <w:trHeight w:val="264"/>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r>
      <w:tr>
        <w:trPr>
          <w:trHeight w:val="25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r>
      <w:tr>
        <w:trPr>
          <w:trHeight w:val="263"/>
        </w:trPr>
        <w:tc>
          <w:tcPr>
            <w:tcW w:w="61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7,018</w:t>
            </w:r>
          </w:p>
        </w:tc>
      </w:tr>
      <w:tr>
        <w:trPr>
          <w:trHeight w:val="27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(25,203)</w:t>
            </w:r>
          </w:p>
        </w:tc>
      </w:tr>
      <w:tr>
        <w:trPr>
          <w:trHeight w:val="27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4,706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Loss for the year</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(20,497)</w:t>
            </w:r>
          </w:p>
        </w:tc>
      </w:tr>
      <w:tr>
        <w:trPr>
          <w:trHeight w:val="27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 (loss) :</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5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90"/>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(20,526)</w:t>
            </w:r>
          </w:p>
        </w:tc>
      </w:tr>
      <w:tr>
        <w:trPr>
          <w:trHeight w:val="23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360"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2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Pr>
          <w:p>
            <w:pPr>
              <w:spacing w:after="0"/>
              <w:rPr>
                <w:sz w:val="17"/>
                <w:szCs w:val="17"/>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r>
      <w:tr>
        <w:trPr>
          <w:trHeight w:val="264"/>
        </w:trPr>
        <w:tc>
          <w:tcPr>
            <w:tcW w:w="77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(9,004)</w:t>
            </w:r>
          </w:p>
        </w:tc>
        <w:tc>
          <w:tcPr>
            <w:tcW w:w="1180" w:type="dxa"/>
            <w:vAlign w:val="bottom"/>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(25,203)</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2,465</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399</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2,919</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Decrease / (increase) in prepayments and other receivables</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18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trade and other payables</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1,274</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5,363</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disposal of property, plant and equipment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Loss on disposal of intangible assets</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135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(7,056)</w:t>
            </w:r>
          </w:p>
        </w:tc>
        <w:tc>
          <w:tcPr>
            <w:tcW w:w="118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(21,512)</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inflow from taxation</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700</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816</w:t>
            </w:r>
          </w:p>
        </w:tc>
      </w:tr>
      <w:tr>
        <w:trPr>
          <w:trHeight w:val="25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(6,356)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Interest received</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plant and equipment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to short term investments</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(54,465)</w:t>
            </w:r>
          </w:p>
        </w:tc>
      </w:tr>
      <w:tr>
        <w:trPr>
          <w:trHeight w:val="264"/>
        </w:trPr>
        <w:tc>
          <w:tcPr>
            <w:tcW w:w="7780" w:type="dxa"/>
            <w:vAlign w:val="bottom"/>
          </w:tcPr>
          <w:p>
            <w:pPr>
              <w:ind w:left="40"/>
              <w:spacing w:after="0"/>
              <w:rPr>
                <w:sz w:val="20"/>
                <w:szCs w:val="20"/>
                <w:color w:val="auto"/>
              </w:rPr>
            </w:pPr>
            <w:r>
              <w:rPr>
                <w:rFonts w:ascii="Arial" w:cs="Arial" w:eastAsia="Arial" w:hAnsi="Arial"/>
                <w:sz w:val="18"/>
                <w:szCs w:val="18"/>
                <w:color w:val="auto"/>
              </w:rPr>
              <w:t>Maturity of short term investments</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5,085</w:t>
            </w:r>
          </w:p>
        </w:tc>
      </w:tr>
      <w:tr>
        <w:trPr>
          <w:trHeight w:val="270"/>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(49,469)</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proceeds from issue of shares and warrants</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44,750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Gross proceeds from the April 2017 Global Offering</w:t>
            </w:r>
          </w:p>
        </w:tc>
        <w:tc>
          <w:tcPr>
            <w:tcW w:w="1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70,032</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on issue of shares and warrants</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Transaction costs on April 2017 Global Offering</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generated from financing activities</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41,204</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63,246</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(6,448)</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35,577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(6,919)</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year</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9,968</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39,785</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3,524</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39,785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31,443</w:t>
            </w: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jc w:val="center"/>
              <w:ind w:right="153"/>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580" w:type="dxa"/>
            <w:vAlign w:val="bottom"/>
          </w:tcPr>
          <w:p>
            <w:pPr>
              <w:jc w:val="center"/>
              <w:ind w:right="93"/>
              <w:spacing w:after="0"/>
              <w:rPr>
                <w:sz w:val="20"/>
                <w:szCs w:val="20"/>
                <w:color w:val="auto"/>
              </w:rPr>
            </w:pPr>
            <w:r>
              <w:rPr>
                <w:rFonts w:ascii="Arial" w:cs="Arial" w:eastAsia="Arial" w:hAnsi="Arial"/>
                <w:sz w:val="14"/>
                <w:szCs w:val="14"/>
                <w:b w:val="1"/>
                <w:bCs w:val="1"/>
                <w:color w:val="auto"/>
              </w:rPr>
              <w:t>Share</w:t>
            </w:r>
          </w:p>
        </w:tc>
        <w:tc>
          <w:tcPr>
            <w:tcW w:w="1460" w:type="dxa"/>
            <w:vAlign w:val="bottom"/>
          </w:tcPr>
          <w:p>
            <w:pPr>
              <w:jc w:val="center"/>
              <w:ind w:right="133"/>
              <w:spacing w:after="0"/>
              <w:rPr>
                <w:sz w:val="20"/>
                <w:szCs w:val="20"/>
                <w:color w:val="auto"/>
              </w:rPr>
            </w:pPr>
            <w:r>
              <w:rPr>
                <w:rFonts w:ascii="Arial" w:cs="Arial" w:eastAsia="Arial" w:hAnsi="Arial"/>
                <w:sz w:val="14"/>
                <w:szCs w:val="14"/>
                <w:b w:val="1"/>
                <w:bCs w:val="1"/>
                <w:color w:val="auto"/>
              </w:rPr>
              <w:t>Share</w:t>
            </w: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Share-based</w:t>
            </w:r>
          </w:p>
        </w:tc>
        <w:tc>
          <w:tcPr>
            <w:tcW w:w="1620" w:type="dxa"/>
            <w:vAlign w:val="bottom"/>
          </w:tcPr>
          <w:p>
            <w:pPr>
              <w:jc w:val="center"/>
              <w:ind w:right="153"/>
              <w:spacing w:after="0"/>
              <w:rPr>
                <w:sz w:val="20"/>
                <w:szCs w:val="20"/>
                <w:color w:val="auto"/>
              </w:rPr>
            </w:pPr>
            <w:r>
              <w:rPr>
                <w:rFonts w:ascii="Arial" w:cs="Arial" w:eastAsia="Arial" w:hAnsi="Arial"/>
                <w:sz w:val="14"/>
                <w:szCs w:val="14"/>
                <w:b w:val="1"/>
                <w:bCs w:val="1"/>
                <w:color w:val="auto"/>
              </w:rPr>
              <w:t>Accumulated</w:t>
            </w:r>
          </w:p>
        </w:tc>
        <w:tc>
          <w:tcPr>
            <w:tcW w:w="12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5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Capital</w:t>
            </w:r>
          </w:p>
        </w:tc>
        <w:tc>
          <w:tcPr>
            <w:tcW w:w="14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Premium</w:t>
            </w: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Expenses</w:t>
            </w:r>
          </w:p>
        </w:tc>
        <w:tc>
          <w:tcPr>
            <w:tcW w:w="16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Losses</w:t>
            </w: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580" w:type="dxa"/>
            <w:vAlign w:val="bottom"/>
          </w:tcPr>
          <w:p>
            <w:pPr>
              <w:jc w:val="center"/>
              <w:ind w:right="93"/>
              <w:spacing w:after="0"/>
              <w:rPr>
                <w:sz w:val="20"/>
                <w:szCs w:val="20"/>
                <w:color w:val="auto"/>
              </w:rPr>
            </w:pPr>
            <w:r>
              <w:rPr>
                <w:rFonts w:ascii="Arial" w:cs="Arial" w:eastAsia="Arial" w:hAnsi="Arial"/>
                <w:sz w:val="14"/>
                <w:szCs w:val="14"/>
                <w:b w:val="1"/>
                <w:bCs w:val="1"/>
                <w:color w:val="auto"/>
              </w:rPr>
              <w:t>£'000s</w:t>
            </w:r>
          </w:p>
        </w:tc>
        <w:tc>
          <w:tcPr>
            <w:tcW w:w="1460" w:type="dxa"/>
            <w:vAlign w:val="bottom"/>
          </w:tcPr>
          <w:p>
            <w:pPr>
              <w:jc w:val="center"/>
              <w:ind w:right="133"/>
              <w:spacing w:after="0"/>
              <w:rPr>
                <w:sz w:val="20"/>
                <w:szCs w:val="20"/>
                <w:color w:val="auto"/>
              </w:rPr>
            </w:pPr>
            <w:r>
              <w:rPr>
                <w:rFonts w:ascii="Arial" w:cs="Arial" w:eastAsia="Arial" w:hAnsi="Arial"/>
                <w:sz w:val="14"/>
                <w:szCs w:val="14"/>
                <w:b w:val="1"/>
                <w:bCs w:val="1"/>
                <w:color w:val="auto"/>
              </w:rPr>
              <w:t>£'000s</w:t>
            </w: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£'000s</w:t>
            </w:r>
          </w:p>
        </w:tc>
        <w:tc>
          <w:tcPr>
            <w:tcW w:w="1620" w:type="dxa"/>
            <w:vAlign w:val="bottom"/>
          </w:tcPr>
          <w:p>
            <w:pPr>
              <w:jc w:val="center"/>
              <w:ind w:right="173"/>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right"/>
              <w:ind w:right="373"/>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2015</w:t>
            </w:r>
          </w:p>
        </w:tc>
        <w:tc>
          <w:tcPr>
            <w:tcW w:w="15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1,010</w:t>
            </w:r>
          </w:p>
        </w:tc>
        <w:tc>
          <w:tcPr>
            <w:tcW w:w="1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26,650</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1,127</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(16,261)</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5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(7,495)</w:t>
            </w:r>
          </w:p>
        </w:tc>
        <w:tc>
          <w:tcPr>
            <w:tcW w:w="1200" w:type="dxa"/>
            <w:vAlign w:val="bottom"/>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5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5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(7,491)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399</w:t>
            </w: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5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1,010</w:t>
            </w:r>
          </w:p>
        </w:tc>
        <w:tc>
          <w:tcPr>
            <w:tcW w:w="1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26,650</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1,526</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(23,752)</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1,010</w:t>
            </w: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26,650</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1,526</w:t>
            </w:r>
          </w:p>
        </w:tc>
        <w:tc>
          <w:tcPr>
            <w:tcW w:w="1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(23,752)</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year</w:t>
            </w:r>
          </w:p>
        </w:tc>
        <w:tc>
          <w:tcPr>
            <w:tcW w:w="15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5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5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5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(4,976)</w:t>
            </w:r>
          </w:p>
        </w:tc>
        <w:tc>
          <w:tcPr>
            <w:tcW w:w="1200" w:type="dxa"/>
            <w:vAlign w:val="bottom"/>
          </w:tcPr>
          <w:p>
            <w:pPr>
              <w:jc w:val="right"/>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share capital issued</w:t>
            </w:r>
          </w:p>
        </w:tc>
        <w:tc>
          <w:tcPr>
            <w:tcW w:w="15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1,556</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34,151</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35,707</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Transaction costs on share capital issued</w:t>
            </w:r>
          </w:p>
        </w:tc>
        <w:tc>
          <w:tcPr>
            <w:tcW w:w="15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(2,325)</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options exercised during the period</w:t>
            </w:r>
          </w:p>
        </w:tc>
        <w:tc>
          <w:tcPr>
            <w:tcW w:w="15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577</w:t>
            </w: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5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2,568</w:t>
            </w:r>
          </w:p>
        </w:tc>
        <w:tc>
          <w:tcPr>
            <w:tcW w:w="1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58,526</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2,103</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2,568</w:t>
            </w: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58,526</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2,103</w:t>
            </w:r>
          </w:p>
        </w:tc>
        <w:tc>
          <w:tcPr>
            <w:tcW w:w="1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year</w:t>
            </w:r>
          </w:p>
        </w:tc>
        <w:tc>
          <w:tcPr>
            <w:tcW w:w="15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(20,497)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360" w:right="239" w:bottom="1440" w:gutter="0" w:footer="0" w:header="0"/>
        </w:sectPr>
      </w:pPr>
    </w:p>
    <w:p>
      <w:pPr>
        <w:ind w:left="40"/>
        <w:spacing w:after="0"/>
        <w:rPr>
          <w:sz w:val="20"/>
          <w:szCs w:val="20"/>
          <w:color w:val="auto"/>
        </w:rPr>
      </w:pPr>
      <w:r>
        <w:rPr>
          <w:rFonts w:ascii="Arial" w:cs="Arial" w:eastAsia="Arial" w:hAnsi="Arial"/>
          <w:sz w:val="18"/>
          <w:szCs w:val="18"/>
          <w:color w:val="auto"/>
        </w:rPr>
        <w:t>Other comprehensive loss for the year:</w:t>
      </w:r>
    </w:p>
    <w:p>
      <w:pPr>
        <w:spacing w:after="0" w:line="50"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Exchange differences on translating foreign operations</w:t>
      </w:r>
    </w:p>
    <w:p>
      <w:pPr>
        <w:spacing w:after="0" w:line="62" w:lineRule="exact"/>
        <w:rPr>
          <w:sz w:val="20"/>
          <w:szCs w:val="20"/>
          <w:color w:val="auto"/>
        </w:rPr>
      </w:pPr>
    </w:p>
    <w:p>
      <w:pPr>
        <w:ind w:left="40" w:right="340"/>
        <w:spacing w:after="0" w:line="313" w:lineRule="auto"/>
        <w:rPr>
          <w:sz w:val="20"/>
          <w:szCs w:val="20"/>
          <w:color w:val="auto"/>
        </w:rPr>
      </w:pPr>
      <w:r>
        <w:rPr>
          <w:rFonts w:ascii="Arial" w:cs="Arial" w:eastAsia="Arial" w:hAnsi="Arial"/>
          <w:sz w:val="18"/>
          <w:szCs w:val="18"/>
          <w:color w:val="auto"/>
        </w:rPr>
        <w:t>Total comprehensive loss for the period New share capital issued</w:t>
      </w:r>
    </w:p>
    <w:p>
      <w:pPr>
        <w:ind w:left="40"/>
        <w:spacing w:after="0"/>
        <w:rPr>
          <w:sz w:val="20"/>
          <w:szCs w:val="20"/>
          <w:color w:val="auto"/>
        </w:rPr>
      </w:pPr>
      <w:r>
        <w:rPr>
          <w:rFonts w:ascii="Arial" w:cs="Arial" w:eastAsia="Arial" w:hAnsi="Arial"/>
          <w:sz w:val="18"/>
          <w:szCs w:val="18"/>
          <w:color w:val="auto"/>
        </w:rPr>
        <w:t>Transaction costs on share capital issued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 options exercised during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payments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(20,526)</w:t>
            </w:r>
          </w:p>
        </w:tc>
        <w:tc>
          <w:tcPr>
            <w:tcW w:w="1120" w:type="dxa"/>
            <w:vAlign w:val="bottom"/>
          </w:tcPr>
          <w:p>
            <w:pPr>
              <w:jc w:val="right"/>
              <w:spacing w:after="0"/>
              <w:rPr>
                <w:sz w:val="20"/>
                <w:szCs w:val="20"/>
                <w:color w:val="auto"/>
              </w:rPr>
            </w:pPr>
            <w:r>
              <w:rPr>
                <w:rFonts w:ascii="Arial" w:cs="Arial" w:eastAsia="Arial" w:hAnsi="Arial"/>
                <w:sz w:val="18"/>
                <w:szCs w:val="18"/>
                <w:color w:val="auto"/>
              </w:rPr>
              <w:t>(20,526)</w:t>
            </w:r>
          </w:p>
        </w:tc>
      </w:tr>
      <w:tr>
        <w:trPr>
          <w:trHeight w:val="270"/>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2,677</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67,648</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70,325</w:t>
            </w:r>
          </w:p>
        </w:tc>
      </w:tr>
      <w:tr>
        <w:trPr>
          <w:trHeight w:val="270"/>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(7,453)</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(7,453)</w:t>
            </w:r>
          </w:p>
        </w:tc>
      </w:tr>
      <w:tr>
        <w:trPr>
          <w:trHeight w:val="270"/>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141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7"/>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2,919</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2,919</w:t>
            </w:r>
          </w:p>
        </w:tc>
      </w:tr>
      <w:tr>
        <w:trPr>
          <w:trHeight w:val="250"/>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5,251</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118,862</w:t>
            </w: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5,022</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(49,254)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79,881</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-1354455</wp:posOffset>
            </wp:positionV>
            <wp:extent cx="724662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-882650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-539750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-196850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3500" w:space="620"/>
            <w:col w:w="7300"/>
          </w:cols>
          <w:pgMar w:left="240" w:top="360" w:right="239" w:bottom="1440" w:gutter="0" w:footer="0" w:header="0"/>
          <w:type w:val="continuous"/>
        </w:sectPr>
      </w:pPr>
    </w:p>
    <w:p>
      <w:pPr>
        <w:ind w:right="140"/>
        <w:spacing w:after="0" w:line="262" w:lineRule="auto"/>
        <w:rPr>
          <w:sz w:val="20"/>
          <w:szCs w:val="20"/>
          <w:color w:val="auto"/>
        </w:rPr>
      </w:pPr>
      <w:r>
        <w:rPr>
          <w:rFonts w:ascii="Arial" w:cs="Arial" w:eastAsia="Arial" w:hAnsi="Arial"/>
          <w:sz w:val="18"/>
          <w:szCs w:val="18"/>
          <w:color w:val="auto"/>
        </w:rPr>
        <w:t>The currency translation reserve for 2015, 2016 and 2017 is not considered material and as such is not presented in a separate reserve but is included in the total accumulated losses reserve.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0" w:right="2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301" w:lineRule="exact"/>
        <w:rPr>
          <w:sz w:val="20"/>
          <w:szCs w:val="20"/>
          <w:color w:val="auto"/>
        </w:rPr>
      </w:pPr>
    </w:p>
    <w:p>
      <w:pPr>
        <w:ind w:right="1140"/>
        <w:spacing w:after="0" w:line="262" w:lineRule="auto"/>
        <w:rPr>
          <w:sz w:val="20"/>
          <w:szCs w:val="20"/>
          <w:color w:val="auto"/>
        </w:rPr>
      </w:pPr>
      <w:r>
        <w:rPr>
          <w:rFonts w:ascii="Arial" w:cs="Arial" w:eastAsia="Arial" w:hAnsi="Arial"/>
          <w:sz w:val="18"/>
          <w:szCs w:val="18"/>
          <w:color w:val="auto"/>
        </w:rPr>
        <w:t>Verona Pharma plc and its subsidiaries (the "Company") are a clinical-stage biopharmaceutical group focused on developing and commercializing innovative therapeutics for the treatment of respiratory diseases with significant unmet medical needs.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is a public limited company, which is dual listed on the Alternative Investment Market of the London Stock Exchange and on April 27, 2017, American Depositary Shares began trading on Nasdaq Global Market. The company is incorporated and domiciled in the United Kingdom. The address of the registered office is 1 Central Square, Cardiff, CF10 1FS, 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1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February 10, 2017 the Company effected a 50-for-1 consolidation of its shares. All references to ordinary shares, options and warrants, as well as share, per share and related information in these consolidated financial statements have been adjusted to reflect the consolidation as if it had occurred at the beginning of the earliest period presented.</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April 26, 2017, the Company announced the closing of its global offering of an aggregate of 47,399,001 new ordinary shares, consisting of the initial public offering in the United States of 5,768,000 American Depositary Shares (“ADSs”) at a price of $13.50 per ADS and the private placement in Europe of 1,255,001 ordinary shares at a price of £1.32 per ordinary share, for gross proceeds of $80 million (the “Global Offering”). Each ADS offered represents eight ordinary shares of the Company. The ordinary shares offered were allotted and issued in a concurrent private placement in Europe and other countries outside of the United States and Canada.</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a shareholder private placement separate from the Global Offering (the “Shareholder Private Placement”), contingent on and concurrent with the Global Offering and generating additional gross proceeds of £0.3 million.</w:t>
      </w:r>
    </w:p>
    <w:p>
      <w:pPr>
        <w:spacing w:after="0" w:line="2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May 15 and May 23, 2017, pursuant to the Global Offering, the underwriters purchased an additional 733,738 ADSs, representing 5,869,904 ordinary shares, at a price of $13.50 per ADS, for additional gross proceeds of $9.9 million bringing the total gross proceeds in the Global Offering to $89.9 million (£70.0 million). Including the Shareholder Private Placement, the total gross proceeds of the capital raising amounted to $90.3 million (£70.3 million).</w:t>
      </w:r>
    </w:p>
    <w:p>
      <w:pPr>
        <w:spacing w:after="0" w:line="20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ADSs began trading on the Nasdaq Global Market under the ticker symbol “VRNA” on April 27, 2017. Verona Pharma’s ordinary shares continue to trade on the AIM market of the London Stock Exchange (“AIM”) under the symbol “VRP”.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95"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3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consolidated financial statements of the Company have been prepared in accordance with International Financial Reporting Standards ("IFRSs") as issued by the International Accounting Standards Board and IFRS Interpretations Committee and with the Companies Act 2006 applicable to companies reporting under IFRS.</w:t>
      </w:r>
    </w:p>
    <w:p>
      <w:pPr>
        <w:spacing w:after="0" w:line="25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consolidated financial statements have been prepared under the historical cost convention, with the exception of derivative financial instruments which have been measured at fair value.</w:t>
      </w:r>
    </w:p>
    <w:p>
      <w:pPr>
        <w:spacing w:after="0" w:line="25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judgement in the process of applying the Company's accounting policies. The areas involving a higher degree of judgement or complexity, or areas where assumptions and estimates are significant to the consolidated financial statements are disclosed in note 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year ended December 31, 2017, the Company had a loss of £20.5 million (2016: £5.0 million). As of December 31, 2017, the Company had net assets of £79.9 million (2016: £34.5 million) of which £80.3 million (2016: £39.8 million) was cash and cash equivalents and short term investments.</w:t>
      </w:r>
    </w:p>
    <w:p>
      <w:pPr>
        <w:spacing w:after="0" w:line="2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operation of the Company is currently being financed from funds that the Company raised from share placings. On May 2nd, 2017, the company raised $89.9 million (£70 million) from the initial public offering in the United States. On July 29, 2016, the Company raised gross proceeds of £44.7 million from a placing, subscription and open offer (the "July 2016 Placement"). These funds are expected to be used primarily to support the development of RPL554 in chronic obstructive pulmonary disease ("COPD"), other chronic respiratory diseases as well as corporate and general administrative expenditures.</w:t>
      </w:r>
    </w:p>
    <w:p>
      <w:pPr>
        <w:spacing w:after="0" w:line="26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Directors believe that the Company has sufficient funds to complete the current clinical trials, to cover corporate and general administration costs and for it to comply with all commitments for at least 12 months from the end of the reporting period and, accordingly, are satisfied that the going concern basis remains appropriate for the preparation of these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and the fair value of any pre-existing equity interest in the subsidiary. The excess of the cost of acquisition over the fair value of the Company's share of the identifiable net assets acquired is recorded as goodwill. Goodwill arising on acquisitions is capitalized and is subject to an impairment review, both annually and when there are indications that the carrying value may not be recoverable.</w:t>
      </w:r>
    </w:p>
    <w:p>
      <w:pPr>
        <w:spacing w:after="0" w:line="2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include the accounts of Verona Pharma plc and its wholly owned subsidiaries Verona 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Rhinopharma. The acquisition method of accounting was used to account for the acquisition of Rhinopharma.</w:t>
      </w:r>
    </w:p>
    <w:p>
      <w:pPr>
        <w:sectPr>
          <w:pgSz w:w="11900" w:h="16838" w:orient="portrait"/>
          <w:cols w:equalWidth="0" w:num="1">
            <w:col w:w="11400"/>
          </w:cols>
          <w:pgMar w:left="240" w:top="140"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140" w:right="25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unrealized gains on transactions between group companies are eliminated.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Foreign currency translation</w:t>
      </w:r>
    </w:p>
    <w:p>
      <w:pPr>
        <w:spacing w:after="0" w:line="30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Items included in the Company's consolidated financial statements are measured using the currency of the primary economic environment in which the Entity operates ("the functional currency"). The consolidated financial statements are presented in pounds sterling ("£"), which is the functional and presentational currency of the Company and the presentational currency of the Company.</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6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exchange differences arising on translation for consolidation are recognized in Other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Cash and cash equivalents</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Deferred taxation</w:t>
      </w:r>
    </w:p>
    <w:p>
      <w:pPr>
        <w:spacing w:after="0" w:line="3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realized or the deferred liability is settled.</w:t>
      </w:r>
    </w:p>
    <w:p>
      <w:pPr>
        <w:spacing w:after="0" w:line="2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Deferred tax assets are recognized to the extent that it is probable that the future taxable profit will be available against which the temporary differences can be utilized.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Research and development costs</w:t>
      </w:r>
    </w:p>
    <w:p>
      <w:pPr>
        <w:spacing w:after="0" w:line="30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Capitalization of expenditure on product development commences from the point at which technical feasibility and commercial viability of the product can be demonstrated and the Company is satisfied that it is probable that future economic benefits will result from the product once completed. No such costs have been capitalized to date, given the early stage of the Company's product candidate development.</w:t>
      </w:r>
    </w:p>
    <w:p>
      <w:pPr>
        <w:spacing w:after="0" w:line="25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Property, plant and equipment</w:t>
      </w: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w:t>
      </w:r>
    </w:p>
    <w:p>
      <w:pPr>
        <w:sectPr>
          <w:pgSz w:w="11900" w:h="16838" w:orient="portrait"/>
          <w:cols w:equalWidth="0" w:num="1">
            <w:col w:w="11380"/>
          </w:cols>
          <w:pgMar w:left="240" w:top="140" w:right="27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80"/>
          </w:cols>
          <w:pgMar w:left="240" w:top="140" w:right="27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34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values, on a straight-line basis over the expected useful economic lives of the assets concerned. The principal annual periods used for this purpose are:</w:t>
      </w:r>
    </w:p>
    <w:p>
      <w:pPr>
        <w:spacing w:after="0" w:line="277" w:lineRule="exact"/>
        <w:rPr>
          <w:sz w:val="20"/>
          <w:szCs w:val="20"/>
          <w:color w:val="auto"/>
        </w:rPr>
      </w:pPr>
    </w:p>
    <w:p>
      <w:pPr>
        <w:ind w:left="40"/>
        <w:spacing w:after="0"/>
        <w:tabs>
          <w:tab w:leader="none" w:pos="9960" w:val="left"/>
        </w:tabs>
        <w:rPr>
          <w:sz w:val="20"/>
          <w:szCs w:val="20"/>
          <w:color w:val="auto"/>
        </w:rPr>
      </w:pPr>
      <w:r>
        <w:rPr>
          <w:rFonts w:ascii="Arial" w:cs="Arial" w:eastAsia="Arial" w:hAnsi="Arial"/>
          <w:sz w:val="18"/>
          <w:szCs w:val="18"/>
          <w:color w:val="auto"/>
        </w:rPr>
        <w:t>Computer hardware</w:t>
      </w:r>
      <w:r>
        <w:rPr>
          <w:sz w:val="20"/>
          <w:szCs w:val="20"/>
          <w:color w:val="auto"/>
        </w:rPr>
        <w:tab/>
      </w:r>
      <w:r>
        <w:rPr>
          <w:rFonts w:ascii="Arial" w:cs="Arial" w:eastAsia="Arial" w:hAnsi="Arial"/>
          <w:sz w:val="17"/>
          <w:szCs w:val="17"/>
          <w:color w:val="auto"/>
        </w:rPr>
        <w:t>3 years</w:t>
      </w:r>
    </w:p>
    <w:p>
      <w:pPr>
        <w:spacing w:after="0" w:line="50" w:lineRule="exact"/>
        <w:rPr>
          <w:sz w:val="20"/>
          <w:szCs w:val="20"/>
          <w:color w:val="auto"/>
        </w:rPr>
      </w:pPr>
    </w:p>
    <w:p>
      <w:pPr>
        <w:ind w:left="40"/>
        <w:spacing w:after="0"/>
        <w:tabs>
          <w:tab w:leader="none" w:pos="9960" w:val="left"/>
        </w:tabs>
        <w:rPr>
          <w:sz w:val="20"/>
          <w:szCs w:val="20"/>
          <w:color w:val="auto"/>
        </w:rPr>
      </w:pPr>
      <w:r>
        <w:rPr>
          <w:rFonts w:ascii="Arial" w:cs="Arial" w:eastAsia="Arial" w:hAnsi="Arial"/>
          <w:sz w:val="18"/>
          <w:szCs w:val="18"/>
          <w:color w:val="auto"/>
        </w:rPr>
        <w:t>Office equipment</w:t>
      </w:r>
      <w:r>
        <w:rPr>
          <w:sz w:val="20"/>
          <w:szCs w:val="20"/>
          <w:color w:val="auto"/>
        </w:rPr>
        <w:tab/>
      </w:r>
      <w:r>
        <w:rPr>
          <w:rFonts w:ascii="Arial" w:cs="Arial" w:eastAsia="Arial" w:hAnsi="Arial"/>
          <w:sz w:val="17"/>
          <w:szCs w:val="17"/>
          <w:color w:val="auto"/>
        </w:rPr>
        <w:t>5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Intangible assets and goodwill</w:t>
      </w:r>
    </w:p>
    <w:p>
      <w:pPr>
        <w:spacing w:after="0" w:line="3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w:t>
        <w:tab/>
        <w:t>Goodwill</w:t>
      </w:r>
    </w:p>
    <w:p>
      <w:pPr>
        <w:spacing w:after="0" w:line="279"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250"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Patents</w:t>
      </w:r>
    </w:p>
    <w:p>
      <w:pPr>
        <w:spacing w:after="0" w:line="27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Patent costs associated with the preparation, filing, and obtaining of patents are capitalized and amortized on a straight-line basis over the estimated useful lives of the patents of ten years.</w:t>
      </w:r>
    </w:p>
    <w:p>
      <w:pPr>
        <w:spacing w:after="0" w:line="250"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Amortization is calculated so as to write off the cost less estimated residual values, on a straight-line basis over the expected useful economic life of two years.</w:t>
      </w:r>
    </w:p>
    <w:p>
      <w:pPr>
        <w:spacing w:after="0" w:line="250"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In-process research &amp; development ("IPR&amp;D")</w:t>
      </w:r>
    </w:p>
    <w:p>
      <w:pPr>
        <w:spacing w:after="0" w:line="2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IP R&amp;D assets acquired through business combinations which, at the time of acquisition, have not reached technical feasibility are recognized at fair value. The amounts are capitalized and are not amortized but are subject to impairment testing until completion, abandonment of the projects or when the research findings are commercialized through a revenue generating project. The Company determines whether intangible assets (including goodwill) are impaired on an annual basis and this requires the estimation of the higher of fair value less costs of disposal and value in use. Upon successful completion or commercialization of the relevant project, IP R&amp;D will be reclassified to developed technology. The Company will make a determination as to the then useful life of the developed technology, generally determined by the period in which the substantial majority of the cash flows are expected to be generated, and begin amortization. In case of abandonment the asset will be impaired.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Impairment of intangible assets, goodwill and non-financial assets</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amortization. These assets are tested annually for impairment or more frequently if impairment indicators exist. Non-financial assets that are subject to amortization are reviewed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w:t>
      </w:r>
    </w:p>
    <w:p>
      <w:pPr>
        <w:spacing w:after="0" w:line="26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(cash generating units "CGUs").</w:t>
      </w:r>
    </w:p>
    <w:p>
      <w:pPr>
        <w:spacing w:after="0" w:line="2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25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ectPr>
          <w:pgSz w:w="11900" w:h="16838" w:orient="portrait"/>
          <w:cols w:equalWidth="0" w:num="1">
            <w:col w:w="11420"/>
          </w:cols>
          <w:pgMar w:left="240" w:top="140"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40"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34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Employee Benefits</w:t>
      </w:r>
    </w:p>
    <w:p>
      <w:pPr>
        <w:spacing w:after="0" w:line="279" w:lineRule="exact"/>
        <w:rPr>
          <w:sz w:val="20"/>
          <w:szCs w:val="20"/>
          <w:color w:val="auto"/>
        </w:rPr>
      </w:pPr>
    </w:p>
    <w:p>
      <w:pPr>
        <w:ind w:left="820" w:hanging="488"/>
        <w:spacing w:after="0"/>
        <w:tabs>
          <w:tab w:leader="none" w:pos="8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30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Company operates a defined contribution pension scheme for UK employees. Contributions payable for the year are charged to the Consolidated Statement of Comprehensive Income. The contributions are recognized as employee benefit expense when they are due. Differences between contributions payable in the year and contributions actually paid are shown as either accruals or prepayments in the Consolidated Statement of Financial Position. The Company has no further payment obligation once the contributions have been paid.</w:t>
      </w:r>
    </w:p>
    <w:p>
      <w:pPr>
        <w:spacing w:after="0" w:line="236" w:lineRule="exact"/>
        <w:rPr>
          <w:sz w:val="20"/>
          <w:szCs w:val="20"/>
          <w:color w:val="auto"/>
        </w:rPr>
      </w:pPr>
    </w:p>
    <w:p>
      <w:pPr>
        <w:ind w:left="820" w:hanging="488"/>
        <w:spacing w:after="0"/>
        <w:tabs>
          <w:tab w:leader="none" w:pos="8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Bonus plans</w:t>
      </w:r>
    </w:p>
    <w:p>
      <w:pPr>
        <w:spacing w:after="0" w:line="30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recognizes a liability and an expense for bonus plans if contractually obligated or if there is a past practice that has created a constructive obligation.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Share-based payments</w:t>
      </w:r>
    </w:p>
    <w:p>
      <w:pPr>
        <w:spacing w:after="0" w:line="3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operates a number of equity-settled, share-based compensation schemes. The fair value of share-based payments under such schemes is expensed on a straight-line basis over the vesting period, based on the Company's estimate of shares that will eventually vest.</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Provisions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it is probable that an outflow of resources will be required to settle the obligation, and the amount can be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Assumed contingent obligation related to the business combinations</w:t>
      </w:r>
    </w:p>
    <w:p>
      <w:pPr>
        <w:spacing w:after="0" w:line="30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September 19, 2006, the Company acquired Rhinopharma for a total consideration of £1.52 million payable in ordinary shares. In addition, the Company assumed certain contingent obligations owed by Rhinopharma to Vernalis under an assignment and license agreement (the "assumed contingent consideration") following the sale of IP by Vernalis to Rhinopharma. Pursuant to the agreement Vernalis (i) assigned to the Company all of its rights to certain patents and patent applications relating to RPL554 and related compounds (the "Vernalis Patents") and</w:t>
      </w:r>
    </w:p>
    <w:p>
      <w:pPr>
        <w:spacing w:after="0" w:line="2" w:lineRule="exact"/>
        <w:rPr>
          <w:sz w:val="20"/>
          <w:szCs w:val="20"/>
          <w:color w:val="auto"/>
        </w:rPr>
      </w:pPr>
    </w:p>
    <w:p>
      <w:pPr>
        <w:ind w:right="300" w:firstLine="8"/>
        <w:spacing w:after="0" w:line="256" w:lineRule="auto"/>
        <w:tabs>
          <w:tab w:leader="none" w:pos="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assumed contingent obligation comprises (a) a milestone payment on obtaining the first approval of any regulatory authority for the commercialization of a Licensed Product; (b) low to mid single digit royalties based on the future sales performance of all Licensed Products; and (c) a portion equal to a midtwenty percent of any consideration received from any sub-licensees for the Vernalis Patents and for Vernalis know-how. On the date of</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140"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acquisition the fair value of the assumed contingent obligation was estimated as the expected value of the milestone payment, royalty payments and sub-license payments, based on an assessment of the probability of success using standard market probabilities for respiratory drug development. The risk-weighted value of the assumed contingent arrangement was then discounted back to its net present value applying an effective interest rate of 12%. The initial fair value of the assumed contingent obligation as of December 31, 2006 was deemed to be insignificant at the date of the acquisition, so it was not recorded.</w:t>
      </w:r>
    </w:p>
    <w:p>
      <w:pPr>
        <w:spacing w:after="0" w:line="206"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amount of royalties payable under the agreement is based on the future sales performance of certain products, and so the total amount payable is unlimited. The level of sales that may be achieved under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is difficult to predict and subject to estimate, which is inherently uncertain. The value of this assumed contingent obligation is measured at amortized cost using the effective interest rate method, and is re-measured for changes in estimated cash flows, when the probability of success changes. The assumed contingent obligation is accounted for as a liability, and any adjustments made to the value of the liability will be recognized in the Consolidated Statement of Comprehensive Income for the period.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Government and other grants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recognized when costs under each grant are incurred in accordance with the terms and conditions of the grant and the collectability of the receivable is reasonably assured. Government, regional and charitable grants relating to costs would be deferred and recognized in the Consolidated Statement of Comprehensive Income over the period necessary to match them with the costs they are intended to compensate. When the cash in relation to recognized government, regional or charitable grants is not yet received the amount is included as a receivable on the Consolidated Statement of Financial Position.</w:t>
      </w: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Where the grant income is directly related to the specific items of expenditure incurred, the income would be netted against such expenditure. Where the grant income is not a specific reimbursement of expenditure incurred, the Company would include such income under "Other income" in the Consolidated Statement of Comprehensive Income. Grants or investment credits may be repayable if the Company successfully commercializes a relevant program that was funded in whole or in part by the grant or investment credit within a particular timeframe. Prior to successful commercialization, the Company would not make any provision for repayment.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Financial instruments — initial recognition and subsequent measurement</w:t>
      </w:r>
    </w:p>
    <w:p>
      <w:pPr>
        <w:spacing w:after="0" w:line="301"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Company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evaluates the terms of the financial instrument to determine whether it contains an asset, a liability or an equity component.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components shall be classified separately as financial assets, financial liabilities or equity instruments.</w:t>
      </w:r>
    </w:p>
    <w:p>
      <w:pPr>
        <w:spacing w:after="0" w:line="27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w:t>
      </w:r>
    </w:p>
    <w:p>
      <w:pPr>
        <w:spacing w:after="0" w:line="115"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assets, initial recognition and measurement and subsequent measurement</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financial assets not recorded at fair value through profit or loss, such as receivables and deposits, are recognized initially at fair value plus transaction costs. Financial assets carried at fair value through profit or loss are initially recognized at fair value, and transaction costs are expensed in the income statement.</w:t>
      </w:r>
    </w:p>
    <w:p>
      <w:pPr>
        <w:sectPr>
          <w:pgSz w:w="11900" w:h="16838" w:orient="portrait"/>
          <w:cols w:equalWidth="0" w:num="1">
            <w:col w:w="11380"/>
          </w:cols>
          <w:pgMar w:left="240" w:top="140" w:right="27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140" w:right="27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3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measurement of financial assets depends on their classification. Financial assets such as receivables and deposits are subsequently measured at amortized cost. The Company does not hold any financial assets at fair value through profit or loss or available for sale financial assets.</w:t>
      </w:r>
    </w:p>
    <w:p>
      <w:pPr>
        <w:spacing w:after="0" w:line="121"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liabilities, initial recognition and measurement and subsequent measurement</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payables, as appropriate. All financial liabilities are recognized initially at fair value and, in the case of loans and borrowings and payables, net of directly attributable transaction costs.</w:t>
      </w:r>
    </w:p>
    <w:p>
      <w:pPr>
        <w:spacing w:after="0" w:line="25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measurement of financial assets and financial liabilities depends on their classification. Financial liabilities at fair value through profit or loss include financial liabilities held for trading and financial liabilities designated upon initial recognition as at fair value through profit or loss. These are subsequently measured at fair value with any gains or losses recognized in profit or loss. All other financial liabilities are measured at amortized cost using the effective interest method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liabilities include trade and other payables and derivative financial instruments.</w:t>
      </w:r>
    </w:p>
    <w:p>
      <w:pPr>
        <w:spacing w:after="0" w:line="144"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14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fair value at the end of each reporting date. The Company holds only one type of derivative financial instrument, the warrants, as explained in Note 2.15.</w:t>
      </w:r>
    </w:p>
    <w:p>
      <w:pPr>
        <w:spacing w:after="0" w:line="2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full fair value of the derivative is classified as a non-current liability when the warrants are exercisable in more than 12 months and as a current liability when the warrants are exercisable in less than 12 months.</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Changes in fair value of a derivative financial liability when related to a financing arrangement are recognized in the Consolidated Statement of Comprehensive Income within Finance income or Finance expense. Fair value gains or losses on derivatives used for non-financing arrangements are recognized in other operating income or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Warrants</w:t>
      </w:r>
    </w:p>
    <w:p>
      <w:pPr>
        <w:spacing w:after="0" w:line="3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Warrants issued by the Company to investors as part of a share subscription are compound financial instruments where the warrant meets the definition of a financial liability.</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liability component is initially measured at fair value in the Consolidated Statement of Financial Position. Equity is measured at the residual between the subscription price for the entire instrument and the liability component. The financial liability component is remeasured depending on its classification. Equity is not remeasured.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Short Term Investments</w:t>
      </w:r>
    </w:p>
    <w:p>
      <w:pPr>
        <w:spacing w:after="0" w:line="16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Short term investments include fixed term deposits held at banks with original maturities of more than three months but less than a year. They are classified as loans and receivables and are measured at amortized cost using the effective interest method.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Transaction costs</w:t>
      </w:r>
    </w:p>
    <w:p>
      <w:pPr>
        <w:spacing w:after="0" w:line="301"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Qualifying transaction costs might be incurred in anticipation of an issuance of equity instruments and may cross reporting periods. The entity defers these costs on the balance sheet until the equity instrument is recognized. Deferred costs are subsequently reclassified as a deduction from equity when the equity instruments are recognized, as the costs are directly attributable to the equity transaction. If the equity instruments are not subsequently issued, the transaction costs are expensed. Any costs not directly attributable to the equity transaction are expensed.</w:t>
      </w:r>
    </w:p>
    <w:p>
      <w:pPr>
        <w:sectPr>
          <w:pgSz w:w="11900" w:h="16838" w:orient="portrait"/>
          <w:cols w:equalWidth="0" w:num="1">
            <w:col w:w="11420"/>
          </w:cols>
          <w:pgMar w:left="240" w:top="140"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00" w:lineRule="exact"/>
        <w:rPr>
          <w:sz w:val="20"/>
          <w:szCs w:val="20"/>
          <w:color w:val="auto"/>
        </w:rPr>
      </w:pPr>
    </w:p>
    <w:p>
      <w:pPr>
        <w:spacing w:after="0" w:line="3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Transaction costs that relate to the issue of a compound financial instrument are allocated to the liability and equity components of the instrument in proportion to the allocation of proceeds. Where the liability component is held at fair value through profit or loss, the transaction costs are expensed to the Consolidated Statement of Comprehensive Income. For liabilities held at amortized cost, transaction costs are deducted from the liability and subsequently amortized. The amount of transaction costs accounted for as a deduction from equity in the period is disclosed separately in accordance with IAS 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New standards, amendments and interpretations adopted by the Company</w:t>
      </w:r>
    </w:p>
    <w:p>
      <w:pPr>
        <w:spacing w:after="0" w:line="16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amendments have been adopted by the Company for the first time for the financial year beginning on or after 1 January, 2017. It did not materially impact the Company’s results:</w:t>
      </w:r>
    </w:p>
    <w:p>
      <w:pPr>
        <w:spacing w:after="0" w:line="196" w:lineRule="exact"/>
        <w:rPr>
          <w:sz w:val="20"/>
          <w:szCs w:val="20"/>
          <w:color w:val="auto"/>
        </w:rPr>
      </w:pPr>
    </w:p>
    <w:p>
      <w:pPr>
        <w:ind w:left="100" w:hanging="92"/>
        <w:spacing w:after="0"/>
        <w:tabs>
          <w:tab w:leader="none" w:pos="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Annual Improvements to IFRS Standards 2014-2016 Cycle,</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Disclosure initiative - amendments to IAS 7, and</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Recognition of Deferred Tax Assets for Unrealized Losses - Amendments to IAS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IAS 7 require disclosure of changes in liabilities arising from financing activities, see note 3.3.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2.19 New standards, amendments and interpretations issued but not effective for the financial year beginning January 1, 2017 and not early adopted</w:t>
      </w:r>
    </w:p>
    <w:p>
      <w:pPr>
        <w:spacing w:after="0" w:line="22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 number of new standards and amendments to standards and interpretations have been issued but are not yet effective for annual periods beginning after January 1, 2017 (noted below), and have not been adopted in preparing these consolidated financial statements.</w:t>
      </w:r>
    </w:p>
    <w:p>
      <w:pPr>
        <w:spacing w:after="0" w:line="250"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IFRS 9 "Financial instruments" (effective for annual periods beginning on or after January 1, 2018)</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IFRS 15 "Revenue from contracts with customers" (effective for annual periods beginning on or after January 1, 2018</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IFRS 16 "Leases" (effective for annual periods beginning on or after January 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IFRS 9 will have no material impact on the accounting or measurement of any of the financial instruments the Company currently holds.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IFRS 15 will have no impact on the financial statements of the Company as it is not currently revenue generating.</w:t>
      </w:r>
    </w:p>
    <w:p>
      <w:pPr>
        <w:spacing w:after="0" w:line="2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IFRS 16 is effective for accounting periods beginning on or after 1 January 2019 and will replace IAS 17 'leases'. It will eliminate the classification of leases as either operating leases or finance leases and, instead, introduce a single lessee accounting model. The adoption of IFRS 16 will result in the Company recognizing lease liabilities and corresponding 'right to use' assets for agreements that are currently classified as operating leases. See note 20 for further details on operating leases held.</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140" w:right="2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hanging="192"/>
        <w:spacing w:after="0"/>
        <w:tabs>
          <w:tab w:leader="none" w:pos="2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Financial Risk Factors</w:t>
      </w:r>
    </w:p>
    <w:p>
      <w:pPr>
        <w:spacing w:after="0" w:line="30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Company's activities have exposed it to a variety of financial risks: market risk (including currency risk and interest rate risk), credit risk, and liquidity risk. The Company's overall risk management program is focused on preservation of capital and the unpredictability of financial markets and has sought to minimize potential adverse effects on the Company's financial performance and position.</w:t>
      </w:r>
    </w:p>
    <w:p>
      <w:pPr>
        <w:spacing w:after="0" w:line="148" w:lineRule="exact"/>
        <w:rPr>
          <w:sz w:val="20"/>
          <w:szCs w:val="20"/>
          <w:color w:val="auto"/>
        </w:rPr>
      </w:pPr>
    </w:p>
    <w:p>
      <w:pPr>
        <w:ind w:left="880" w:hanging="872"/>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15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Foreign currency risk reflects the risk that the Company's net assets will be negatively impacted due to fluctuations in exchange rates. The Company has not entered into foreign exchange contracts to hedge against gains or losses from foreign exchange fluctuations.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summary quantitative date about the Company's exposure to currency risk is as follows. Figures are the sterling values of balances in each currency:</w:t>
      </w: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6480" w:type="dxa"/>
            <w:vAlign w:val="bottom"/>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4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w w:val="96"/>
              </w:rPr>
              <w:t>2017</w:t>
            </w:r>
          </w:p>
        </w:tc>
      </w:tr>
      <w:tr>
        <w:trPr>
          <w:trHeight w:val="263"/>
        </w:trPr>
        <w:tc>
          <w:tcPr>
            <w:tcW w:w="64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USD</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EUR</w:t>
            </w:r>
          </w:p>
        </w:tc>
        <w:tc>
          <w:tcPr>
            <w:tcW w:w="4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USD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EUR</w:t>
            </w:r>
          </w:p>
        </w:tc>
      </w:tr>
      <w:tr>
        <w:trPr>
          <w:trHeight w:val="251"/>
        </w:trPr>
        <w:tc>
          <w:tcPr>
            <w:tcW w:w="64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£'000s</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£'000s</w:t>
            </w:r>
          </w:p>
        </w:tc>
        <w:tc>
          <w:tcPr>
            <w:tcW w:w="4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4"/>
                <w:szCs w:val="14"/>
                <w:b w:val="1"/>
                <w:bCs w:val="1"/>
                <w:color w:val="auto"/>
              </w:rPr>
              <w:t>£'000s</w:t>
            </w:r>
          </w:p>
        </w:tc>
      </w:tr>
      <w:tr>
        <w:trPr>
          <w:trHeight w:val="249"/>
        </w:trPr>
        <w:tc>
          <w:tcPr>
            <w:tcW w:w="64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10,631</w:t>
            </w: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16,806</w:t>
            </w:r>
          </w:p>
        </w:tc>
        <w:tc>
          <w:tcPr>
            <w:tcW w:w="1220" w:type="dxa"/>
            <w:vAlign w:val="bottom"/>
            <w:gridSpan w:val="3"/>
          </w:tcPr>
          <w:p>
            <w:pPr>
              <w:jc w:val="right"/>
              <w:ind w:right="36"/>
              <w:spacing w:after="0"/>
              <w:rPr>
                <w:sz w:val="20"/>
                <w:szCs w:val="20"/>
                <w:color w:val="auto"/>
              </w:rPr>
            </w:pPr>
            <w:r>
              <w:rPr>
                <w:rFonts w:ascii="Arial" w:cs="Arial" w:eastAsia="Arial" w:hAnsi="Arial"/>
                <w:sz w:val="18"/>
                <w:szCs w:val="18"/>
                <w:color w:val="auto"/>
              </w:rPr>
              <w:t>301</w:t>
            </w:r>
          </w:p>
        </w:tc>
      </w:tr>
      <w:tr>
        <w:trPr>
          <w:trHeight w:val="27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Investments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220" w:type="dxa"/>
            <w:vAlign w:val="bottom"/>
            <w:gridSpan w:val="3"/>
          </w:tcPr>
          <w:p>
            <w:pPr>
              <w:jc w:val="right"/>
              <w:ind w:right="36"/>
              <w:spacing w:after="0"/>
              <w:rPr>
                <w:sz w:val="20"/>
                <w:szCs w:val="20"/>
                <w:color w:val="auto"/>
              </w:rPr>
            </w:pPr>
            <w:r>
              <w:rPr>
                <w:rFonts w:ascii="Arial" w:cs="Arial" w:eastAsia="Arial" w:hAnsi="Arial"/>
                <w:sz w:val="18"/>
                <w:szCs w:val="18"/>
                <w:color w:val="auto"/>
              </w:rPr>
              <w:t>403</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 reasonably possible strengthening (weakening) of the Euro, US dollar, or Sterling against all other currencies at 31 December would have affected the measurement of the financial instruments denominated in a foreign currency and affected equity and profit and loss by the amounts shown below. This analysis assumes that all other variables remain constant.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Profit or loss and equity</w:t>
            </w:r>
          </w:p>
        </w:tc>
      </w:tr>
      <w:tr>
        <w:trPr>
          <w:trHeight w:val="264"/>
        </w:trPr>
        <w:tc>
          <w:tcPr>
            <w:tcW w:w="85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Strengthening</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Weakening</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£'000s</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 (5% movement)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USD (5% Movement)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shd w:val="clear" w:color="auto" w:fill="CCEEFF"/>
          </w:tcPr>
          <w:p>
            <w:pPr>
              <w:jc w:val="right"/>
              <w:ind w:right="378"/>
              <w:spacing w:after="0"/>
              <w:rPr>
                <w:sz w:val="20"/>
                <w:szCs w:val="20"/>
                <w:color w:val="auto"/>
              </w:rPr>
            </w:pPr>
            <w:r>
              <w:rPr>
                <w:rFonts w:ascii="Arial" w:cs="Arial" w:eastAsia="Arial" w:hAnsi="Arial"/>
                <w:sz w:val="14"/>
                <w:szCs w:val="14"/>
                <w:b w:val="1"/>
                <w:bCs w:val="1"/>
                <w:color w:val="auto"/>
              </w:rPr>
              <w:t>£'000s</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EUR (5% movement)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USD (5% Movement)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bl>
    <w:p>
      <w:pPr>
        <w:spacing w:after="0" w:line="26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Foreign currency denominated trade payables are short term in nature (generally 30 to 45 days). The Company has a U.S. operation, the net assets of which are exposed to foreign currency translation risk.</w:t>
      </w:r>
    </w:p>
    <w:p>
      <w:pPr>
        <w:spacing w:after="0" w:line="142" w:lineRule="exact"/>
        <w:rPr>
          <w:sz w:val="20"/>
          <w:szCs w:val="20"/>
          <w:color w:val="auto"/>
        </w:rPr>
      </w:pPr>
    </w:p>
    <w:p>
      <w:pPr>
        <w:ind w:left="880" w:hanging="872"/>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5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Credit risk reflects the risk that the Company may be unable to recover contractual receivables. As the Company is still in the development stage no policies are currently required to mitigate this risk.</w:t>
      </w:r>
    </w:p>
    <w:p>
      <w:pPr>
        <w:sectPr>
          <w:pgSz w:w="11900" w:h="16838" w:orient="portrait"/>
          <w:cols w:equalWidth="0" w:num="1">
            <w:col w:w="11420"/>
          </w:cols>
          <w:pgMar w:left="240" w:top="140"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3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banks and financial institutions, only independently rated parties with a minimum rating of "B+" are accepted. The Directors recognize that this is an area in which they may need to develop specific policies should the Company become exposed to further financial risks as the business develops.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December 31, 2016, cash and cash equivalents and short term investments were placed at the following banks: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Credit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360" w:type="dxa"/>
            <w:vAlign w:val="bottom"/>
          </w:tcPr>
          <w:p>
            <w:pPr>
              <w:jc w:val="right"/>
              <w:ind w:right="396"/>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7"/>
                <w:szCs w:val="17"/>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rating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1360" w:type="dxa"/>
            <w:vAlign w:val="bottom"/>
          </w:tcPr>
          <w:p>
            <w:pPr>
              <w:jc w:val="right"/>
              <w:ind w:right="396"/>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Banks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Royal Bank of Scotland</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11,287</w:t>
            </w:r>
          </w:p>
        </w:tc>
        <w:tc>
          <w:tcPr>
            <w:tcW w:w="120" w:type="dxa"/>
            <w:vAlign w:val="bottom"/>
          </w:tcPr>
          <w:p>
            <w:pPr>
              <w:spacing w:after="0"/>
              <w:rPr>
                <w:sz w:val="22"/>
                <w:szCs w:val="2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A3</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16,623</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Lloyds Bank</w:t>
            </w: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28,447</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A1</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13,448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Standard Chartered</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Aa1</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39,785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31,443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Short Term Investments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Credit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60" w:type="dxa"/>
            <w:vAlign w:val="bottom"/>
          </w:tcPr>
          <w:p>
            <w:pPr>
              <w:jc w:val="right"/>
              <w:ind w:right="396"/>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7"/>
                <w:szCs w:val="17"/>
                <w:color w:val="auto"/>
              </w:rPr>
            </w:pP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rating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7"/>
                <w:szCs w:val="17"/>
                <w:color w:val="auto"/>
              </w:rPr>
            </w:pPr>
          </w:p>
        </w:tc>
        <w:tc>
          <w:tcPr>
            <w:tcW w:w="1360" w:type="dxa"/>
            <w:vAlign w:val="bottom"/>
          </w:tcPr>
          <w:p>
            <w:pPr>
              <w:jc w:val="right"/>
              <w:ind w:right="396"/>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264"/>
        </w:trPr>
        <w:tc>
          <w:tcPr>
            <w:tcW w:w="5700" w:type="dxa"/>
            <w:vAlign w:val="bottom"/>
          </w:tcPr>
          <w:p>
            <w:pPr>
              <w:spacing w:after="0"/>
              <w:rPr>
                <w:sz w:val="22"/>
                <w:szCs w:val="22"/>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Banks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Royal Bank of Scotland</w:t>
            </w: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15,316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7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Lloyds Bank</w:t>
            </w: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11,036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Standard Chartered</w:t>
            </w: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22,467</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48,819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 w:hanging="412"/>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79" w:lineRule="exact"/>
        <w:rPr>
          <w:sz w:val="20"/>
          <w:szCs w:val="20"/>
          <w:color w:val="auto"/>
        </w:rPr>
      </w:pPr>
    </w:p>
    <w:p>
      <w:pPr>
        <w:jc w:val="both"/>
        <w:ind w:right="840"/>
        <w:spacing w:after="0" w:line="256" w:lineRule="auto"/>
        <w:rPr>
          <w:sz w:val="20"/>
          <w:szCs w:val="20"/>
          <w:color w:val="auto"/>
        </w:rPr>
      </w:pPr>
      <w:r>
        <w:rPr>
          <w:rFonts w:ascii="Arial" w:cs="Arial" w:eastAsia="Arial" w:hAnsi="Arial"/>
          <w:sz w:val="18"/>
          <w:szCs w:val="18"/>
          <w:color w:val="auto"/>
        </w:rPr>
        <w:t>The Company considers capital to be its equity reserves. At the current stage of the Company's life cycle, the Company's objective in managing its capital is to ensure funds raised meet the research and operating requirements until the next development stage of the Company's suite of projects.</w:t>
      </w:r>
    </w:p>
    <w:p>
      <w:pPr>
        <w:spacing w:after="0" w:line="2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ensures it is meeting its objectives by reviewing its Key Performance Indicators ("KPIs") to ensure the research activities are progressing in line with expectations, costs are controlled and unused funds are placed on deposit to conserve resources and increase returns on surplus cash held.</w:t>
      </w:r>
    </w:p>
    <w:p>
      <w:pPr>
        <w:spacing w:after="0" w:line="148" w:lineRule="exact"/>
        <w:rPr>
          <w:sz w:val="20"/>
          <w:szCs w:val="20"/>
          <w:color w:val="auto"/>
        </w:rPr>
      </w:pPr>
    </w:p>
    <w:p>
      <w:pPr>
        <w:ind w:left="880" w:hanging="872"/>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58"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As of December 31, 2017, the Company had cash deposits of £31.4 million (2016: £39.8 million) and short term investments of £48.8 million (2016: nil) . The rates of interest received during 2017 ranged between 0.0% and 1.73%. A 0.25% increase in interest rates would not have a material impact on finance income.The Company's exposure to interest rate risk, which is the risk that the interest received will fluctuate as a result of changes in market interest rates on classes of financial assets and financial liabilities, was as follows:</w:t>
      </w:r>
    </w:p>
    <w:p>
      <w:pPr>
        <w:sectPr>
          <w:pgSz w:w="11900" w:h="16838" w:orient="portrait"/>
          <w:cols w:equalWidth="0" w:num="1">
            <w:col w:w="11420"/>
          </w:cols>
          <w:pgMar w:left="240" w:top="140"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40" w:right="23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68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Floating</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Fixed</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Floating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Fixed</w:t>
            </w:r>
          </w:p>
        </w:tc>
      </w:tr>
      <w:tr>
        <w:trPr>
          <w:trHeight w:val="196"/>
        </w:trPr>
        <w:tc>
          <w:tcPr>
            <w:tcW w:w="68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686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w:t>
            </w: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Cash deposits</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11,338</w:t>
            </w:r>
          </w:p>
        </w:tc>
        <w:tc>
          <w:tcPr>
            <w:tcW w:w="2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28,447</w:t>
            </w:r>
          </w:p>
        </w:tc>
        <w:tc>
          <w:tcPr>
            <w:tcW w:w="1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25,720</w:t>
            </w:r>
          </w:p>
        </w:tc>
        <w:tc>
          <w:tcPr>
            <w:tcW w:w="1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5,723</w:t>
            </w:r>
          </w:p>
        </w:tc>
      </w:tr>
      <w:tr>
        <w:trPr>
          <w:trHeight w:val="27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48,819</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11,338</w:t>
            </w:r>
          </w:p>
        </w:tc>
        <w:tc>
          <w:tcPr>
            <w:tcW w:w="24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28,447</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25,720</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54,542</w:t>
            </w: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880" w:hanging="872"/>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prepares periodic working capital forecasts for the foreseeable future, allowing an assessment of the cash requirements of the Company, to manage liquidity risk. The following table provides an analysis of the Company's financial liabilities. The carrying value of all balances is equal to their fair value. The Company's maturity analysis for the derivative financial instrument from the issue of warrants is given in note 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BETWEEN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BETWEEN</w:t>
            </w:r>
          </w:p>
        </w:tc>
        <w:tc>
          <w:tcPr>
            <w:tcW w:w="14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LESS THAN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 AND 2</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 AND 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OVER</w:t>
            </w:r>
          </w:p>
        </w:tc>
      </w:tr>
      <w:tr>
        <w:trPr>
          <w:trHeight w:val="202"/>
        </w:trPr>
        <w:tc>
          <w:tcPr>
            <w:tcW w:w="5160" w:type="dxa"/>
            <w:vAlign w:val="bottom"/>
          </w:tcPr>
          <w:p>
            <w:pPr>
              <w:spacing w:after="0"/>
              <w:rPr>
                <w:sz w:val="17"/>
                <w:szCs w:val="17"/>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1 YEAR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5 YEARS</w:t>
            </w:r>
            <w:r>
              <w:rPr>
                <w:rFonts w:ascii="Arial" w:cs="Arial" w:eastAsia="Arial" w:hAnsi="Arial"/>
                <w:sz w:val="17"/>
                <w:szCs w:val="17"/>
                <w:b w:val="1"/>
                <w:bCs w:val="1"/>
                <w:color w:val="auto"/>
                <w:w w:val="97"/>
                <w:vertAlign w:val="superscript"/>
              </w:rPr>
              <w:t>(1)</w:t>
            </w:r>
          </w:p>
        </w:tc>
      </w:tr>
      <w:tr>
        <w:trPr>
          <w:trHeight w:val="258"/>
        </w:trPr>
        <w:tc>
          <w:tcPr>
            <w:tcW w:w="5160" w:type="dxa"/>
            <w:vAlign w:val="bottom"/>
          </w:tcPr>
          <w:p>
            <w:pPr>
              <w:spacing w:after="0"/>
              <w:rPr>
                <w:sz w:val="22"/>
                <w:szCs w:val="22"/>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2016</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Trade payables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2"/>
                <w:szCs w:val="22"/>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payables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Accruals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obligation</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1,807</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1,807</w:t>
            </w:r>
          </w:p>
        </w:tc>
      </w:tr>
      <w:tr>
        <w:trPr>
          <w:trHeight w:val="20"/>
        </w:trPr>
        <w:tc>
          <w:tcPr>
            <w:tcW w:w="5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table includes the undiscounted amount of the assumed contingent obligation. See note 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BETWEEN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BETWEEN</w:t>
            </w:r>
          </w:p>
        </w:tc>
        <w:tc>
          <w:tcPr>
            <w:tcW w:w="14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LESS THAN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 AND 2</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 AND 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OVER</w:t>
            </w:r>
          </w:p>
        </w:tc>
      </w:tr>
      <w:tr>
        <w:trPr>
          <w:trHeight w:val="200"/>
        </w:trPr>
        <w:tc>
          <w:tcPr>
            <w:tcW w:w="51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5 YEARS</w:t>
            </w:r>
            <w:r>
              <w:rPr>
                <w:rFonts w:ascii="Arial" w:cs="Arial" w:eastAsia="Arial" w:hAnsi="Arial"/>
                <w:sz w:val="14"/>
                <w:szCs w:val="14"/>
                <w:b w:val="1"/>
                <w:bCs w:val="1"/>
                <w:color w:val="auto"/>
                <w:w w:val="98"/>
                <w:vertAlign w:val="superscript"/>
              </w:rPr>
              <w:t>(1)</w:t>
            </w:r>
          </w:p>
        </w:tc>
      </w:tr>
      <w:tr>
        <w:trPr>
          <w:trHeight w:val="246"/>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Trade payables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payables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Accruals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2"/>
                <w:szCs w:val="22"/>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obligation</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1,807</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1,807</w:t>
            </w:r>
          </w:p>
        </w:tc>
      </w:tr>
      <w:tr>
        <w:trPr>
          <w:trHeight w:val="20"/>
        </w:trPr>
        <w:tc>
          <w:tcPr>
            <w:tcW w:w="5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This table includes the undiscounted amount of the assumed contingent obligation. See note 18.</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40" w:right="23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Fair value estimation</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carrying amounts of cash and cash equivalents, receivables, accounts payable and accrued liabilities approximate to fair value due to their short-term nature. The carrying amount of the assumed contingent liability approximates to fair value as the underlying assumptions are currently similar.</w:t>
      </w:r>
    </w:p>
    <w:p>
      <w:pPr>
        <w:spacing w:after="0" w:line="25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financial instruments that are measured in the Consolidated Statement of Financial Position at fair value, IFRS 7 requires disclosure of fair value measurements by level of the following fair value measurement hierarchy:</w:t>
      </w:r>
    </w:p>
    <w:p>
      <w:pPr>
        <w:spacing w:after="0" w:line="250"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Quoted prices (unadjusted) in active markets for identical assets or liabilities (level 1);</w:t>
      </w:r>
    </w:p>
    <w:p>
      <w:pPr>
        <w:spacing w:after="0" w:line="279"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Inputs other than quoted prices included within level 1 that are observable for the asset or liability, either directly or indirectly (level 2); and</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Inputs for the asset or liability that are not based on observable market data (level 3).</w:t>
      </w:r>
    </w:p>
    <w:p>
      <w:pPr>
        <w:spacing w:after="0" w:line="27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For the year ended December 31, 2017, and 2016, fair value adjustments to financial instruments through profit and loss resulted in the recognition of finance income of £6.7 million and £1.1 million respectively.</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ascertain the fair value of an instrument are observable, the instrument is included in level 2. If one or more of the significant inputs are not based on observable market data, the instrument is included in level 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6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Level 3</w:t>
            </w:r>
          </w:p>
        </w:tc>
        <w:tc>
          <w:tcPr>
            <w:tcW w:w="14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 financial instrument</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Movements in Level 3 items during the years ended December 31, 2016, and 2017 are as follows: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Derivative financial instrument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Initial recognition of derivative financial instrument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2"/>
                <w:szCs w:val="22"/>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adjustments recognized in profit and loss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relating to the derivative financial instrument are set out in notes 4 and 19 of these financial statements.</w:t>
      </w:r>
    </w:p>
    <w:p>
      <w:pPr>
        <w:spacing w:after="0" w:line="27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determining the fair value of the derivative financial instrument the Company applied the Black Scholes model; key inputs include the share price at reporting date, estimations on timelines, volatility and risk-free rates. These assumptions and the impact of changes in these assumptions, where material, are disclosed in note 19.</w:t>
      </w:r>
    </w:p>
    <w:p>
      <w:pPr>
        <w:sectPr>
          <w:pgSz w:w="11900" w:h="16838" w:orient="portrait"/>
          <w:cols w:equalWidth="0" w:num="1">
            <w:col w:w="11420"/>
          </w:cols>
          <w:pgMar w:left="240" w:top="14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Change in liabilities arising from financing activities</w:t>
      </w:r>
    </w:p>
    <w:p>
      <w:pPr>
        <w:spacing w:after="0" w:line="3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 has provided a reconciliation so that changes in liabilities arising from financing activities, including both changes arising from cash flows and non-cash changes can be evaluated.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88"/>
        </w:trPr>
        <w:tc>
          <w:tcPr>
            <w:tcW w:w="100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62"/>
        </w:trPr>
        <w:tc>
          <w:tcPr>
            <w:tcW w:w="10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96"/>
        </w:trPr>
        <w:tc>
          <w:tcPr>
            <w:tcW w:w="100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instrument</w:t>
            </w:r>
          </w:p>
        </w:tc>
        <w:tc>
          <w:tcPr>
            <w:tcW w:w="0" w:type="dxa"/>
            <w:vAlign w:val="bottom"/>
          </w:tcPr>
          <w:p>
            <w:pPr>
              <w:spacing w:after="0"/>
              <w:rPr>
                <w:sz w:val="1"/>
                <w:szCs w:val="1"/>
                <w:color w:val="auto"/>
              </w:rPr>
            </w:pPr>
          </w:p>
        </w:tc>
      </w:tr>
      <w:tr>
        <w:trPr>
          <w:trHeight w:val="250"/>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January 1</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 non cash</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December 31</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color w:val="auto"/>
              </w:rPr>
              <w:t>See note 19 for information relating to the derivative financial instrument.</w:t>
            </w: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60" w:type="dxa"/>
            <w:vAlign w:val="bottom"/>
          </w:tcPr>
          <w:p>
            <w:pPr>
              <w:spacing w:after="0"/>
              <w:rPr>
                <w:sz w:val="20"/>
                <w:szCs w:val="20"/>
                <w:color w:val="auto"/>
              </w:rPr>
            </w:pPr>
            <w:r>
              <w:rPr>
                <w:rFonts w:ascii="Arial" w:cs="Arial" w:eastAsia="Arial" w:hAnsi="Arial"/>
                <w:sz w:val="18"/>
                <w:szCs w:val="18"/>
                <w:b w:val="1"/>
                <w:bCs w:val="1"/>
                <w:color w:val="auto"/>
              </w:rPr>
              <w:t>4. Critical accounting estimates and judgments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judgment in the process of applying the Company's accounting policies.</w:t>
      </w:r>
    </w:p>
    <w:p>
      <w:pPr>
        <w:spacing w:after="0" w:line="2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areas involving a higher degree of judgment or complexity, or areas where assumptions and estimates are significant to the consolidated financial statements are as follows:</w:t>
      </w:r>
    </w:p>
    <w:p>
      <w:pPr>
        <w:spacing w:after="0" w:line="115"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a material obligation for the future payment of royalties and milestones associated with contractual obligations on RPL554, a development product acquired as part of the acquisition of Rhinopharma The estimation of the fair value of the assumed contingent obligation on acquisition requires the selection of an appropriate valuation model, consideration as to the inputs necessary for the valuation model chosen, the estimation of the likelihood that the regulatory approval milestone will be achieved and estimates of the future cash flows and their timing (for further detail see note 19). The estimates for the assumed contingent obligation are based on a discounted cash flow model. Key assessments and judgments included in the fair value calculation of deferred consideration are:</w:t>
      </w:r>
    </w:p>
    <w:p>
      <w:pPr>
        <w:spacing w:after="0" w:line="263"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market size and product acceptance by clinicians, patients and reimbursement bodies;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gross and net selling price;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costs of manufacturing, product distribution and marketing support;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launch of competitive products;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discount rate and time to crystallization of contingent consideration.</w:t>
      </w:r>
    </w:p>
    <w:p>
      <w:pPr>
        <w:spacing w:after="0" w:line="3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accordance with IAS 39 ("Financial Instruments Recognition and Measurement" (para AG8)), when there is a change in the expected cash flows, the assumed contingent obligation is re-measured with the change in value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40"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 (continued)</w:t>
      </w:r>
    </w:p>
    <w:p>
      <w:pPr>
        <w:spacing w:after="0" w:line="200" w:lineRule="exact"/>
        <w:rPr>
          <w:sz w:val="20"/>
          <w:szCs w:val="20"/>
          <w:color w:val="auto"/>
        </w:rPr>
      </w:pPr>
    </w:p>
    <w:p>
      <w:pPr>
        <w:spacing w:after="0" w:line="20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going through the Consolidated Statement of Comprehensive Income. Cash flow estimates are revised when the probability of success changes. The assumed contingent obligation is measured at amortized cost with the discount unwinding in the Consolidated Statement of Comprehensive Income throughout the year. Actual outcomes could differ significantly from the estimates made.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assumed contingent obligation as of December 31, 2017 amounts to £0.9 million. (2016: £0.8 million). The increase in value of</w:t>
      </w:r>
    </w:p>
    <w:p>
      <w:pPr>
        <w:spacing w:after="0" w:line="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assumed contingent obligation during 2017 amounted to £0.1 million (2016: £0.2 million) and the movement relates to unwinding the discount on the liability and retranslating for changes in US$ exchange rates. The increase was recorded in finance expense. There was no change in the year to the probability of success and consequently cash flow estimates were not revised.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discount percentage applied is 12%.</w:t>
      </w:r>
    </w:p>
    <w:p>
      <w:pPr>
        <w:spacing w:after="0" w:line="144"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Valuation of the July 2016 warrants</w:t>
      </w:r>
    </w:p>
    <w:p>
      <w:pPr>
        <w:spacing w:after="0" w:line="14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£1.4365 per unit. Each unit comprises one ordinary share and one warrant. The warrants entitle the investors to subscribe for in aggregate a maximum of 12,446,370 ordinary shares.</w:t>
      </w:r>
    </w:p>
    <w:p>
      <w:pPr>
        <w:spacing w:after="0" w:line="25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accordance with IAS 32 and Company accounting policy, as disclosed in note 2.15, the Company classified the warrants as a derivative financial liability to be presented on the Company's Consolidated Statement of Financial Position.</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these warrants is determined by applying the Black-Scholes model. Assumptions are made on inputs such as time to maturity, the share price, volatility and risk free rate in order to determine the fair value per warrant. For further details see note 19.</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Transaction costs arising on the issues of these shares and warrants are allocated to the equity and warrant liability components in proportion to the allocation of proceeds.</w:t>
      </w:r>
    </w:p>
    <w:p>
      <w:pPr>
        <w:spacing w:after="0" w:line="115"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Recognition of research and development expenditure</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incurs research and development expenditure from third parties. The Company recognizes this expenditure in line with the management’s best estimation of the stage of completion of each research and development project. This includes the calculation of accrued costs at each period end to account for expenditure that has been incurred. This requires management to estimate full costs to complete for each project and also to estimate its current stage of completion. The costs related to the Clinical Research Organization expenses in the year was £18.5 million. The related accruals and prepayments were £4.6 million and £0.5 million respectively.</w:t>
      </w:r>
    </w:p>
    <w:p>
      <w:pPr>
        <w:spacing w:after="0" w:line="260" w:lineRule="exact"/>
        <w:rPr>
          <w:sz w:val="20"/>
          <w:szCs w:val="20"/>
          <w:color w:val="auto"/>
        </w:rPr>
      </w:pPr>
    </w:p>
    <w:p>
      <w:pPr>
        <w:ind w:left="420" w:hanging="412"/>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 costs related the Global Offering</w:t>
      </w:r>
    </w:p>
    <w:p>
      <w:pPr>
        <w:spacing w:after="0" w:line="27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incurred various transaction costs relating to the Global Offering, including commissions, professional advisor fees, financial advice, listing fees and other costs. When management judged them to be incremental costs directly attributable to the transaction they were accounted for as a deduction from equity. Otherwise the costs were expensed to the consolidated income statement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ordinary share of 23.4p (2016: 15.0p and 2015: 37.1p) for the Company is calculated by dividing the loss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by the weighted average number of ordinary shares in issue of 87,748,031 as of December 31, 2017 (2016: 33,499,413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2015: 20,198,469). Potential ordinary shares are not treated as dilutive as the entity is loss making and such shares would be anti-dilutive.</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40" w:right="25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Segmental reporting</w:t>
      </w:r>
    </w:p>
    <w:p>
      <w:pPr>
        <w:spacing w:after="0" w:line="166"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Company’s activities are covered by one operating and reporting segment: Drug Development. There have been no changes to management’s assessment of the operating and reporting segment of the Company during the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loss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r>
      <w:tr>
        <w:trPr>
          <w:trHeight w:val="264"/>
        </w:trPr>
        <w:tc>
          <w:tcPr>
            <w:tcW w:w="778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Loss is stated after charging:</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Research and development costs: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benefits (note 8)</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3,435</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patents (note 12)</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111</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professional consulting and listing fees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Loss on disposal of patents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research and development expenses</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19,840</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research and development costs</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7,270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23,717</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General and administrative costs:</w:t>
            </w: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Employee benefits (note 8)</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2,857</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professional consulting and listing fees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2,045</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computer software (note 12)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disposal of property, plant and equipment (note 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 (note 13)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charge — land and buildings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Loss on variations in foreign exchange rate</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general and administrative expenses</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795</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general and administrative costs</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6,039</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8,976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29,756</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40"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0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average number of employees (excluding directors) of the Company during the year:</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w:t>
            </w:r>
          </w:p>
        </w:tc>
      </w:tr>
      <w:tr>
        <w:trPr>
          <w:trHeight w:val="324"/>
        </w:trPr>
        <w:tc>
          <w:tcPr>
            <w:tcW w:w="80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0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264"/>
        </w:trPr>
        <w:tc>
          <w:tcPr>
            <w:tcW w:w="8000" w:type="dxa"/>
            <w:vAlign w:val="bottom"/>
          </w:tcPr>
          <w:p>
            <w:pPr>
              <w:spacing w:after="0"/>
              <w:rPr>
                <w:sz w:val="22"/>
                <w:szCs w:val="2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Aggregate emoluments of directors: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Salaries and other short-term employee benefits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897</w:t>
            </w:r>
          </w:p>
        </w:tc>
      </w:tr>
      <w:tr>
        <w:trPr>
          <w:trHeight w:val="27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Social security costs</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103</w:t>
            </w: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Incremental payment for additional services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pension costs</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r>
      <w:tr>
        <w:trPr>
          <w:trHeight w:val="250"/>
        </w:trPr>
        <w:tc>
          <w:tcPr>
            <w:tcW w:w="8000" w:type="dxa"/>
            <w:vAlign w:val="bottom"/>
          </w:tcPr>
          <w:p>
            <w:pPr>
              <w:ind w:left="40"/>
              <w:spacing w:after="0"/>
              <w:rPr>
                <w:sz w:val="20"/>
                <w:szCs w:val="20"/>
                <w:color w:val="auto"/>
              </w:rPr>
            </w:pPr>
            <w:r>
              <w:rPr>
                <w:rFonts w:ascii="Arial" w:cs="Arial" w:eastAsia="Arial" w:hAnsi="Arial"/>
                <w:sz w:val="18"/>
                <w:szCs w:val="18"/>
                <w:color w:val="auto"/>
              </w:rPr>
              <w:t>Total directors' emoluments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1,017</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1,037</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Directors' emoluments including share-based payment charge</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2,054</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7"/>
        </w:trPr>
        <w:tc>
          <w:tcPr>
            <w:tcW w:w="80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0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Aggregate other staff costs: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Wages and salaries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2,136</w:t>
            </w:r>
          </w:p>
        </w:tc>
      </w:tr>
      <w:tr>
        <w:trPr>
          <w:trHeight w:val="27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Social security costs</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182</w:t>
            </w: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Incremental payment for additional services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1,882</w:t>
            </w:r>
          </w:p>
        </w:tc>
      </w:tr>
      <w:tr>
        <w:trPr>
          <w:trHeight w:val="264"/>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pension costs</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w:t>
            </w: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staff costs</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4,238</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operates a defined contribution pension scheme for U.K. employees and executive directors. The total pension cost during the year ended December 31, 2017 was £55 thousand (2016: £30 thousand and 2015: £53 thousand). There were no prepaid or accrued contributions to the scheme at December 31, 2017(2016 and 2015: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40"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income and expense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778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5"/>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 denominated bank balances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2"/>
                <w:szCs w:val="22"/>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income</w:t>
            </w:r>
          </w:p>
        </w:tc>
        <w:tc>
          <w:tcPr>
            <w:tcW w:w="1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allocated to the issue of warrants (note 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Remeasurement of assumed contingent arrangement (note 18)</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Unwinding of discount factor and foreign exchange movements related to the assumed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arrangement (note 18)</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expense</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20"/>
              <w:spacing w:after="0"/>
              <w:rPr>
                <w:sz w:val="20"/>
                <w:szCs w:val="20"/>
                <w:color w:val="auto"/>
              </w:rPr>
            </w:pPr>
            <w:r>
              <w:rPr>
                <w:rFonts w:ascii="Arial" w:cs="Arial" w:eastAsia="Arial" w:hAnsi="Arial"/>
                <w:sz w:val="18"/>
                <w:szCs w:val="18"/>
                <w:color w:val="auto"/>
              </w:rPr>
              <w:t>F-23</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r>
      <w:tr>
        <w:trPr>
          <w:trHeight w:val="264"/>
        </w:trPr>
        <w:tc>
          <w:tcPr>
            <w:tcW w:w="778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Analysis of tax credit for the year</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Current tax:</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 tax credit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US tax charge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306</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in respect of prior periods</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tax credit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r>
      <w:tr>
        <w:trPr>
          <w:trHeight w:val="25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Factors affecting the tax charge for the year</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on ordinary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(25,203)</w:t>
            </w: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Multiplied by standard rate of corporation tax of 19.25% (2016: 20% and 2015: 20.25%)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Effects of:</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Fair value adjustment on derivative financial instruments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incentive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Temporary differences not recognized</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Difference in overseas tax rates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Tax losses carried forward not recognized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2,739</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in respect of prior periods</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Total tax credit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UK corporation tax is charged at 19.25% (2016: 20.00% and 2015: 20.25%) and U.S. federal tax at 35% (2016 and 2015: 35%).</w:t>
      </w:r>
    </w:p>
    <w:p>
      <w:pPr>
        <w:spacing w:after="0" w:line="279"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following tables represent deferred tax balances recognized in the Consolidated Statement of Financial Position. There were no movements in either the deferred tax asset or the deferred tax liability.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right"/>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020" w:type="dxa"/>
            <w:vAlign w:val="bottom"/>
          </w:tcPr>
          <w:p>
            <w:pPr>
              <w:spacing w:after="0"/>
              <w:rPr>
                <w:sz w:val="17"/>
                <w:szCs w:val="17"/>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balances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deferred tax liability relates to the difference between the accounting and tax bases of the IP R&amp;D intangible asset. A deferred tax asset relating to UK tax losses has been recognized and offset against the liability.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tax charges</w:t>
      </w: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UK tax losses available for offset against future profits in the UK. However an additional deferred tax asset has not been recognized in respect of such items due to uncertainty of future profit streams. As of December 31, 2017, the unrecognized deferred tax asset at 17% is estimated to be £5.43 million (2016: £3.15 million at 17%).</w:t>
      </w:r>
    </w:p>
    <w:p>
      <w:pPr>
        <w:sectPr>
          <w:pgSz w:w="11900" w:h="16838" w:orient="portrait"/>
          <w:cols w:equalWidth="0" w:num="1">
            <w:col w:w="11420"/>
          </w:cols>
          <w:pgMar w:left="240" w:top="14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40" w:right="2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340" w:type="dxa"/>
            <w:vAlign w:val="bottom"/>
          </w:tcPr>
          <w:p>
            <w:pPr>
              <w:spacing w:after="0"/>
              <w:rPr>
                <w:sz w:val="17"/>
                <w:szCs w:val="17"/>
                <w:color w:val="auto"/>
              </w:rPr>
            </w:pPr>
          </w:p>
        </w:tc>
        <w:tc>
          <w:tcPr>
            <w:tcW w:w="15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at January 1 and December 31</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441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amortized, but is tested annually for impairment. Annual impairment testing is performed by comparing the expected recoverable amount of the CGU to the carrying amount of the CGU to which goodwill has been allocated to the carrying amount of the CGU. See note 2.8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Computer</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 R&amp;D</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Patents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64"/>
        </w:trPr>
        <w:tc>
          <w:tcPr>
            <w:tcW w:w="514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At January 1, 2016</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1,976</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r>
      <w:tr>
        <w:trPr>
          <w:trHeight w:val="264"/>
        </w:trPr>
        <w:tc>
          <w:tcPr>
            <w:tcW w:w="5140" w:type="dxa"/>
            <w:vAlign w:val="bottom"/>
          </w:tcPr>
          <w:p>
            <w:pPr>
              <w:ind w:left="40"/>
              <w:spacing w:after="0"/>
              <w:rPr>
                <w:sz w:val="20"/>
                <w:szCs w:val="20"/>
                <w:color w:val="auto"/>
              </w:rPr>
            </w:pPr>
            <w:r>
              <w:rPr>
                <w:rFonts w:ascii="Arial" w:cs="Arial" w:eastAsia="Arial" w:hAnsi="Arial"/>
                <w:sz w:val="18"/>
                <w:szCs w:val="18"/>
                <w:color w:val="auto"/>
              </w:rPr>
              <w:t>Disposals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December 31, 2016</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2,067</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January 1, 2016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Charge for year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52</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5140" w:type="dxa"/>
            <w:vAlign w:val="bottom"/>
          </w:tcPr>
          <w:p>
            <w:pPr>
              <w:ind w:left="40"/>
              <w:spacing w:after="0"/>
              <w:rPr>
                <w:sz w:val="20"/>
                <w:szCs w:val="20"/>
                <w:color w:val="auto"/>
              </w:rPr>
            </w:pPr>
            <w:r>
              <w:rPr>
                <w:rFonts w:ascii="Arial" w:cs="Arial" w:eastAsia="Arial" w:hAnsi="Arial"/>
                <w:sz w:val="18"/>
                <w:szCs w:val="18"/>
                <w:color w:val="auto"/>
              </w:rPr>
              <w:t>At December 31, 2016</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190</w:t>
            </w:r>
          </w:p>
        </w:tc>
      </w:tr>
      <w:tr>
        <w:trPr>
          <w:trHeight w:val="270"/>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At December 31,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1,877</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43"/>
        </w:trPr>
        <w:tc>
          <w:tcPr>
            <w:tcW w:w="5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Computer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140" w:type="dxa"/>
            <w:vAlign w:val="bottom"/>
          </w:tcPr>
          <w:p>
            <w:pPr>
              <w:spacing w:after="0"/>
              <w:rPr>
                <w:sz w:val="17"/>
                <w:szCs w:val="17"/>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IP R&amp;D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64"/>
        </w:trPr>
        <w:tc>
          <w:tcPr>
            <w:tcW w:w="514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At January 1, 2017</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2,067</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r>
      <w:tr>
        <w:trPr>
          <w:trHeight w:val="264"/>
        </w:trPr>
        <w:tc>
          <w:tcPr>
            <w:tcW w:w="5140" w:type="dxa"/>
            <w:vAlign w:val="bottom"/>
          </w:tcPr>
          <w:p>
            <w:pPr>
              <w:ind w:left="40"/>
              <w:spacing w:after="0"/>
              <w:rPr>
                <w:sz w:val="20"/>
                <w:szCs w:val="20"/>
                <w:color w:val="auto"/>
              </w:rPr>
            </w:pPr>
            <w:r>
              <w:rPr>
                <w:rFonts w:ascii="Arial" w:cs="Arial" w:eastAsia="Arial" w:hAnsi="Arial"/>
                <w:sz w:val="18"/>
                <w:szCs w:val="18"/>
                <w:color w:val="auto"/>
              </w:rPr>
              <w:t>Disposals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December 31, 2017</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2,207</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January 1, 2017</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Charge for year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116</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5140" w:type="dxa"/>
            <w:vAlign w:val="bottom"/>
          </w:tcPr>
          <w:p>
            <w:pPr>
              <w:ind w:left="40"/>
              <w:spacing w:after="0"/>
              <w:rPr>
                <w:sz w:val="20"/>
                <w:szCs w:val="20"/>
                <w:color w:val="auto"/>
              </w:rPr>
            </w:pPr>
            <w:r>
              <w:rPr>
                <w:rFonts w:ascii="Arial" w:cs="Arial" w:eastAsia="Arial" w:hAnsi="Arial"/>
                <w:sz w:val="18"/>
                <w:szCs w:val="18"/>
                <w:color w:val="auto"/>
              </w:rPr>
              <w:t>At December 31, 2017</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238</w:t>
            </w:r>
          </w:p>
        </w:tc>
      </w:tr>
      <w:tr>
        <w:trPr>
          <w:trHeight w:val="270"/>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At December 31,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1,969</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F-25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RPL554.</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IP R&amp;D is currently not amortized and is reviewed for impairment on an annual basis or where there is an indication that the assets might be impaired until the asset is brought into use.</w:t>
      </w:r>
    </w:p>
    <w:p>
      <w:pPr>
        <w:spacing w:after="0" w:line="250"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Patents are amortized over a period of ten years and are regularly reviewed for impairment to ensure the carrying amount exceeds the recoverable amount in accordance with note 2.8.</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Recognizing that the Company is still in its pre-revenue phase and that the research projects are not yet ready for commercial use, the Company assesses the recoverable amount of the CGU containing the IP R&amp;D with reference to the Company's market capitalization as of December 31, 2017, the date of testing of goodwill impairment. The market capitalization of the Company was approximately £109.7 million as of December 31, 2017, (2016: £80.0 million) compared to the Company's net assets of £79.9 million (2016: £34.5 million). Therefore, no impairment was recognized.</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140"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Property, plant and equipment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rPr>
              <w:t>Computer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w:t>
            </w:r>
          </w:p>
        </w:tc>
        <w:tc>
          <w:tcPr>
            <w:tcW w:w="148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hardware</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6740" w:type="dxa"/>
            <w:vAlign w:val="bottom"/>
          </w:tcPr>
          <w:p>
            <w:pPr>
              <w:spacing w:after="0"/>
              <w:rPr>
                <w:sz w:val="21"/>
                <w:szCs w:val="21"/>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At January 1, 2016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79</w:t>
            </w:r>
          </w:p>
        </w:tc>
      </w:tr>
      <w:tr>
        <w:trPr>
          <w:trHeight w:val="277"/>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Disposals</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December 31, 2016</w:t>
            </w:r>
          </w:p>
        </w:tc>
        <w:tc>
          <w:tcPr>
            <w:tcW w:w="1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r>
      <w:tr>
        <w:trPr>
          <w:trHeight w:val="263"/>
        </w:trPr>
        <w:tc>
          <w:tcPr>
            <w:tcW w:w="78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 depreciation</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At January 1, 2016</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r>
      <w:tr>
        <w:trPr>
          <w:trHeight w:val="26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Charge for the year</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At December 31, 2016</w:t>
            </w: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r>
      <w:tr>
        <w:trPr>
          <w:trHeight w:val="270"/>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7"/>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At December 31, 2016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w:t>
            </w:r>
          </w:p>
        </w:tc>
      </w:tr>
      <w:tr>
        <w:trPr>
          <w:trHeight w:val="20"/>
        </w:trPr>
        <w:tc>
          <w:tcPr>
            <w:tcW w:w="6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724"/>
        </w:trPr>
        <w:tc>
          <w:tcPr>
            <w:tcW w:w="6740" w:type="dxa"/>
            <w:vAlign w:val="bottom"/>
          </w:tcPr>
          <w:p>
            <w:pPr>
              <w:spacing w:after="0"/>
              <w:rPr>
                <w:sz w:val="24"/>
                <w:szCs w:val="24"/>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rPr>
              <w:t>Computer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w:t>
            </w:r>
          </w:p>
        </w:tc>
        <w:tc>
          <w:tcPr>
            <w:tcW w:w="1480" w:type="dxa"/>
            <w:vAlign w:val="bottom"/>
          </w:tcPr>
          <w:p>
            <w:pPr>
              <w:spacing w:after="0"/>
              <w:rPr>
                <w:sz w:val="24"/>
                <w:szCs w:val="24"/>
                <w:color w:val="auto"/>
              </w:rPr>
            </w:pPr>
          </w:p>
        </w:tc>
      </w:tr>
      <w:tr>
        <w:trPr>
          <w:trHeight w:val="196"/>
        </w:trPr>
        <w:tc>
          <w:tcPr>
            <w:tcW w:w="6740" w:type="dxa"/>
            <w:vAlign w:val="bottom"/>
          </w:tcPr>
          <w:p>
            <w:pPr>
              <w:spacing w:after="0"/>
              <w:rPr>
                <w:sz w:val="17"/>
                <w:szCs w:val="17"/>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hardware</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6740" w:type="dxa"/>
            <w:vAlign w:val="bottom"/>
          </w:tcPr>
          <w:p>
            <w:pPr>
              <w:spacing w:after="0"/>
              <w:rPr>
                <w:sz w:val="21"/>
                <w:szCs w:val="21"/>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At January 1, 2017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At December 31, 2017</w:t>
            </w: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r>
      <w:tr>
        <w:trPr>
          <w:trHeight w:val="270"/>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depreciation</w:t>
            </w: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At January 1, 2017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 for the year</w:t>
            </w: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At December 31, 2017</w:t>
            </w: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r>
      <w:tr>
        <w:trPr>
          <w:trHeight w:val="270"/>
        </w:trPr>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At December 31, 2017</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7840" w:type="dxa"/>
            <w:vAlign w:val="bottom"/>
            <w:gridSpan w:val="2"/>
          </w:tcPr>
          <w:p>
            <w:pPr>
              <w:ind w:left="5520"/>
              <w:spacing w:after="0"/>
              <w:rPr>
                <w:sz w:val="20"/>
                <w:szCs w:val="20"/>
                <w:color w:val="auto"/>
              </w:rPr>
            </w:pPr>
            <w:r>
              <w:rPr>
                <w:rFonts w:ascii="Arial" w:cs="Arial" w:eastAsia="Arial" w:hAnsi="Arial"/>
                <w:sz w:val="18"/>
                <w:szCs w:val="18"/>
                <w:color w:val="auto"/>
              </w:rPr>
              <w:t>F-27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Prepayments and other receivables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320" w:type="dxa"/>
            <w:vAlign w:val="bottom"/>
          </w:tcPr>
          <w:p>
            <w:pPr>
              <w:spacing w:after="0"/>
              <w:rPr>
                <w:sz w:val="17"/>
                <w:szCs w:val="17"/>
                <w:color w:val="auto"/>
              </w:rPr>
            </w:pP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1,138</w:t>
            </w: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Deferred IPO costs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672</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prepayments and other receivables</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1,810</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IPO costs related to the Global Offering. These costs were offset against share premium in 2017 when the Global Offering was completed.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prepayments balance includes prepayments for insurance and clinical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There are no impaired assets within prepayments and other receivables.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Capital</w:t>
      </w:r>
    </w:p>
    <w:p>
      <w:pPr>
        <w:spacing w:after="0" w:line="30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February 8, 2017, the board of the Company approved a share consolidation where every 50 existing ordinary shares of £0.001 were consolidated into one ordinary share of £0.05. The movements in the Company's share capital are summarized below: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Share Capital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9"/>
              </w:rPr>
              <w:t>Number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80"/>
        </w:trPr>
        <w:tc>
          <w:tcPr>
            <w:tcW w:w="3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Date</w:t>
            </w:r>
          </w:p>
        </w:tc>
        <w:tc>
          <w:tcPr>
            <w:tcW w:w="3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660" w:type="dxa"/>
            <w:vAlign w:val="bottom"/>
            <w:gridSpan w:val="3"/>
            <w:vMerge w:val="continue"/>
          </w:tcPr>
          <w:p>
            <w:pPr>
              <w:spacing w:after="0"/>
              <w:rPr>
                <w:sz w:val="12"/>
                <w:szCs w:val="12"/>
                <w:color w:val="auto"/>
              </w:rPr>
            </w:pPr>
          </w:p>
        </w:tc>
        <w:tc>
          <w:tcPr>
            <w:tcW w:w="3780" w:type="dxa"/>
            <w:vAlign w:val="bottom"/>
            <w:gridSpan w:val="2"/>
          </w:tcPr>
          <w:p>
            <w:pPr>
              <w:jc w:val="center"/>
              <w:ind w:left="72"/>
              <w:spacing w:after="0" w:line="129" w:lineRule="exact"/>
              <w:rPr>
                <w:sz w:val="20"/>
                <w:szCs w:val="20"/>
                <w:color w:val="auto"/>
              </w:rPr>
            </w:pPr>
            <w:r>
              <w:rPr>
                <w:rFonts w:ascii="Arial" w:cs="Arial" w:eastAsia="Arial" w:hAnsi="Arial"/>
                <w:sz w:val="14"/>
                <w:szCs w:val="14"/>
                <w:b w:val="1"/>
                <w:bCs w:val="1"/>
                <w:color w:val="auto"/>
              </w:rPr>
              <w:t>Description</w:t>
            </w:r>
          </w:p>
        </w:tc>
        <w:tc>
          <w:tcPr>
            <w:tcW w:w="28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rPr>
              <w:t>shares</w:t>
            </w: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£'000</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January 1, 2016</w:t>
            </w:r>
          </w:p>
        </w:tc>
        <w:tc>
          <w:tcPr>
            <w:tcW w:w="3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20,198,469</w:t>
            </w: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1,010</w:t>
            </w:r>
          </w:p>
        </w:tc>
        <w:tc>
          <w:tcPr>
            <w:tcW w:w="0" w:type="dxa"/>
            <w:vAlign w:val="bottom"/>
          </w:tcPr>
          <w:p>
            <w:pPr>
              <w:spacing w:after="0"/>
              <w:rPr>
                <w:sz w:val="1"/>
                <w:szCs w:val="1"/>
                <w:color w:val="auto"/>
              </w:rPr>
            </w:pP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July 29, 2016</w:t>
            </w:r>
          </w:p>
        </w:tc>
        <w:tc>
          <w:tcPr>
            <w:tcW w:w="37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Issuance of shares</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31,115,926</w:t>
            </w:r>
          </w:p>
        </w:tc>
        <w:tc>
          <w:tcPr>
            <w:tcW w:w="6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12, 2016</w:t>
            </w:r>
          </w:p>
        </w:tc>
        <w:tc>
          <w:tcPr>
            <w:tcW w:w="37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Exercise of options</w:t>
            </w:r>
          </w:p>
        </w:tc>
        <w:tc>
          <w:tcPr>
            <w:tcW w:w="2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3,334</w:t>
            </w: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October 24, 2016</w:t>
            </w:r>
          </w:p>
        </w:tc>
        <w:tc>
          <w:tcPr>
            <w:tcW w:w="37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Exercise of options</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3,334</w:t>
            </w:r>
          </w:p>
        </w:tc>
        <w:tc>
          <w:tcPr>
            <w:tcW w:w="6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28, 2016</w:t>
            </w:r>
          </w:p>
        </w:tc>
        <w:tc>
          <w:tcPr>
            <w:tcW w:w="37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Exercise of options</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66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As at December 31, 2016</w:t>
            </w:r>
          </w:p>
        </w:tc>
        <w:tc>
          <w:tcPr>
            <w:tcW w:w="31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51,361,063</w:t>
            </w:r>
          </w:p>
        </w:tc>
        <w:tc>
          <w:tcPr>
            <w:tcW w:w="6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2,568</w:t>
            </w: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2, 2017</w:t>
            </w:r>
          </w:p>
        </w:tc>
        <w:tc>
          <w:tcPr>
            <w:tcW w:w="3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Issuance of shares</w:t>
            </w:r>
          </w:p>
        </w:tc>
        <w:tc>
          <w:tcPr>
            <w:tcW w:w="2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47,653,100</w:t>
            </w: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May 18, 2017</w:t>
            </w:r>
          </w:p>
        </w:tc>
        <w:tc>
          <w:tcPr>
            <w:tcW w:w="37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Issuance of shares</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5,539,080</w:t>
            </w:r>
          </w:p>
        </w:tc>
        <w:tc>
          <w:tcPr>
            <w:tcW w:w="6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26, 2017</w:t>
            </w:r>
          </w:p>
        </w:tc>
        <w:tc>
          <w:tcPr>
            <w:tcW w:w="3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Issuance of shares</w:t>
            </w:r>
          </w:p>
        </w:tc>
        <w:tc>
          <w:tcPr>
            <w:tcW w:w="2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330,824</w:t>
            </w: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September 13, 2017</w:t>
            </w:r>
          </w:p>
        </w:tc>
        <w:tc>
          <w:tcPr>
            <w:tcW w:w="3780" w:type="dxa"/>
            <w:vAlign w:val="bottom"/>
            <w:tcBorders>
              <w:bottom w:val="single" w:sz="8" w:color="CCEEFF"/>
            </w:tcBorders>
            <w:gridSpan w:val="2"/>
          </w:tcPr>
          <w:p>
            <w:pPr>
              <w:jc w:val="center"/>
              <w:ind w:left="52"/>
              <w:spacing w:after="0"/>
              <w:rPr>
                <w:sz w:val="20"/>
                <w:szCs w:val="20"/>
                <w:color w:val="auto"/>
              </w:rPr>
            </w:pPr>
            <w:r>
              <w:rPr>
                <w:rFonts w:ascii="Arial" w:cs="Arial" w:eastAsia="Arial" w:hAnsi="Arial"/>
                <w:sz w:val="18"/>
                <w:szCs w:val="18"/>
                <w:color w:val="auto"/>
                <w:w w:val="99"/>
              </w:rPr>
              <w:t>Exercise of options</w:t>
            </w:r>
          </w:p>
        </w:tc>
        <w:tc>
          <w:tcPr>
            <w:tcW w:w="2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133,333</w:t>
            </w:r>
          </w:p>
        </w:tc>
        <w:tc>
          <w:tcPr>
            <w:tcW w:w="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105,017,400</w:t>
            </w: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total number of authorized ordinary shares, with a nominal value of £0.05 each, is 200,000,000 (share capital of £10,000,000). All 105,017,400 ordinary shares at December 31, 2017 are allotted, unrestricted, called up and fully paid.</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April 26, 2017, the Company announced the closing of its Global Offering of an aggregate of 47,399,001 new ordinary shares, comprising 5,768,000 American Depositary Shares (“ADSs”) at a price of $13.50 per ADS and 1,255,001 ordinary shares at a price of £1.32 per ordinary share. During May 2017 the underwriters purchased an additional 733,738 ADSs, representing 5,869,904 ordinary shares, at a price of $13.50 per ADS. The total gross proceeds in the Global Offering amounted to $89.9 million (£70.0 million).</w:t>
      </w:r>
    </w:p>
    <w:p>
      <w:pPr>
        <w:sectPr>
          <w:pgSz w:w="11900" w:h="16838" w:orient="portrait"/>
          <w:cols w:equalWidth="0" w:num="1">
            <w:col w:w="11420"/>
          </w:cols>
          <w:pgMar w:left="240" w:top="140"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40" w:right="2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(continued)</w:t>
      </w:r>
    </w:p>
    <w:p>
      <w:pPr>
        <w:spacing w:after="0" w:line="200" w:lineRule="exact"/>
        <w:rPr>
          <w:sz w:val="20"/>
          <w:szCs w:val="20"/>
          <w:color w:val="auto"/>
        </w:rPr>
      </w:pPr>
    </w:p>
    <w:p>
      <w:pPr>
        <w:spacing w:after="0" w:line="3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the Shareholder Private Placement, contingent on and concurrent with the Global Offering and generating gross proceeds of £0.3m.</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Where there is a time and foreign exchange difference between proceeds from a share issue becoming due and being received, the movement is taken to Finance income or Finance expense as appropriate. In respect of the Global Offering and Shareholder Private Placement, the Company recorded a finance expense of £439 thousand arising from movements in exchange rates on funds receivable, offset by a saving on commission payable of £31 thousand, for a net finance expense of £408 thousand.</w:t>
      </w:r>
    </w:p>
    <w:p>
      <w:pPr>
        <w:spacing w:after="0" w:line="2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September 13, 2017, the company issued 133,333 new shares upon exercise of share options at 110p per share, resulting in proceeds of £147 thousand to the Company.</w:t>
      </w:r>
    </w:p>
    <w:p>
      <w:pPr>
        <w:spacing w:after="0" w:line="25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On July 29, 2016, the Company issued 31,115,926 units to new and existing investors at the placing price of £1.4365 per unit. Each unit comprises one ordinary share and one warrant (see note 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During 2016, the Company issued 46,666 ordinary shares upon exercise of employee share options.</w:t>
      </w:r>
    </w:p>
    <w:p>
      <w:pPr>
        <w:spacing w:after="0" w:line="27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at December 31, 2017, the number of ordinary shares in issue was 105,017,400. All new ordinary shares rank pari passu with existing ordinary shares.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140"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recognized over the period until the award vests. No expense is recognized for awards that do not ultimately vest. At each reporting date, the cumulative expense recognized for equity-based transactions reflects the extent to which the vesting period has expired and the number of awards that, in the opinion of the Directors at that date, will ultimately vest.</w:t>
      </w:r>
    </w:p>
    <w:p>
      <w:pPr>
        <w:spacing w:after="0" w:line="263"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costs of equity-settled share-based payments to employees are recognized in the Statement of Comprehensive Income, together with a corresponding increase in equity during the vesting period. During the twelve months ended December 31, 2017, the Company recognized a share-based payment expense of £2.92 million (2016: £0.58 million ). The charge is included within both general and administrative costs as well as in research and development costs and represents the current year's allocation of the expense for relevant share options.</w:t>
      </w: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grants share options under an Unapproved Share Option Scheme (the "Unapproved Scheme"). Under the Unapproved Scheme, options are granted to employees, directors and consultants to acquire shares at a price to be determined by the Directors. In general, options granted prior to December 31, 2016 were granted at a premium to the share price at the date of grant and vested over a period of three years from the date of grant, one third vesting on the first anniversary of grant, a further third vesting on the second anniversary of grant and the remainder vesting on the third anniversary of grant.</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Options granted since January 1, 2017 generally vest over three or four years from the date of the grant using two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 The vesting period is defined as the period between the date of grant and the date when the options become exercisable. The options are exercisable during a period ending ten years after the date of grant.</w:t>
      </w:r>
    </w:p>
    <w:p>
      <w:pPr>
        <w:spacing w:after="0" w:line="26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Options are also issued to advisors under the Unapproved Scheme. Such options generally vest immediately and are exercisable between one and two years after grant.</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2016 the Company issued options under its tax efficient EMI Option Scheme (the "EMI Scheme"). Under the EMI Scheme, options were granted to employees and directors who are contracted to work at least 25 hours a week for the Company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260"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The Company grants Restricted Stock Units to employees and directors. The RSUs vest over a period of three or four years from the date of the grant using 2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2017, the Company granted 4,656,828 (2016: 1,670,000 ) share options, nil (2016: 32,000) share options</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EMI Scheme and 1,052,236 Restricted Stock Units (“RSUs”) (2016: nil). The total fair values of the Options and RSUs were estimated using the Black-Scholes option-pricing model for equity-settled transactions and amounted to £5.33 million (2016: £1.93 million). The cost is amortized over the vesting period of the options on a straight-line basis.</w:t>
      </w:r>
    </w:p>
    <w:p>
      <w:pPr>
        <w:spacing w:after="0" w:line="2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Prior to the July 2016 Placement in 2016, management determined to take an option's contractual maximum life as an input into the Black-Scholes option-pricing model. Starting from the July 2016 Placement and in line with the continued development of the Company's clinical trials, the Company determined the time to maturity to be used in the valuation model to be better represented by the weighted-average life of the options granted.</w:t>
      </w:r>
    </w:p>
    <w:p>
      <w:pPr>
        <w:sectPr>
          <w:pgSz w:w="11900" w:h="16838" w:orient="portrait"/>
          <w:cols w:equalWidth="0" w:num="1">
            <w:col w:w="11400"/>
          </w:cols>
          <w:pgMar w:left="240" w:top="140" w:right="25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40" w:right="259" w:bottom="1440" w:gutter="0" w:footer="0" w:header="0"/>
          <w:type w:val="continuous"/>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assumptions were used for the Black-Scholes valuation of share options granted in 2016 and 2017. For the options granted under the Unapproved Scheme the table indicates the ranges used in determining the fair-market values, aligning with the various dates of the underlying grants. The volatility is calculated using historic weekly averages of the Company's share price over a period that is in line with the expected life of the options.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jc w:val="right"/>
              <w:ind w:right="610"/>
              <w:spacing w:after="0"/>
              <w:rPr>
                <w:sz w:val="20"/>
                <w:szCs w:val="20"/>
                <w:color w:val="auto"/>
              </w:rPr>
            </w:pPr>
            <w:r>
              <w:rPr>
                <w:rFonts w:ascii="Arial" w:cs="Arial" w:eastAsia="Arial" w:hAnsi="Arial"/>
                <w:sz w:val="18"/>
                <w:szCs w:val="18"/>
                <w:b w:val="1"/>
                <w:bCs w:val="1"/>
                <w:color w:val="auto"/>
              </w:rPr>
              <w:t>Unapproved</w:t>
            </w:r>
          </w:p>
        </w:tc>
      </w:tr>
      <w:tr>
        <w:trPr>
          <w:trHeight w:val="246"/>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Issued in 2016</w:t>
            </w:r>
          </w:p>
        </w:tc>
        <w:tc>
          <w:tcPr>
            <w:tcW w:w="4380" w:type="dxa"/>
            <w:vAlign w:val="bottom"/>
            <w:gridSpan w:val="2"/>
          </w:tcPr>
          <w:p>
            <w:pPr>
              <w:ind w:left="2700"/>
              <w:spacing w:after="0"/>
              <w:rPr>
                <w:sz w:val="20"/>
                <w:szCs w:val="20"/>
                <w:color w:val="auto"/>
              </w:rPr>
            </w:pPr>
            <w:r>
              <w:rPr>
                <w:rFonts w:ascii="Arial" w:cs="Arial" w:eastAsia="Arial" w:hAnsi="Arial"/>
                <w:sz w:val="18"/>
                <w:szCs w:val="18"/>
                <w:b w:val="1"/>
                <w:bCs w:val="1"/>
                <w:color w:val="auto"/>
              </w:rPr>
              <w:t>EMI Scheme</w:t>
            </w:r>
          </w:p>
        </w:tc>
        <w:tc>
          <w:tcPr>
            <w:tcW w:w="2460" w:type="dxa"/>
            <w:vAlign w:val="bottom"/>
          </w:tcPr>
          <w:p>
            <w:pPr>
              <w:jc w:val="right"/>
              <w:ind w:right="790"/>
              <w:spacing w:after="0"/>
              <w:rPr>
                <w:sz w:val="20"/>
                <w:szCs w:val="20"/>
                <w:color w:val="auto"/>
              </w:rPr>
            </w:pPr>
            <w:r>
              <w:rPr>
                <w:rFonts w:ascii="Arial" w:cs="Arial" w:eastAsia="Arial" w:hAnsi="Arial"/>
                <w:sz w:val="18"/>
                <w:szCs w:val="18"/>
                <w:b w:val="1"/>
                <w:bCs w:val="1"/>
                <w:color w:val="auto"/>
              </w:rPr>
              <w:t>Scheme</w:t>
            </w:r>
          </w:p>
        </w:tc>
      </w:tr>
      <w:tr>
        <w:trPr>
          <w:trHeight w:val="257"/>
        </w:trPr>
        <w:tc>
          <w:tcPr>
            <w:tcW w:w="4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4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22"/>
                <w:szCs w:val="22"/>
                <w:color w:val="auto"/>
              </w:rPr>
            </w:pPr>
          </w:p>
        </w:tc>
        <w:tc>
          <w:tcPr>
            <w:tcW w:w="24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1,670,000</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2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0.23%-1.42%</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4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 years</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5.5-10 years</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Annualized volatility</w:t>
            </w:r>
          </w:p>
        </w:tc>
        <w:tc>
          <w:tcPr>
            <w:tcW w:w="42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2"/>
                <w:szCs w:val="22"/>
                <w:color w:val="auto"/>
              </w:rPr>
            </w:pP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74.3% - 88.0%</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Vesting period</w:t>
            </w:r>
          </w:p>
        </w:tc>
        <w:tc>
          <w:tcPr>
            <w:tcW w:w="4380" w:type="dxa"/>
            <w:vAlign w:val="bottom"/>
            <w:gridSpan w:val="2"/>
          </w:tcPr>
          <w:p>
            <w:pPr>
              <w:jc w:val="right"/>
              <w:ind w:right="300"/>
              <w:spacing w:after="0"/>
              <w:rPr>
                <w:sz w:val="20"/>
                <w:szCs w:val="20"/>
                <w:color w:val="auto"/>
              </w:rPr>
            </w:pPr>
            <w:r>
              <w:rPr>
                <w:rFonts w:ascii="Arial" w:cs="Arial" w:eastAsia="Arial" w:hAnsi="Arial"/>
                <w:sz w:val="18"/>
                <w:szCs w:val="18"/>
                <w:color w:val="auto"/>
              </w:rPr>
              <w:t>3 years</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3 years</w:t>
            </w:r>
          </w:p>
        </w:tc>
      </w:tr>
      <w:tr>
        <w:trPr>
          <w:trHeight w:val="304"/>
        </w:trPr>
        <w:tc>
          <w:tcPr>
            <w:tcW w:w="458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Unapproved</w:t>
            </w: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22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Issued in 2017</w:t>
            </w: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Scheme</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Restricted Stock Units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12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8"/>
                <w:szCs w:val="18"/>
                <w:color w:val="auto"/>
              </w:rPr>
              <w:t>4,656,828</w:t>
            </w:r>
          </w:p>
        </w:tc>
        <w:tc>
          <w:tcPr>
            <w:tcW w:w="100" w:type="dxa"/>
            <w:vAlign w:val="bottom"/>
            <w:tcBorders>
              <w:top w:val="single" w:sz="8" w:color="CCEEFF"/>
            </w:tcBorders>
            <w:shd w:val="clear" w:color="auto" w:fill="CCEEFF"/>
          </w:tcPr>
          <w:p>
            <w:pPr>
              <w:spacing w:after="0"/>
              <w:rPr>
                <w:sz w:val="22"/>
                <w:szCs w:val="22"/>
                <w:color w:val="auto"/>
              </w:rPr>
            </w:pPr>
          </w:p>
        </w:tc>
        <w:tc>
          <w:tcPr>
            <w:tcW w:w="2460" w:type="dxa"/>
            <w:vAlign w:val="bottom"/>
            <w:tcBorders>
              <w:top w:val="single" w:sz="8" w:color="auto"/>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1,052,236</w:t>
            </w:r>
          </w:p>
        </w:tc>
        <w:tc>
          <w:tcPr>
            <w:tcW w:w="0" w:type="dxa"/>
            <w:vAlign w:val="bottom"/>
          </w:tcPr>
          <w:p>
            <w:pPr>
              <w:spacing w:after="0"/>
              <w:rPr>
                <w:sz w:val="1"/>
                <w:szCs w:val="1"/>
                <w:color w:val="auto"/>
              </w:rPr>
            </w:pPr>
          </w:p>
        </w:tc>
      </w:tr>
      <w:tr>
        <w:trPr>
          <w:trHeight w:val="263"/>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80" w:type="dxa"/>
            <w:vAlign w:val="bottom"/>
            <w:gridSpan w:val="2"/>
          </w:tcPr>
          <w:p>
            <w:pPr>
              <w:jc w:val="right"/>
              <w:ind w:right="125"/>
              <w:spacing w:after="0"/>
              <w:rPr>
                <w:sz w:val="20"/>
                <w:szCs w:val="20"/>
                <w:color w:val="auto"/>
              </w:rPr>
            </w:pPr>
            <w:r>
              <w:rPr>
                <w:rFonts w:ascii="Arial" w:cs="Arial" w:eastAsia="Arial" w:hAnsi="Arial"/>
                <w:sz w:val="18"/>
                <w:szCs w:val="18"/>
                <w:color w:val="auto"/>
              </w:rPr>
              <w:t>0.29% - 0.62%</w:t>
            </w:r>
          </w:p>
        </w:tc>
        <w:tc>
          <w:tcPr>
            <w:tcW w:w="100" w:type="dxa"/>
            <w:vAlign w:val="bottom"/>
          </w:tcPr>
          <w:p>
            <w:pPr>
              <w:spacing w:after="0"/>
              <w:rPr>
                <w:sz w:val="22"/>
                <w:szCs w:val="22"/>
                <w:color w:val="auto"/>
              </w:rPr>
            </w:pPr>
          </w:p>
        </w:tc>
        <w:tc>
          <w:tcPr>
            <w:tcW w:w="2460" w:type="dxa"/>
            <w:vAlign w:val="bottom"/>
            <w:gridSpan w:val="3"/>
          </w:tcPr>
          <w:p>
            <w:pPr>
              <w:jc w:val="right"/>
              <w:ind w:right="108"/>
              <w:spacing w:after="0"/>
              <w:rPr>
                <w:sz w:val="20"/>
                <w:szCs w:val="20"/>
                <w:color w:val="auto"/>
              </w:rPr>
            </w:pPr>
            <w:r>
              <w:rPr>
                <w:rFonts w:ascii="Arial" w:cs="Arial" w:eastAsia="Arial" w:hAnsi="Arial"/>
                <w:sz w:val="18"/>
                <w:szCs w:val="18"/>
                <w:color w:val="auto"/>
              </w:rPr>
              <w:t>0.42%-0.62%</w:t>
            </w:r>
          </w:p>
        </w:tc>
        <w:tc>
          <w:tcPr>
            <w:tcW w:w="0" w:type="dxa"/>
            <w:vAlign w:val="bottom"/>
          </w:tcPr>
          <w:p>
            <w:pPr>
              <w:spacing w:after="0"/>
              <w:rPr>
                <w:sz w:val="1"/>
                <w:szCs w:val="1"/>
                <w:color w:val="auto"/>
              </w:rPr>
            </w:pPr>
          </w:p>
        </w:tc>
      </w:tr>
      <w:tr>
        <w:trPr>
          <w:trHeight w:val="277"/>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1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 – 7.0 years</w:t>
            </w:r>
          </w:p>
        </w:tc>
        <w:tc>
          <w:tcPr>
            <w:tcW w:w="24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5.5 – 7.0 years</w:t>
            </w:r>
          </w:p>
        </w:tc>
        <w:tc>
          <w:tcPr>
            <w:tcW w:w="0" w:type="dxa"/>
            <w:vAlign w:val="bottom"/>
          </w:tcPr>
          <w:p>
            <w:pPr>
              <w:spacing w:after="0"/>
              <w:rPr>
                <w:sz w:val="1"/>
                <w:szCs w:val="1"/>
                <w:color w:val="auto"/>
              </w:rPr>
            </w:pPr>
          </w:p>
        </w:tc>
      </w:tr>
      <w:tr>
        <w:trPr>
          <w:trHeight w:val="263"/>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Annualized volatility</w:t>
            </w: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80" w:type="dxa"/>
            <w:vAlign w:val="bottom"/>
            <w:gridSpan w:val="2"/>
          </w:tcPr>
          <w:p>
            <w:pPr>
              <w:jc w:val="right"/>
              <w:ind w:right="125"/>
              <w:spacing w:after="0"/>
              <w:rPr>
                <w:sz w:val="20"/>
                <w:szCs w:val="20"/>
                <w:color w:val="auto"/>
              </w:rPr>
            </w:pPr>
            <w:r>
              <w:rPr>
                <w:rFonts w:ascii="Arial" w:cs="Arial" w:eastAsia="Arial" w:hAnsi="Arial"/>
                <w:sz w:val="18"/>
                <w:szCs w:val="18"/>
                <w:color w:val="auto"/>
              </w:rPr>
              <w:t>71.3% - 73.3%</w:t>
            </w:r>
          </w:p>
        </w:tc>
        <w:tc>
          <w:tcPr>
            <w:tcW w:w="100" w:type="dxa"/>
            <w:vAlign w:val="bottom"/>
          </w:tcPr>
          <w:p>
            <w:pPr>
              <w:spacing w:after="0"/>
              <w:rPr>
                <w:sz w:val="22"/>
                <w:szCs w:val="22"/>
                <w:color w:val="auto"/>
              </w:rPr>
            </w:pPr>
          </w:p>
        </w:tc>
        <w:tc>
          <w:tcPr>
            <w:tcW w:w="2460" w:type="dxa"/>
            <w:vAlign w:val="bottom"/>
            <w:gridSpan w:val="3"/>
          </w:tcPr>
          <w:p>
            <w:pPr>
              <w:jc w:val="right"/>
              <w:ind w:right="108"/>
              <w:spacing w:after="0"/>
              <w:rPr>
                <w:sz w:val="20"/>
                <w:szCs w:val="20"/>
                <w:color w:val="auto"/>
              </w:rPr>
            </w:pPr>
            <w:r>
              <w:rPr>
                <w:rFonts w:ascii="Arial" w:cs="Arial" w:eastAsia="Arial" w:hAnsi="Arial"/>
                <w:sz w:val="18"/>
                <w:szCs w:val="18"/>
                <w:color w:val="auto"/>
              </w:rPr>
              <w:t>71.3% - 73.3%</w:t>
            </w:r>
          </w:p>
        </w:tc>
        <w:tc>
          <w:tcPr>
            <w:tcW w:w="0" w:type="dxa"/>
            <w:vAlign w:val="bottom"/>
          </w:tcPr>
          <w:p>
            <w:pPr>
              <w:spacing w:after="0"/>
              <w:rPr>
                <w:sz w:val="1"/>
                <w:szCs w:val="1"/>
                <w:color w:val="auto"/>
              </w:rPr>
            </w:pPr>
          </w:p>
        </w:tc>
      </w:tr>
      <w:tr>
        <w:trPr>
          <w:trHeight w:val="277"/>
        </w:trPr>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10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7"/>
        </w:trPr>
        <w:tc>
          <w:tcPr>
            <w:tcW w:w="1200" w:type="dxa"/>
            <w:vAlign w:val="bottom"/>
          </w:tcPr>
          <w:p>
            <w:pPr>
              <w:ind w:left="40"/>
              <w:spacing w:after="0"/>
              <w:rPr>
                <w:sz w:val="20"/>
                <w:szCs w:val="20"/>
                <w:color w:val="auto"/>
              </w:rPr>
            </w:pPr>
            <w:r>
              <w:rPr>
                <w:rFonts w:ascii="Arial" w:cs="Arial" w:eastAsia="Arial" w:hAnsi="Arial"/>
                <w:sz w:val="18"/>
                <w:szCs w:val="18"/>
                <w:color w:val="auto"/>
                <w:w w:val="99"/>
              </w:rPr>
              <w:t>Vesting period</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 and 4 years</w:t>
            </w:r>
          </w:p>
        </w:tc>
        <w:tc>
          <w:tcPr>
            <w:tcW w:w="2460" w:type="dxa"/>
            <w:vAlign w:val="bottom"/>
            <w:gridSpan w:val="3"/>
          </w:tcPr>
          <w:p>
            <w:pPr>
              <w:jc w:val="right"/>
              <w:ind w:right="108"/>
              <w:spacing w:after="0"/>
              <w:rPr>
                <w:sz w:val="20"/>
                <w:szCs w:val="20"/>
                <w:color w:val="auto"/>
              </w:rPr>
            </w:pPr>
            <w:r>
              <w:rPr>
                <w:rFonts w:ascii="Arial" w:cs="Arial" w:eastAsia="Arial" w:hAnsi="Arial"/>
                <w:sz w:val="18"/>
                <w:szCs w:val="18"/>
                <w:color w:val="auto"/>
              </w:rPr>
              <w:t>3 and 4 years</w:t>
            </w:r>
          </w:p>
        </w:tc>
        <w:tc>
          <w:tcPr>
            <w:tcW w:w="0" w:type="dxa"/>
            <w:vAlign w:val="bottom"/>
          </w:tcPr>
          <w:p>
            <w:pPr>
              <w:spacing w:after="0"/>
              <w:rPr>
                <w:sz w:val="1"/>
                <w:szCs w:val="1"/>
                <w:color w:val="auto"/>
              </w:rPr>
            </w:pPr>
          </w:p>
        </w:tc>
      </w:tr>
      <w:tr>
        <w:trPr>
          <w:trHeight w:val="365"/>
        </w:trPr>
        <w:tc>
          <w:tcPr>
            <w:tcW w:w="8960" w:type="dxa"/>
            <w:vAlign w:val="bottom"/>
            <w:gridSpan w:val="9"/>
          </w:tcPr>
          <w:p>
            <w:pPr>
              <w:spacing w:after="0"/>
              <w:rPr>
                <w:sz w:val="20"/>
                <w:szCs w:val="20"/>
                <w:color w:val="auto"/>
              </w:rPr>
            </w:pPr>
            <w:r>
              <w:rPr>
                <w:rFonts w:ascii="Arial" w:cs="Arial" w:eastAsia="Arial" w:hAnsi="Arial"/>
                <w:sz w:val="18"/>
                <w:szCs w:val="18"/>
                <w:color w:val="auto"/>
              </w:rPr>
              <w:t>The Company had the following share options movements in the year ended December 31, 2017:</w:t>
            </w: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00" w:type="dxa"/>
            <w:vAlign w:val="bottom"/>
          </w:tcPr>
          <w:p>
            <w:pPr>
              <w:ind w:left="120"/>
              <w:spacing w:after="0"/>
              <w:rPr>
                <w:sz w:val="20"/>
                <w:szCs w:val="20"/>
                <w:color w:val="auto"/>
              </w:rPr>
            </w:pPr>
            <w:r>
              <w:rPr>
                <w:rFonts w:ascii="Arial" w:cs="Arial" w:eastAsia="Arial" w:hAnsi="Arial"/>
                <w:sz w:val="14"/>
                <w:szCs w:val="14"/>
                <w:b w:val="1"/>
                <w:bCs w:val="1"/>
                <w:color w:val="auto"/>
              </w:rPr>
              <w:t>Year of</w:t>
            </w: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Exercise</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At January 1,</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jc w:val="right"/>
              <w:ind w:right="44"/>
              <w:spacing w:after="0"/>
              <w:rPr>
                <w:sz w:val="20"/>
                <w:szCs w:val="20"/>
                <w:color w:val="auto"/>
              </w:rPr>
            </w:pPr>
            <w:r>
              <w:rPr>
                <w:rFonts w:ascii="Arial" w:cs="Arial" w:eastAsia="Arial" w:hAnsi="Arial"/>
                <w:sz w:val="14"/>
                <w:szCs w:val="14"/>
                <w:b w:val="1"/>
                <w:bCs w:val="1"/>
                <w:color w:val="auto"/>
              </w:rPr>
              <w:t>Options</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At December 31,</w:t>
            </w: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issue</w:t>
            </w: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price (£)</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granted</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exercised</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forfeited</w:t>
            </w: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expired</w:t>
            </w: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Expiry date</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2012</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2.50 - 7.50</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100,000</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2013</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100,000</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April 15,</w:t>
            </w:r>
          </w:p>
        </w:tc>
        <w:tc>
          <w:tcPr>
            <w:tcW w:w="380" w:type="dxa"/>
            <w:vAlign w:val="bottom"/>
          </w:tcPr>
          <w:p>
            <w:pPr>
              <w:jc w:val="right"/>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2013</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2013</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2.00</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160,000</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160,000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July 29,</w:t>
            </w:r>
          </w:p>
        </w:tc>
        <w:tc>
          <w:tcPr>
            <w:tcW w:w="380" w:type="dxa"/>
            <w:vAlign w:val="bottom"/>
          </w:tcPr>
          <w:p>
            <w:pPr>
              <w:jc w:val="right"/>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1.75</w:t>
            </w:r>
          </w:p>
        </w:tc>
        <w:tc>
          <w:tcPr>
            <w:tcW w:w="12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110,000</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15,</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200" w:type="dxa"/>
            <w:vAlign w:val="bottom"/>
          </w:tcPr>
          <w:p>
            <w:pPr>
              <w:ind w:left="40"/>
              <w:spacing w:after="0"/>
              <w:rPr>
                <w:sz w:val="20"/>
                <w:szCs w:val="20"/>
                <w:color w:val="auto"/>
              </w:rPr>
            </w:pPr>
            <w:r>
              <w:rPr>
                <w:rFonts w:ascii="Arial" w:cs="Arial" w:eastAsia="Arial" w:hAnsi="Arial"/>
                <w:sz w:val="14"/>
                <w:szCs w:val="14"/>
                <w:color w:val="auto"/>
              </w:rPr>
              <w:t>2014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63,333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(13,333)</w:t>
            </w:r>
          </w:p>
        </w:tc>
        <w:tc>
          <w:tcPr>
            <w:tcW w:w="132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May 15,</w:t>
            </w:r>
          </w:p>
        </w:tc>
        <w:tc>
          <w:tcPr>
            <w:tcW w:w="380" w:type="dxa"/>
            <w:vAlign w:val="bottom"/>
          </w:tcPr>
          <w:p>
            <w:pPr>
              <w:jc w:val="right"/>
              <w:spacing w:after="0"/>
              <w:rPr>
                <w:sz w:val="20"/>
                <w:szCs w:val="20"/>
                <w:color w:val="auto"/>
              </w:rPr>
            </w:pPr>
            <w:r>
              <w:rPr>
                <w:rFonts w:ascii="Arial" w:cs="Arial" w:eastAsia="Arial" w:hAnsi="Arial"/>
                <w:sz w:val="14"/>
                <w:szCs w:val="14"/>
                <w:color w:val="auto"/>
              </w:rPr>
              <w:t>2024</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1.10 - 1.75</w:t>
            </w:r>
          </w:p>
        </w:tc>
        <w:tc>
          <w:tcPr>
            <w:tcW w:w="12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200,000</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(133,333)</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66,667</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2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00" w:type="dxa"/>
            <w:vAlign w:val="bottom"/>
          </w:tcPr>
          <w:p>
            <w:pPr>
              <w:ind w:left="40"/>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82,000</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82,000</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January 29,</w:t>
            </w:r>
          </w:p>
        </w:tc>
        <w:tc>
          <w:tcPr>
            <w:tcW w:w="380" w:type="dxa"/>
            <w:vAlign w:val="bottom"/>
          </w:tcPr>
          <w:p>
            <w:pPr>
              <w:jc w:val="right"/>
              <w:spacing w:after="0"/>
              <w:rPr>
                <w:sz w:val="20"/>
                <w:szCs w:val="20"/>
                <w:color w:val="auto"/>
              </w:rPr>
            </w:pPr>
            <w:r>
              <w:rPr>
                <w:rFonts w:ascii="Arial" w:cs="Arial" w:eastAsia="Arial" w:hAnsi="Arial"/>
                <w:sz w:val="14"/>
                <w:szCs w:val="14"/>
                <w:color w:val="auto"/>
              </w:rPr>
              <w:t>2025</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c>
          <w:tcPr>
            <w:tcW w:w="12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510,000</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29,</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2016</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260,000</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February 2,</w:t>
            </w:r>
          </w:p>
        </w:tc>
        <w:tc>
          <w:tcPr>
            <w:tcW w:w="380" w:type="dxa"/>
            <w:vAlign w:val="bottom"/>
          </w:tcPr>
          <w:p>
            <w:pPr>
              <w:jc w:val="right"/>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22,000</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February 2,</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2016</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1.80</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810,000</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810,000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August 3,</w:t>
            </w:r>
          </w:p>
        </w:tc>
        <w:tc>
          <w:tcPr>
            <w:tcW w:w="380" w:type="dxa"/>
            <w:vAlign w:val="bottom"/>
          </w:tcPr>
          <w:p>
            <w:pPr>
              <w:jc w:val="right"/>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c>
          <w:tcPr>
            <w:tcW w:w="12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300,000</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13,</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2016</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2.04</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300,000</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September 16,</w:t>
            </w:r>
          </w:p>
        </w:tc>
        <w:tc>
          <w:tcPr>
            <w:tcW w:w="380" w:type="dxa"/>
            <w:vAlign w:val="bottom"/>
          </w:tcPr>
          <w:p>
            <w:pPr>
              <w:jc w:val="right"/>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1.32 - 1.525</w:t>
            </w:r>
          </w:p>
        </w:tc>
        <w:tc>
          <w:tcPr>
            <w:tcW w:w="12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4,656,828</w:t>
            </w:r>
          </w:p>
        </w:tc>
        <w:tc>
          <w:tcPr>
            <w:tcW w:w="11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4,656,828</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26,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86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3,037,333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4,656,828</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(133,333)</w:t>
            </w: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(33,333)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7,527,495</w:t>
            </w:r>
          </w:p>
        </w:tc>
        <w:tc>
          <w:tcPr>
            <w:tcW w:w="1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Options granted under the EMI Scheme.</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Valued based on fair value of services received.</w:t>
      </w:r>
    </w:p>
    <w:p>
      <w:pPr>
        <w:sectPr>
          <w:pgSz w:w="11900" w:h="16838" w:orient="portrait"/>
          <w:cols w:equalWidth="0" w:num="1">
            <w:col w:w="11420"/>
          </w:cols>
          <w:pgMar w:left="240" w:top="140" w:right="239" w:bottom="1086"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40" w:right="239" w:bottom="1086"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Restricted Share Units movements in the year ended December 31, 2017:</w:t>
      </w:r>
    </w:p>
    <w:p>
      <w:pPr>
        <w:spacing w:after="0" w:line="200" w:lineRule="exact"/>
        <w:rPr>
          <w:sz w:val="20"/>
          <w:szCs w:val="20"/>
          <w:color w:val="auto"/>
        </w:rPr>
      </w:pP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auto"/>
              </w:rPr>
              <w:t>Exercise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auto"/>
              </w:rPr>
              <w:t>price</w:t>
            </w:r>
          </w:p>
        </w:tc>
        <w:tc>
          <w:tcPr>
            <w:tcW w:w="1500" w:type="dxa"/>
            <w:vAlign w:val="bottom"/>
          </w:tcPr>
          <w:p>
            <w:pPr>
              <w:jc w:val="center"/>
              <w:ind w:right="128"/>
              <w:spacing w:after="0"/>
              <w:rPr>
                <w:sz w:val="20"/>
                <w:szCs w:val="20"/>
                <w:color w:val="auto"/>
              </w:rPr>
            </w:pPr>
            <w:r>
              <w:rPr>
                <w:rFonts w:ascii="Arial" w:cs="Arial" w:eastAsia="Arial" w:hAnsi="Arial"/>
                <w:sz w:val="14"/>
                <w:szCs w:val="14"/>
                <w:b w:val="1"/>
                <w:bCs w:val="1"/>
                <w:color w:val="auto"/>
              </w:rPr>
              <w:t>At January 1,</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4"/>
                <w:szCs w:val="14"/>
                <w:color w:val="auto"/>
              </w:rPr>
            </w:pPr>
          </w:p>
        </w:tc>
        <w:tc>
          <w:tcPr>
            <w:tcW w:w="1220" w:type="dxa"/>
            <w:vAlign w:val="bottom"/>
          </w:tcPr>
          <w:p>
            <w:pPr>
              <w:jc w:val="center"/>
              <w:ind w:right="268"/>
              <w:spacing w:after="0"/>
              <w:rPr>
                <w:sz w:val="20"/>
                <w:szCs w:val="20"/>
                <w:color w:val="auto"/>
              </w:rPr>
            </w:pPr>
            <w:r>
              <w:rPr>
                <w:rFonts w:ascii="Arial" w:cs="Arial" w:eastAsia="Arial" w:hAnsi="Arial"/>
                <w:sz w:val="14"/>
                <w:szCs w:val="14"/>
                <w:b w:val="1"/>
                <w:bCs w:val="1"/>
                <w:color w:val="auto"/>
              </w:rPr>
              <w:t>Units</w:t>
            </w:r>
          </w:p>
        </w:tc>
        <w:tc>
          <w:tcPr>
            <w:tcW w:w="1120" w:type="dxa"/>
            <w:vAlign w:val="bottom"/>
          </w:tcPr>
          <w:p>
            <w:pPr>
              <w:jc w:val="center"/>
              <w:ind w:right="248"/>
              <w:spacing w:after="0"/>
              <w:rPr>
                <w:sz w:val="20"/>
                <w:szCs w:val="20"/>
                <w:color w:val="auto"/>
              </w:rPr>
            </w:pPr>
            <w:r>
              <w:rPr>
                <w:rFonts w:ascii="Arial" w:cs="Arial" w:eastAsia="Arial" w:hAnsi="Arial"/>
                <w:sz w:val="14"/>
                <w:szCs w:val="14"/>
                <w:b w:val="1"/>
                <w:bCs w:val="1"/>
                <w:color w:val="auto"/>
              </w:rPr>
              <w:t>Units</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Units</w:t>
            </w: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At December 31,</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of issue</w:t>
            </w:r>
          </w:p>
        </w:tc>
        <w:tc>
          <w:tcPr>
            <w:tcW w:w="10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granted</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exercised</w:t>
            </w:r>
          </w:p>
        </w:tc>
        <w:tc>
          <w:tcPr>
            <w:tcW w:w="11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forfeited</w:t>
            </w: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expired</w:t>
            </w:r>
          </w:p>
        </w:tc>
        <w:tc>
          <w:tcPr>
            <w:tcW w:w="14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204"/>
        </w:trPr>
        <w:tc>
          <w:tcPr>
            <w:tcW w:w="1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1,052,236</w:t>
            </w:r>
          </w:p>
        </w:tc>
        <w:tc>
          <w:tcPr>
            <w:tcW w:w="3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1,052,236</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April 26, 2027</w:t>
            </w:r>
          </w:p>
        </w:tc>
        <w:tc>
          <w:tcPr>
            <w:tcW w:w="0" w:type="dxa"/>
            <w:vAlign w:val="bottom"/>
          </w:tcPr>
          <w:p>
            <w:pPr>
              <w:spacing w:after="0"/>
              <w:rPr>
                <w:sz w:val="1"/>
                <w:szCs w:val="1"/>
                <w:color w:val="auto"/>
              </w:rPr>
            </w:pPr>
          </w:p>
        </w:tc>
      </w:tr>
      <w:tr>
        <w:trPr>
          <w:trHeight w:val="60"/>
        </w:trPr>
        <w:tc>
          <w:tcPr>
            <w:tcW w:w="12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1,052,236</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  —</w:t>
            </w: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  —</w:t>
            </w: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  —</w:t>
            </w: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1,052,236</w:t>
            </w:r>
          </w:p>
        </w:tc>
        <w:tc>
          <w:tcPr>
            <w:tcW w:w="1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average fair value at grant date, by year of grant and plan, of the exercisable options as per December 31, 2017 is presented in the below table.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jc w:val="right"/>
              <w:ind w:right="554"/>
              <w:spacing w:after="0"/>
              <w:rPr>
                <w:sz w:val="20"/>
                <w:szCs w:val="20"/>
                <w:color w:val="auto"/>
              </w:rPr>
            </w:pPr>
            <w:r>
              <w:rPr>
                <w:rFonts w:ascii="Arial" w:cs="Arial" w:eastAsia="Arial" w:hAnsi="Arial"/>
                <w:sz w:val="14"/>
                <w:szCs w:val="14"/>
                <w:b w:val="1"/>
                <w:bCs w:val="1"/>
                <w:color w:val="auto"/>
              </w:rPr>
              <w:t>Unapproved</w:t>
            </w:r>
          </w:p>
        </w:tc>
        <w:tc>
          <w:tcPr>
            <w:tcW w:w="1600" w:type="dxa"/>
            <w:vAlign w:val="bottom"/>
          </w:tcPr>
          <w:p>
            <w:pPr>
              <w:spacing w:after="0"/>
              <w:rPr>
                <w:sz w:val="14"/>
                <w:szCs w:val="14"/>
                <w:color w:val="auto"/>
              </w:rPr>
            </w:pPr>
          </w:p>
        </w:tc>
      </w:tr>
      <w:tr>
        <w:trPr>
          <w:trHeight w:val="196"/>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of issue</w:t>
            </w:r>
          </w:p>
        </w:tc>
        <w:tc>
          <w:tcPr>
            <w:tcW w:w="43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EMI Scheme (£)</w:t>
            </w:r>
          </w:p>
        </w:tc>
        <w:tc>
          <w:tcPr>
            <w:tcW w:w="17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Scheme (£)</w:t>
            </w: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RSU (£)</w:t>
            </w: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4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0.63 - 1.20</w:t>
            </w:r>
          </w:p>
        </w:tc>
        <w:tc>
          <w:tcPr>
            <w:tcW w:w="17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2013</w:t>
            </w:r>
          </w:p>
        </w:tc>
        <w:tc>
          <w:tcPr>
            <w:tcW w:w="4380" w:type="dxa"/>
            <w:vAlign w:val="bottom"/>
          </w:tcPr>
          <w:p>
            <w:pPr>
              <w:jc w:val="right"/>
              <w:ind w:right="193"/>
              <w:spacing w:after="0"/>
              <w:rPr>
                <w:sz w:val="20"/>
                <w:szCs w:val="20"/>
                <w:color w:val="auto"/>
              </w:rPr>
            </w:pPr>
            <w:r>
              <w:rPr>
                <w:rFonts w:ascii="Arial" w:cs="Arial" w:eastAsia="Arial" w:hAnsi="Arial"/>
                <w:sz w:val="18"/>
                <w:szCs w:val="18"/>
                <w:color w:val="auto"/>
              </w:rPr>
              <w:t>0.83</w:t>
            </w:r>
          </w:p>
        </w:tc>
        <w:tc>
          <w:tcPr>
            <w:tcW w:w="1760" w:type="dxa"/>
            <w:vAlign w:val="bottom"/>
          </w:tcPr>
          <w:p>
            <w:pPr>
              <w:jc w:val="right"/>
              <w:ind w:right="334"/>
              <w:spacing w:after="0"/>
              <w:rPr>
                <w:sz w:val="20"/>
                <w:szCs w:val="20"/>
                <w:color w:val="auto"/>
              </w:rPr>
            </w:pPr>
            <w:r>
              <w:rPr>
                <w:rFonts w:ascii="Arial" w:cs="Arial" w:eastAsia="Arial" w:hAnsi="Arial"/>
                <w:sz w:val="18"/>
                <w:szCs w:val="18"/>
                <w:color w:val="auto"/>
              </w:rPr>
              <w:t>0.79 - 0.95</w:t>
            </w:r>
          </w:p>
        </w:tc>
        <w:tc>
          <w:tcPr>
            <w:tcW w:w="1600" w:type="dxa"/>
            <w:vAlign w:val="bottom"/>
          </w:tcPr>
          <w:p>
            <w:pPr>
              <w:spacing w:after="0"/>
              <w:rPr>
                <w:sz w:val="22"/>
                <w:szCs w:val="22"/>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0.76</w:t>
            </w:r>
          </w:p>
        </w:tc>
        <w:tc>
          <w:tcPr>
            <w:tcW w:w="17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0.23 - 0.76</w:t>
            </w:r>
          </w:p>
        </w:tc>
        <w:tc>
          <w:tcPr>
            <w:tcW w:w="1600" w:type="dxa"/>
            <w:vAlign w:val="bottom"/>
            <w:shd w:val="clear" w:color="auto" w:fill="CCEEFF"/>
          </w:tcPr>
          <w:p>
            <w:pPr>
              <w:spacing w:after="0"/>
              <w:rPr>
                <w:sz w:val="24"/>
                <w:szCs w:val="24"/>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2015</w:t>
            </w:r>
          </w:p>
        </w:tc>
        <w:tc>
          <w:tcPr>
            <w:tcW w:w="4380" w:type="dxa"/>
            <w:vAlign w:val="bottom"/>
          </w:tcPr>
          <w:p>
            <w:pPr>
              <w:jc w:val="right"/>
              <w:ind w:right="193"/>
              <w:spacing w:after="0"/>
              <w:rPr>
                <w:sz w:val="20"/>
                <w:szCs w:val="20"/>
                <w:color w:val="auto"/>
              </w:rPr>
            </w:pPr>
            <w:r>
              <w:rPr>
                <w:rFonts w:ascii="Arial" w:cs="Arial" w:eastAsia="Arial" w:hAnsi="Arial"/>
                <w:sz w:val="18"/>
                <w:szCs w:val="18"/>
                <w:color w:val="auto"/>
              </w:rPr>
              <w:t>0.57</w:t>
            </w:r>
          </w:p>
        </w:tc>
        <w:tc>
          <w:tcPr>
            <w:tcW w:w="1760" w:type="dxa"/>
            <w:vAlign w:val="bottom"/>
          </w:tcPr>
          <w:p>
            <w:pPr>
              <w:jc w:val="right"/>
              <w:ind w:right="334"/>
              <w:spacing w:after="0"/>
              <w:rPr>
                <w:sz w:val="20"/>
                <w:szCs w:val="20"/>
                <w:color w:val="auto"/>
              </w:rPr>
            </w:pPr>
            <w:r>
              <w:rPr>
                <w:rFonts w:ascii="Arial" w:cs="Arial" w:eastAsia="Arial" w:hAnsi="Arial"/>
                <w:sz w:val="18"/>
                <w:szCs w:val="18"/>
                <w:color w:val="auto"/>
              </w:rPr>
              <w:t>0.57</w:t>
            </w:r>
          </w:p>
        </w:tc>
        <w:tc>
          <w:tcPr>
            <w:tcW w:w="1600" w:type="dxa"/>
            <w:vAlign w:val="bottom"/>
          </w:tcPr>
          <w:p>
            <w:pPr>
              <w:spacing w:after="0"/>
              <w:rPr>
                <w:sz w:val="22"/>
                <w:szCs w:val="22"/>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1.35</w:t>
            </w:r>
          </w:p>
        </w:tc>
        <w:tc>
          <w:tcPr>
            <w:tcW w:w="17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0.93 - 1.35</w:t>
            </w:r>
          </w:p>
        </w:tc>
        <w:tc>
          <w:tcPr>
            <w:tcW w:w="1600" w:type="dxa"/>
            <w:vAlign w:val="bottom"/>
            <w:shd w:val="clear" w:color="auto" w:fill="CCEEFF"/>
          </w:tcPr>
          <w:p>
            <w:pPr>
              <w:spacing w:after="0"/>
              <w:rPr>
                <w:sz w:val="24"/>
                <w:szCs w:val="24"/>
                <w:color w:val="auto"/>
              </w:rPr>
            </w:pPr>
          </w:p>
        </w:tc>
      </w:tr>
      <w:tr>
        <w:trPr>
          <w:trHeight w:val="264"/>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2017</w:t>
            </w:r>
          </w:p>
        </w:tc>
        <w:tc>
          <w:tcPr>
            <w:tcW w:w="4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0.84</w:t>
            </w:r>
          </w:p>
        </w:tc>
        <w:tc>
          <w:tcPr>
            <w:tcW w:w="1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 by scheme as of December 31,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3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exercise price in £ for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exercise price in £ for</w:t>
            </w: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w:t>
            </w:r>
          </w:p>
        </w:tc>
        <w:tc>
          <w:tcPr>
            <w:tcW w:w="3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Outstanding</w:t>
            </w:r>
          </w:p>
        </w:tc>
        <w:tc>
          <w:tcPr>
            <w:tcW w:w="14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Unapproved</w:t>
            </w:r>
          </w:p>
        </w:tc>
        <w:tc>
          <w:tcPr>
            <w:tcW w:w="34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7,313,473</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773,333</w:t>
            </w: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1.50</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1.64</w:t>
            </w: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EMI</w:t>
            </w:r>
          </w:p>
        </w:tc>
        <w:tc>
          <w:tcPr>
            <w:tcW w:w="34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213,984</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185,333</w:t>
            </w: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3.06</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3.28</w:t>
            </w: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7,527,457</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958,666</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1.54</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1.95</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As at December 31, 2017 there were no restricted share options exercisable (2016: nil) and there is no exercise price for restricted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options outstanding at December 31, 2017 had a weighted average remaining contractual life of 8.6 years (2016: 8.2 years). For 2016 and 2017, the number of options granted and expired and the weighted average</w:t>
      </w:r>
    </w:p>
    <w:p>
      <w:pPr>
        <w:sectPr>
          <w:pgSz w:w="11900" w:h="16838" w:orient="portrait"/>
          <w:cols w:equalWidth="0" w:num="1">
            <w:col w:w="11420"/>
          </w:cols>
          <w:pgMar w:left="240" w:top="140" w:right="239" w:bottom="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of options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7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732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56"/>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2016</w:t>
            </w:r>
          </w:p>
        </w:tc>
        <w:tc>
          <w:tcPr>
            <w:tcW w:w="19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1,792,000</w:t>
            </w:r>
          </w:p>
        </w:tc>
        <w:tc>
          <w:tcPr>
            <w:tcW w:w="100" w:type="dxa"/>
            <w:vAlign w:val="bottom"/>
            <w:tcBorders>
              <w:top w:val="single" w:sz="8" w:color="CCEEFF"/>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1.78</w:t>
            </w:r>
          </w:p>
        </w:tc>
      </w:tr>
      <w:tr>
        <w:trPr>
          <w:trHeight w:val="263"/>
        </w:trPr>
        <w:tc>
          <w:tcPr>
            <w:tcW w:w="7320" w:type="dxa"/>
            <w:vAlign w:val="bottom"/>
          </w:tcPr>
          <w:p>
            <w:pPr>
              <w:ind w:left="180"/>
              <w:spacing w:after="0"/>
              <w:rPr>
                <w:sz w:val="20"/>
                <w:szCs w:val="20"/>
                <w:color w:val="auto"/>
              </w:rPr>
            </w:pPr>
            <w:r>
              <w:rPr>
                <w:rFonts w:ascii="Arial" w:cs="Arial" w:eastAsia="Arial" w:hAnsi="Arial"/>
                <w:sz w:val="18"/>
                <w:szCs w:val="18"/>
                <w:color w:val="auto"/>
              </w:rPr>
              <w:t>Options granted in 2016:</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1,002,000</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1.92</w:t>
            </w:r>
          </w:p>
        </w:tc>
      </w:tr>
      <w:tr>
        <w:trPr>
          <w:trHeight w:val="263"/>
        </w:trPr>
        <w:tc>
          <w:tcPr>
            <w:tcW w:w="7320" w:type="dxa"/>
            <w:vAlign w:val="bottom"/>
          </w:tcPr>
          <w:p>
            <w:pPr>
              <w:ind w:left="380"/>
              <w:spacing w:after="0"/>
              <w:rPr>
                <w:sz w:val="20"/>
                <w:szCs w:val="20"/>
                <w:color w:val="auto"/>
              </w:rPr>
            </w:pPr>
            <w:r>
              <w:rPr>
                <w:rFonts w:ascii="Arial" w:cs="Arial" w:eastAsia="Arial" w:hAnsi="Arial"/>
                <w:sz w:val="18"/>
                <w:szCs w:val="18"/>
                <w:color w:val="auto"/>
              </w:rPr>
              <w:t>Directors</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2"/>
                <w:szCs w:val="22"/>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2.05</w:t>
            </w:r>
          </w:p>
        </w:tc>
      </w:tr>
      <w:tr>
        <w:trPr>
          <w:trHeight w:val="27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 in the year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(46,666)</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r>
      <w:tr>
        <w:trPr>
          <w:trHeight w:val="263"/>
        </w:trPr>
        <w:tc>
          <w:tcPr>
            <w:tcW w:w="7320" w:type="dxa"/>
            <w:vAlign w:val="bottom"/>
          </w:tcPr>
          <w:p>
            <w:pPr>
              <w:ind w:left="180"/>
              <w:spacing w:after="0"/>
              <w:rPr>
                <w:sz w:val="20"/>
                <w:szCs w:val="20"/>
                <w:color w:val="auto"/>
              </w:rPr>
            </w:pPr>
            <w:r>
              <w:rPr>
                <w:rFonts w:ascii="Arial" w:cs="Arial" w:eastAsia="Arial" w:hAnsi="Arial"/>
                <w:sz w:val="18"/>
                <w:szCs w:val="18"/>
                <w:color w:val="auto"/>
              </w:rPr>
              <w:t>Options forfeited in the year</w:t>
            </w:r>
          </w:p>
        </w:tc>
        <w:tc>
          <w:tcPr>
            <w:tcW w:w="1920" w:type="dxa"/>
            <w:vAlign w:val="bottom"/>
          </w:tcPr>
          <w:p>
            <w:pPr>
              <w:jc w:val="right"/>
              <w:spacing w:after="0"/>
              <w:rPr>
                <w:sz w:val="20"/>
                <w:szCs w:val="20"/>
                <w:color w:val="auto"/>
              </w:rPr>
            </w:pPr>
            <w:r>
              <w:rPr>
                <w:rFonts w:ascii="Arial" w:cs="Arial" w:eastAsia="Arial" w:hAnsi="Arial"/>
                <w:sz w:val="18"/>
                <w:szCs w:val="18"/>
                <w:color w:val="auto"/>
              </w:rPr>
              <w:t>(150,001)</w:t>
            </w:r>
          </w:p>
        </w:tc>
        <w:tc>
          <w:tcPr>
            <w:tcW w:w="100" w:type="dxa"/>
            <w:vAlign w:val="bottom"/>
          </w:tcPr>
          <w:p>
            <w:pPr>
              <w:spacing w:after="0"/>
              <w:rPr>
                <w:sz w:val="22"/>
                <w:szCs w:val="22"/>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1.24</w:t>
            </w:r>
          </w:p>
        </w:tc>
      </w:tr>
      <w:tr>
        <w:trPr>
          <w:trHeight w:val="27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 in the 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2.46</w:t>
            </w:r>
          </w:p>
        </w:tc>
      </w:tr>
      <w:tr>
        <w:trPr>
          <w:trHeight w:val="29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At December 31, 2016</w:t>
            </w:r>
          </w:p>
        </w:tc>
        <w:tc>
          <w:tcPr>
            <w:tcW w:w="1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3,037,333</w:t>
            </w:r>
          </w:p>
        </w:tc>
        <w:tc>
          <w:tcPr>
            <w:tcW w:w="10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1.87</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December 31, 2016</w:t>
            </w:r>
          </w:p>
        </w:tc>
        <w:tc>
          <w:tcPr>
            <w:tcW w:w="1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846,667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2.25</w:t>
            </w:r>
          </w:p>
        </w:tc>
      </w:tr>
      <w:tr>
        <w:trPr>
          <w:trHeight w:val="20"/>
        </w:trPr>
        <w:tc>
          <w:tcPr>
            <w:tcW w:w="7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643"/>
        </w:trPr>
        <w:tc>
          <w:tcPr>
            <w:tcW w:w="7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7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732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56"/>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2017</w:t>
            </w:r>
          </w:p>
        </w:tc>
        <w:tc>
          <w:tcPr>
            <w:tcW w:w="19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3,037,333</w:t>
            </w:r>
          </w:p>
        </w:tc>
        <w:tc>
          <w:tcPr>
            <w:tcW w:w="100" w:type="dxa"/>
            <w:vAlign w:val="bottom"/>
            <w:tcBorders>
              <w:top w:val="single" w:sz="8" w:color="CCEEFF"/>
            </w:tcBorders>
            <w:shd w:val="clear" w:color="auto" w:fill="CCEEFF"/>
          </w:tcPr>
          <w:p>
            <w:pPr>
              <w:spacing w:after="0"/>
              <w:rPr>
                <w:sz w:val="22"/>
                <w:szCs w:val="22"/>
                <w:color w:val="auto"/>
              </w:rPr>
            </w:pPr>
          </w:p>
        </w:tc>
        <w:tc>
          <w:tcPr>
            <w:tcW w:w="19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1.87</w:t>
            </w:r>
          </w:p>
        </w:tc>
      </w:tr>
      <w:tr>
        <w:trPr>
          <w:trHeight w:val="257"/>
        </w:trPr>
        <w:tc>
          <w:tcPr>
            <w:tcW w:w="7320" w:type="dxa"/>
            <w:vAlign w:val="bottom"/>
          </w:tcPr>
          <w:p>
            <w:pPr>
              <w:ind w:left="180"/>
              <w:spacing w:after="0"/>
              <w:rPr>
                <w:sz w:val="20"/>
                <w:szCs w:val="20"/>
                <w:color w:val="auto"/>
              </w:rPr>
            </w:pPr>
            <w:r>
              <w:rPr>
                <w:rFonts w:ascii="Arial" w:cs="Arial" w:eastAsia="Arial" w:hAnsi="Arial"/>
                <w:sz w:val="18"/>
                <w:szCs w:val="18"/>
                <w:color w:val="auto"/>
              </w:rPr>
              <w:t>Options granted in 2017:</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3,150,846</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r>
      <w:tr>
        <w:trPr>
          <w:trHeight w:val="263"/>
        </w:trPr>
        <w:tc>
          <w:tcPr>
            <w:tcW w:w="7320" w:type="dxa"/>
            <w:vAlign w:val="bottom"/>
          </w:tcPr>
          <w:p>
            <w:pPr>
              <w:ind w:left="380"/>
              <w:spacing w:after="0"/>
              <w:rPr>
                <w:sz w:val="20"/>
                <w:szCs w:val="20"/>
                <w:color w:val="auto"/>
              </w:rPr>
            </w:pPr>
            <w:r>
              <w:rPr>
                <w:rFonts w:ascii="Arial" w:cs="Arial" w:eastAsia="Arial" w:hAnsi="Arial"/>
                <w:sz w:val="18"/>
                <w:szCs w:val="18"/>
                <w:color w:val="auto"/>
              </w:rPr>
              <w:t>Directors</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1,505,982</w:t>
            </w:r>
          </w:p>
        </w:tc>
        <w:tc>
          <w:tcPr>
            <w:tcW w:w="100" w:type="dxa"/>
            <w:vAlign w:val="bottom"/>
          </w:tcPr>
          <w:p>
            <w:pPr>
              <w:spacing w:after="0"/>
              <w:rPr>
                <w:sz w:val="22"/>
                <w:szCs w:val="22"/>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1.32</w:t>
            </w:r>
          </w:p>
        </w:tc>
      </w:tr>
      <w:tr>
        <w:trPr>
          <w:trHeight w:val="27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 in the year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r>
      <w:tr>
        <w:trPr>
          <w:trHeight w:val="263"/>
        </w:trPr>
        <w:tc>
          <w:tcPr>
            <w:tcW w:w="7320" w:type="dxa"/>
            <w:vAlign w:val="bottom"/>
          </w:tcPr>
          <w:p>
            <w:pPr>
              <w:ind w:left="180"/>
              <w:spacing w:after="0"/>
              <w:rPr>
                <w:sz w:val="20"/>
                <w:szCs w:val="20"/>
                <w:color w:val="auto"/>
              </w:rPr>
            </w:pPr>
            <w:r>
              <w:rPr>
                <w:rFonts w:ascii="Arial" w:cs="Arial" w:eastAsia="Arial" w:hAnsi="Arial"/>
                <w:sz w:val="18"/>
                <w:szCs w:val="18"/>
                <w:color w:val="auto"/>
              </w:rPr>
              <w:t>Options forfeited in the year</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 in the 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0" w:type="dxa"/>
            <w:vAlign w:val="bottom"/>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1.90</w:t>
            </w:r>
          </w:p>
        </w:tc>
      </w:tr>
      <w:tr>
        <w:trPr>
          <w:trHeight w:val="29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7,527,495</w:t>
            </w:r>
          </w:p>
        </w:tc>
        <w:tc>
          <w:tcPr>
            <w:tcW w:w="10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1.53</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December 31, 2017</w:t>
            </w:r>
          </w:p>
        </w:tc>
        <w:tc>
          <w:tcPr>
            <w:tcW w:w="1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797,333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r>
      <w:tr>
        <w:trPr>
          <w:trHeight w:val="20"/>
        </w:trPr>
        <w:tc>
          <w:tcPr>
            <w:tcW w:w="7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following table shows the number of RSUs issued in 2017. No RSUs were granted in 2016 and none of the RSUs granted in 2017 were forfeited, canceled or vested in the year. The fair value of each unvested RSU at grant date was £1.32.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40" w:type="dxa"/>
            <w:vAlign w:val="bottom"/>
          </w:tcPr>
          <w:p>
            <w:pPr>
              <w:jc w:val="right"/>
              <w:ind w:right="277"/>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72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RSUs</w:t>
            </w:r>
          </w:p>
        </w:tc>
      </w:tr>
      <w:tr>
        <w:trPr>
          <w:trHeight w:val="256"/>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2017</w:t>
            </w:r>
          </w:p>
        </w:tc>
        <w:tc>
          <w:tcPr>
            <w:tcW w:w="60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75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705,841</w:t>
            </w:r>
          </w:p>
        </w:tc>
      </w:tr>
      <w:tr>
        <w:trPr>
          <w:trHeight w:val="264"/>
        </w:trPr>
        <w:tc>
          <w:tcPr>
            <w:tcW w:w="3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Directors</w:t>
            </w:r>
          </w:p>
        </w:tc>
        <w:tc>
          <w:tcPr>
            <w:tcW w:w="606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346,395</w:t>
            </w: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60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1,052,236</w:t>
            </w:r>
          </w:p>
        </w:tc>
      </w:tr>
      <w:tr>
        <w:trPr>
          <w:trHeight w:val="20"/>
        </w:trPr>
        <w:tc>
          <w:tcPr>
            <w:tcW w:w="37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91"/>
        </w:trPr>
        <w:tc>
          <w:tcPr>
            <w:tcW w:w="3720" w:type="dxa"/>
            <w:vAlign w:val="bottom"/>
          </w:tcPr>
          <w:p>
            <w:pPr>
              <w:spacing w:after="0"/>
              <w:rPr>
                <w:sz w:val="24"/>
                <w:szCs w:val="24"/>
                <w:color w:val="auto"/>
              </w:rPr>
            </w:pPr>
          </w:p>
        </w:tc>
        <w:tc>
          <w:tcPr>
            <w:tcW w:w="7500" w:type="dxa"/>
            <w:vAlign w:val="bottom"/>
            <w:gridSpan w:val="2"/>
          </w:tcPr>
          <w:p>
            <w:pPr>
              <w:jc w:val="right"/>
              <w:ind w:right="5237"/>
              <w:spacing w:after="0"/>
              <w:rPr>
                <w:sz w:val="20"/>
                <w:szCs w:val="20"/>
                <w:color w:val="auto"/>
              </w:rPr>
            </w:pPr>
            <w:r>
              <w:rPr>
                <w:rFonts w:ascii="Arial" w:cs="Arial" w:eastAsia="Arial" w:hAnsi="Arial"/>
                <w:sz w:val="18"/>
                <w:szCs w:val="18"/>
                <w:color w:val="auto"/>
              </w:rPr>
              <w:t>F-33</w:t>
            </w:r>
          </w:p>
        </w:tc>
      </w:tr>
    </w:tbl>
    <w:p>
      <w:pPr>
        <w:sectPr>
          <w:pgSz w:w="11900" w:h="16838" w:orient="portrait"/>
          <w:cols w:equalWidth="0" w:num="1">
            <w:col w:w="11240"/>
          </w:cols>
          <w:pgMar w:left="240" w:top="140" w:right="41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Trade and other payables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320" w:type="dxa"/>
            <w:vAlign w:val="bottom"/>
          </w:tcPr>
          <w:p>
            <w:pPr>
              <w:spacing w:after="0"/>
              <w:rPr>
                <w:sz w:val="17"/>
                <w:szCs w:val="17"/>
                <w:color w:val="auto"/>
              </w:rPr>
            </w:pP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1,214</w:t>
            </w: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74</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Accruals</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5,866</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trade and other payables</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7,154</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December 31, 2016, accruals included £0.89 million related to expenses associated with the Global Offering which was fully paid during the year ended December 31,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Assumed contingent obligation related to the business combination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value of the assumed contingent obligation as of December 31, 2017 amounts to £875 thousand (2016: £802 thousand). The increase in value of the assumed contingent obligation during 2017 amounted to £73 thousand (2016: £208 thousand ) and was recorded in finance expense as it related to the unwind of the discount on the liability and retranslation for changes in US$ exchange rates. Periodic re-measurement is triggered by changes in the probability of success. In 2016 the remeasurement was triggered by the success of the Company's Phase 2a clinical trial, presented in March 2016. The discount percentage applied is 12%. In 2017 there were no events that triggered remeasurement.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250"/>
        </w:trPr>
        <w:tc>
          <w:tcPr>
            <w:tcW w:w="8700" w:type="dxa"/>
            <w:vAlign w:val="bottom"/>
          </w:tcPr>
          <w:p>
            <w:pPr>
              <w:spacing w:after="0"/>
              <w:rPr>
                <w:sz w:val="21"/>
                <w:szCs w:val="21"/>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56"/>
        </w:trPr>
        <w:tc>
          <w:tcPr>
            <w:tcW w:w="8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w:t>
            </w:r>
          </w:p>
        </w:tc>
        <w:tc>
          <w:tcPr>
            <w:tcW w:w="12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802</w:t>
            </w:r>
          </w:p>
        </w:tc>
      </w:tr>
      <w:tr>
        <w:trPr>
          <w:trHeight w:val="263"/>
        </w:trPr>
        <w:tc>
          <w:tcPr>
            <w:tcW w:w="8700" w:type="dxa"/>
            <w:vAlign w:val="bottom"/>
          </w:tcPr>
          <w:p>
            <w:pPr>
              <w:ind w:left="40"/>
              <w:spacing w:after="0"/>
              <w:rPr>
                <w:sz w:val="20"/>
                <w:szCs w:val="20"/>
                <w:color w:val="auto"/>
              </w:rPr>
            </w:pPr>
            <w:r>
              <w:rPr>
                <w:rFonts w:ascii="Arial" w:cs="Arial" w:eastAsia="Arial" w:hAnsi="Arial"/>
                <w:sz w:val="18"/>
                <w:szCs w:val="18"/>
                <w:color w:val="auto"/>
              </w:rPr>
              <w:t>Re-measurement of assumed contingent obligation</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changes in foreign exchange rates</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Unwinding of discount factor</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875</w:t>
            </w:r>
          </w:p>
        </w:tc>
      </w:tr>
      <w:tr>
        <w:trPr>
          <w:trHeight w:val="20"/>
        </w:trPr>
        <w:tc>
          <w:tcPr>
            <w:tcW w:w="8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table below describes the reported change to the value of the liability during 2017 of £73 thousand (2016: £208 thousand) compared to what this number would be following the presented variations to the underlying assumptions (assuming the probability of success does not change):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250"/>
        </w:trPr>
        <w:tc>
          <w:tcPr>
            <w:tcW w:w="87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9"/>
              </w:rPr>
              <w:t>£'000s</w:t>
            </w: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0"/>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value of the assumed contingent obligation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208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w:t>
            </w:r>
          </w:p>
        </w:tc>
      </w:tr>
      <w:tr>
        <w:trPr>
          <w:trHeight w:val="26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10% lower revenue assumption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202</w:t>
            </w:r>
          </w:p>
        </w:tc>
        <w:tc>
          <w:tcPr>
            <w:tcW w:w="1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72</w:t>
            </w:r>
          </w:p>
        </w:tc>
      </w:tr>
      <w:tr>
        <w:trPr>
          <w:trHeight w:val="277"/>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 higher revenue assumption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215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w:t>
            </w:r>
          </w:p>
        </w:tc>
      </w:tr>
      <w:tr>
        <w:trPr>
          <w:trHeight w:val="26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1% lower risk assumption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205</w:t>
            </w:r>
          </w:p>
        </w:tc>
        <w:tc>
          <w:tcPr>
            <w:tcW w:w="1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69</w:t>
            </w:r>
          </w:p>
        </w:tc>
      </w:tr>
      <w:tr>
        <w:trPr>
          <w:trHeight w:val="277"/>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 higher risk assumption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211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w:t>
            </w:r>
          </w:p>
        </w:tc>
      </w:tr>
      <w:tr>
        <w:trPr>
          <w:trHeight w:val="459"/>
        </w:trPr>
        <w:tc>
          <w:tcPr>
            <w:tcW w:w="9600" w:type="dxa"/>
            <w:vAlign w:val="bottom"/>
            <w:gridSpan w:val="2"/>
          </w:tcPr>
          <w:p>
            <w:pPr>
              <w:ind w:left="552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Warrants</w:t>
      </w:r>
    </w:p>
    <w:p>
      <w:pPr>
        <w:spacing w:after="0" w:line="3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Pursuant to the July 2016 Placement, on July 29, 2016 the Company issued 31,115,926 units to new and existing investors at the placing price of £1.4365 per unit. Each unit comprises one ordinary share and one warrant.</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warrant holders can subscribe for 0.4 of an ordinary share at a per share exercise price of 120% of the placing price or £1.7238. The warrant holders can opt for a cashless exercise of their warrants, whereby the warrant holders can choose to exchange the warrants held for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26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warrants entitled the investors to subscribe for in aggregate a maximum of 12,446,370 shares. The warrants can be exercised on the earlier of the consummation of the Global Offering (being April 26, 2017) or the first anniversary of the grant, and the exercise period shall end on the fifth anniversary of the date of grant (being July 29, 2021).</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ordinary shares and warrants were accounted for as a compound financial instrument. The warrants component of the instrument issued at the July 2016 Placement was classified as a derivative financial liability and was initially measured at fair value of £9.0 million. The residual amount of proceeds totaling £35.7 million was recognized within equity. Subsequently the financial liability was re-measured at the reporting date at fair value through profit or loss.</w:t>
      </w:r>
    </w:p>
    <w:p>
      <w:pPr>
        <w:spacing w:after="0" w:line="2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total of transaction costs the Company incurred for the above transactions amounted to £2.9 million of which £0.6 million was allocated to the warrants and the remaining £2.3 million was presented as a reduction to share premium, by reference to the proceeds allocated to each component. The amount assigned to the financial liability of the warrants was subsequently presented as finance expense in the Consolidated Statement of Comprehensive Income.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31 December 2017 warrants over 45,108 shares were forfeited (2016: nil).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assumptions in applying the Black-Scholes model to determine the fair value of the warrants.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8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30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12,446,370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12,401,262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1.7238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Expected term to exercise</w:t>
            </w:r>
          </w:p>
        </w:tc>
        <w:tc>
          <w:tcPr>
            <w:tcW w:w="30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2.43 years</w:t>
            </w:r>
          </w:p>
        </w:tc>
        <w:tc>
          <w:tcPr>
            <w:tcW w:w="300" w:type="dxa"/>
            <w:vAlign w:val="bottom"/>
          </w:tcPr>
          <w:p>
            <w:pPr>
              <w:spacing w:after="0"/>
              <w:rPr>
                <w:sz w:val="22"/>
                <w:szCs w:val="22"/>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1.79 years</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figures disclosed above relating to the issue of the shares and warrants have been retrospectively adjusted to reflect the 50-for-1 share consolidation as described in note 1. The original number of units issued to new and existing investors was 1,555,796,345 units at a placing price of 2.873 pence per unit and an exercise price of 3.4476 pence per share. This entitled the investors to subscribe for in aggregate a maximum of 622,318,538 shares.</w:t>
      </w:r>
    </w:p>
    <w:p>
      <w:pPr>
        <w:spacing w:after="0" w:line="25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per the reporting date the Company updated the underlying assumptions and calculated a fair value of these warrants amounting to £1.3 million. The variance of £6.7 million is recorded as finance income in the Consolidated Statement of Comprehensive Income.</w:t>
      </w:r>
    </w:p>
    <w:p>
      <w:pPr>
        <w:sectPr>
          <w:pgSz w:w="11900" w:h="16838" w:orient="portrait"/>
          <w:cols w:equalWidth="0" w:num="1">
            <w:col w:w="11420"/>
          </w:cols>
          <w:pgMar w:left="240" w:top="140"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40" w:right="23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Warrants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Derivative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financial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34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7,923</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On issuance of shares</w:t>
            </w: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1,273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For the amount recognized at December 31, 2017, the effect when some of these underlying parameters would deviate up or down is presented in the below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Time to</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Volatility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 / down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(up / down</w:t>
            </w:r>
          </w:p>
        </w:tc>
      </w:tr>
      <w:tr>
        <w:trPr>
          <w:trHeight w:val="196"/>
        </w:trPr>
        <w:tc>
          <w:tcPr>
            <w:tcW w:w="83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 pts)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 months)</w:t>
            </w: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up</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1,677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Base case, reported fair value</w:t>
            </w:r>
          </w:p>
        </w:tc>
        <w:tc>
          <w:tcPr>
            <w:tcW w:w="1500" w:type="dxa"/>
            <w:vAlign w:val="bottom"/>
          </w:tcPr>
          <w:p>
            <w:pPr>
              <w:jc w:val="right"/>
              <w:ind w:right="40"/>
              <w:spacing w:after="0"/>
              <w:rPr>
                <w:sz w:val="20"/>
                <w:szCs w:val="20"/>
                <w:color w:val="auto"/>
              </w:rPr>
            </w:pPr>
            <w:r>
              <w:rPr>
                <w:rFonts w:ascii="Arial" w:cs="Arial" w:eastAsia="Arial" w:hAnsi="Arial"/>
                <w:sz w:val="18"/>
                <w:szCs w:val="18"/>
                <w:b w:val="1"/>
                <w:bCs w:val="1"/>
                <w:color w:val="auto"/>
              </w:rPr>
              <w:t>1,273</w:t>
            </w:r>
          </w:p>
        </w:tc>
        <w:tc>
          <w:tcPr>
            <w:tcW w:w="100" w:type="dxa"/>
            <w:vAlign w:val="bottom"/>
          </w:tcPr>
          <w:p>
            <w:pPr>
              <w:spacing w:after="0"/>
              <w:rPr>
                <w:sz w:val="22"/>
                <w:szCs w:val="22"/>
                <w:color w:val="auto"/>
              </w:rPr>
            </w:pPr>
          </w:p>
        </w:tc>
        <w:tc>
          <w:tcPr>
            <w:tcW w:w="1480" w:type="dxa"/>
            <w:vAlign w:val="bottom"/>
          </w:tcPr>
          <w:p>
            <w:pPr>
              <w:jc w:val="right"/>
              <w:ind w:right="21"/>
              <w:spacing w:after="0"/>
              <w:rPr>
                <w:sz w:val="20"/>
                <w:szCs w:val="20"/>
                <w:color w:val="auto"/>
              </w:rPr>
            </w:pPr>
            <w:r>
              <w:rPr>
                <w:rFonts w:ascii="Arial" w:cs="Arial" w:eastAsia="Arial" w:hAnsi="Arial"/>
                <w:sz w:val="18"/>
                <w:szCs w:val="18"/>
                <w:b w:val="1"/>
                <w:bCs w:val="1"/>
                <w:color w:val="auto"/>
              </w:rPr>
              <w:t>1,273</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down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843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commitments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2017, the Company was committed to making the following payments under non-cancellable operating leases related to its facilities.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Arial" w:cs="Arial" w:eastAsia="Arial" w:hAnsi="Arial"/>
                <w:sz w:val="14"/>
                <w:szCs w:val="14"/>
                <w:b w:val="1"/>
                <w:bCs w:val="1"/>
                <w:color w:val="auto"/>
                <w:w w:val="99"/>
              </w:rPr>
              <w:t>Land and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40"/>
              <w:spacing w:after="0"/>
              <w:rPr>
                <w:sz w:val="20"/>
                <w:szCs w:val="20"/>
                <w:color w:val="auto"/>
              </w:rPr>
            </w:pPr>
            <w:r>
              <w:rPr>
                <w:rFonts w:ascii="Arial" w:cs="Arial" w:eastAsia="Arial" w:hAnsi="Arial"/>
                <w:sz w:val="14"/>
                <w:szCs w:val="14"/>
                <w:b w:val="1"/>
                <w:bCs w:val="1"/>
                <w:color w:val="auto"/>
              </w:rPr>
              <w:t>Land and</w:t>
            </w:r>
          </w:p>
        </w:tc>
      </w:tr>
      <w:tr>
        <w:trPr>
          <w:trHeight w:val="196"/>
        </w:trPr>
        <w:tc>
          <w:tcPr>
            <w:tcW w:w="8340" w:type="dxa"/>
            <w:vAlign w:val="bottom"/>
          </w:tcPr>
          <w:p>
            <w:pPr>
              <w:spacing w:after="0"/>
              <w:rPr>
                <w:sz w:val="17"/>
                <w:szCs w:val="17"/>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Buildings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Buildings</w:t>
            </w:r>
          </w:p>
        </w:tc>
      </w:tr>
      <w:tr>
        <w:trPr>
          <w:trHeight w:val="250"/>
        </w:trPr>
        <w:tc>
          <w:tcPr>
            <w:tcW w:w="94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08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9"/>
              </w:rPr>
              <w:t>£'000s</w:t>
            </w: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9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Within one year</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270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291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Between one and five years</w:t>
            </w: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57"/>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270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568</w:t>
            </w:r>
          </w:p>
        </w:tc>
      </w:tr>
      <w:tr>
        <w:trPr>
          <w:trHeight w:val="20"/>
        </w:trPr>
        <w:tc>
          <w:tcPr>
            <w:tcW w:w="8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9420" w:type="dxa"/>
            <w:vAlign w:val="bottom"/>
            <w:gridSpan w:val="2"/>
          </w:tcPr>
          <w:p>
            <w:pPr>
              <w:ind w:left="5520"/>
              <w:spacing w:after="0"/>
              <w:rPr>
                <w:sz w:val="20"/>
                <w:szCs w:val="20"/>
                <w:color w:val="auto"/>
              </w:rPr>
            </w:pPr>
            <w:r>
              <w:rPr>
                <w:rFonts w:ascii="Arial" w:cs="Arial" w:eastAsia="Arial" w:hAnsi="Arial"/>
                <w:sz w:val="18"/>
                <w:szCs w:val="18"/>
                <w:color w:val="auto"/>
              </w:rPr>
              <w:t>F-36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 transactions and other shareholder matters</w:t>
      </w:r>
    </w:p>
    <w:p>
      <w:pPr>
        <w:spacing w:after="0" w:line="283"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party transactions</w:t>
      </w:r>
    </w:p>
    <w:p>
      <w:pPr>
        <w:spacing w:after="0" w:line="2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Company and they therefore comprise key management personnel as defined by IAS 24, ("Related Party Disclosures").</w:t>
      </w:r>
    </w:p>
    <w:p>
      <w:pPr>
        <w:spacing w:after="0" w:line="232" w:lineRule="exact"/>
        <w:rPr>
          <w:sz w:val="20"/>
          <w:szCs w:val="20"/>
          <w:color w:val="auto"/>
        </w:rPr>
      </w:pPr>
    </w:p>
    <w:p>
      <w:pPr>
        <w:ind w:left="400" w:hanging="392"/>
        <w:spacing w:after="0"/>
        <w:tabs>
          <w:tab w:leader="none" w:pos="40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Other shareholder matters</w:t>
      </w:r>
    </w:p>
    <w:p>
      <w:pPr>
        <w:spacing w:after="0" w:line="2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has entered into the following arrangements with parties who are significant shareholders of the Company, though they are not classed as related parties.</w:t>
      </w:r>
    </w:p>
    <w:p>
      <w:pPr>
        <w:spacing w:after="0" w:line="2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entered into relationship agreements with Vivo Capital Fund VIII ("Vivo Capital"), Orbimed Private Investments VI L.P. ("Orbimed"), Abingworth Bioventures VI L.P. ("Abingworth"), and Arix Bioscience plc ("Arix") and Arthurian Life Sciences SPV GP Limited, ("Arthurian"). As agreed in these relationship agreements, the above parties invested in the Company as part of the July 2016 Placement, and the Company agreed to appoint representatives designated by Vivo Capital, OrbiMed, Abingworth, and Arix and Arthurian, to the board of directors, who are Dr. Mahendra Shah, Mr. Rishi Gupta, Dr. Andrew Sinclair and Dr. Ken Cunningham respectively.</w:t>
      </w: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appointment rights within the relationship agreement with Arix and Arthurian terminated on closing of the Global Offering on April 26, 2017; Dr Cunningham has agreed to continue to serve on the Company's board of directors as an independent director. The respective appointment rights under the remaining relationship agreements will automatically terminate upon (i) Vivo Capital, OrbiMed or Abingworth (or any of their associates), as applicable, ceasing to beneficially hold 6.5% of the issued ordinary shares, or (ii) the ordinary shares ceasing to be admitted to AIM.</w:t>
      </w:r>
    </w:p>
    <w:p>
      <w:pPr>
        <w:spacing w:after="0" w:line="26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also entered into a management rights agreement with Novo A/S under which Novo A/S was entitled to appoint an observer to the Board; the appointment rights within the management rights agreement terminated on closing of the Global Offering on April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140" w:right="279" w:bottom="1440"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89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10103485</wp:posOffset>
            </wp:positionV>
            <wp:extent cx="665924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924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98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924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10103485</wp:posOffset>
            </wp:positionV>
            <wp:extent cx="665924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924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89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0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5924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10103485</wp:posOffset>
            </wp:positionV>
            <wp:extent cx="665924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5924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89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10095230</wp:posOffset>
            </wp:positionV>
            <wp:extent cx="665924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924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986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158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5924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15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5924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158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5924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158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5924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89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986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89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986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986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98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5924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986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363855</wp:posOffset>
            </wp:positionV>
            <wp:extent cx="6659245" cy="9598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5924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6069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606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5924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897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517525</wp:posOffset>
            </wp:positionV>
            <wp:extent cx="6659245" cy="95897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518160</wp:posOffset>
            </wp:positionV>
            <wp:extent cx="6659245" cy="9589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6412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67500" cy="964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329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67500" cy="9632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80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67500" cy="958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618490</wp:posOffset>
            </wp:positionH>
            <wp:positionV relativeFrom="page">
              <wp:posOffset>363220</wp:posOffset>
            </wp:positionV>
            <wp:extent cx="6470015" cy="9315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0015" cy="9315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98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5924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9" w:name="page310"/>
    <w:bookmarkEnd w:id="3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980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5924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1" w:name="page312"/>
    <w:bookmarkEnd w:id="3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89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3" w:name="page314"/>
    <w:bookmarkEnd w:id="3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363220</wp:posOffset>
            </wp:positionV>
            <wp:extent cx="6659245" cy="9589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5924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89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lowerRoman"/>
      <w:start w:val="2"/>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lowerRoman"/>
      <w:start w:val="2"/>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upperLetter"/>
      <w:start w:val="1"/>
    </w:lvl>
    <w:lvl w:ilvl="1">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3"/>
    </w:lvl>
    <w:lvl w:ilvl="1">
      <w:lvlJc w:val="left"/>
      <w:lvlText w:val="(%2)"/>
      <w:numFmt w:val="lowerLetter"/>
      <w:start w:val="2"/>
    </w:lvl>
  </w:abstractNum>
  <w:abstractNum w:abstractNumId="64">
    <w:nsid w:val="94211F2"/>
    <w:multiLevelType w:val="hybridMultilevel"/>
    <w:lvl w:ilvl="0">
      <w:lvlJc w:val="left"/>
      <w:lvlText w:val="%1"/>
      <w:numFmt w:val="decimal"/>
      <w:start w:val="1"/>
    </w:lvl>
    <w:lvl w:ilvl="1">
      <w:lvlJc w:val="left"/>
      <w:lvlText w:val="(%2)"/>
      <w:numFmt w:val="lowerLetter"/>
      <w:start w:val="3"/>
    </w:lvl>
  </w:abstractNum>
  <w:abstractNum w:abstractNumId="65">
    <w:nsid w:val="885E1B"/>
    <w:multiLevelType w:val="hybridMultilevel"/>
    <w:lvl w:ilvl="0">
      <w:lvlJc w:val="left"/>
      <w:lvlText w:val="(%1)"/>
      <w:numFmt w:val="decimal"/>
      <w:start w:val="5"/>
    </w:lvl>
  </w:abstractNum>
  <w:abstractNum w:abstractNumId="66">
    <w:nsid w:val="76272110"/>
    <w:multiLevelType w:val="hybridMultilevel"/>
    <w:lvl w:ilvl="0">
      <w:lvlJc w:val="left"/>
      <w:lvlText w:val="(%1)"/>
      <w:numFmt w:val="decimal"/>
      <w:start w:val="12"/>
    </w:lvl>
  </w:abstractNum>
  <w:abstractNum w:abstractNumId="67">
    <w:nsid w:val="4C04A8AF"/>
    <w:multiLevelType w:val="hybridMultilevel"/>
    <w:lvl w:ilvl="0">
      <w:lvlJc w:val="left"/>
      <w:lvlText w:val="%1."/>
      <w:numFmt w:val="upperLetter"/>
      <w:start w:val="5"/>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upperLetter"/>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lowerLetter"/>
      <w:start w:val="2"/>
    </w:lvl>
  </w:abstractNum>
  <w:abstractNum w:abstractNumId="80">
    <w:nsid w:val="60EF0119"/>
    <w:multiLevelType w:val="hybridMultilevel"/>
    <w:lvl w:ilvl="0">
      <w:lvlJc w:val="left"/>
      <w:lvlText w:val="(%1)"/>
      <w:numFmt w:val="lowerLetter"/>
      <w:start w:val="3"/>
    </w:lvl>
  </w:abstractNum>
  <w:abstractNum w:abstractNumId="81">
    <w:nsid w:val="26F324BA"/>
    <w:multiLevelType w:val="hybridMultilevel"/>
    <w:lvl w:ilvl="0">
      <w:lvlJc w:val="left"/>
      <w:lvlText w:val="(%1)"/>
      <w:numFmt w:val="lowerLetter"/>
      <w:start w:val="4"/>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1)"/>
      <w:numFmt w:val="lowerLetter"/>
      <w:start w:val="2"/>
    </w:lvl>
  </w:abstractNum>
  <w:abstractNum w:abstractNumId="84">
    <w:nsid w:val="7055A5F5"/>
    <w:multiLevelType w:val="hybridMultilevel"/>
    <w:lvl w:ilvl="0">
      <w:lvlJc w:val="left"/>
      <w:lvlText w:val="(%1)"/>
      <w:numFmt w:val="lowerRoman"/>
      <w:start w:val="2"/>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2"/>
    </w:lvl>
  </w:abstractNum>
  <w:abstractNum w:abstractNumId="87">
    <w:nsid w:val="488AC1A"/>
    <w:multiLevelType w:val="hybridMultilevel"/>
    <w:lvl w:ilvl="0">
      <w:lvlJc w:val="left"/>
      <w:lvlText w:val="(%1)"/>
      <w:numFmt w:val="lowerLetter"/>
      <w:start w:val="3"/>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decimal"/>
      <w:start w:val="3"/>
    </w:lvl>
  </w:abstractNum>
  <w:abstractNum w:abstractNumId="91">
    <w:nsid w:val="6FC75AF8"/>
    <w:multiLevelType w:val="hybridMultilevel"/>
    <w:lvl w:ilvl="0">
      <w:lvlJc w:val="left"/>
      <w:lvlText w:val="(%1)"/>
      <w:numFmt w:val="lowerLetter"/>
      <w:start w:val="1"/>
    </w:lvl>
  </w:abstractNum>
  <w:abstractNum w:abstractNumId="92">
    <w:nsid w:val="6A5F7029"/>
    <w:multiLevelType w:val="hybridMultilevel"/>
    <w:lvl w:ilvl="0">
      <w:lvlJc w:val="left"/>
      <w:lvlText w:val="(%1)"/>
      <w:numFmt w:val="lowerLetter"/>
      <w:start w:val="2"/>
    </w:lvl>
  </w:abstractNum>
  <w:abstractNum w:abstractNumId="93">
    <w:nsid w:val="7D5E18F8"/>
    <w:multiLevelType w:val="hybridMultilevel"/>
    <w:lvl w:ilvl="0">
      <w:lvlJc w:val="left"/>
      <w:lvlText w:val="(%1)"/>
      <w:numFmt w:val="lowerLetter"/>
      <w:start w:val="3"/>
    </w:lvl>
  </w:abstractNum>
  <w:abstractNum w:abstractNumId="94">
    <w:nsid w:val="5F3534A4"/>
    <w:multiLevelType w:val="hybridMultilevel"/>
    <w:lvl w:ilvl="0">
      <w:lvlJc w:val="left"/>
      <w:lvlText w:val="(%1)"/>
      <w:numFmt w:val="lowerLetter"/>
      <w:start w:val="4"/>
    </w:lvl>
  </w:abstractNum>
  <w:abstractNum w:abstractNumId="95">
    <w:nsid w:val="73A1821B"/>
    <w:multiLevelType w:val="hybridMultilevel"/>
    <w:lvl w:ilvl="0">
      <w:lvlJc w:val="left"/>
      <w:lvlText w:val="(%1)"/>
      <w:numFmt w:val="lowerLetter"/>
      <w:start w:val="5"/>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1)"/>
      <w:numFmt w:val="lowerLetter"/>
      <w:start w:val="2"/>
    </w:lvl>
  </w:abstractNum>
  <w:abstractNum w:abstractNumId="102">
    <w:nsid w:val="9DAF632"/>
    <w:multiLevelType w:val="hybridMultilevel"/>
    <w:lvl w:ilvl="0">
      <w:lvlJc w:val="left"/>
      <w:lvlText w:val="(%1)"/>
      <w:numFmt w:val="lowerLetter"/>
      <w:start w:val="3"/>
    </w:lvl>
  </w:abstractNum>
  <w:abstractNum w:abstractNumId="103">
    <w:nsid w:val="53299938"/>
    <w:multiLevelType w:val="hybridMultilevel"/>
    <w:lvl w:ilvl="0">
      <w:lvlJc w:val="left"/>
      <w:lvlText w:val="(%1)"/>
      <w:numFmt w:val="lowerLetter"/>
      <w:start w:val="4"/>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lowerRoman"/>
      <w:start w:val="1"/>
    </w:lvl>
  </w:abstractNum>
  <w:abstractNum w:abstractNumId="106">
    <w:nsid w:val="1D545C4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2019-12-08T14:22:29Z</dcterms:created>
  <dcterms:modified xsi:type="dcterms:W3CDTF">2019-12-08T14:22:29Z</dcterms:modified>
</cp:coreProperties>
</file>