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974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745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Fisher Andrew</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28"/>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14"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37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w w:val="89"/>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86"/>
              </w:rPr>
              <w:t>X0</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2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(1)</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20,888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427,487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(1)</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9,584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jc w:val="center"/>
              <w:ind w:right="201"/>
              <w:spacing w:after="0"/>
              <w:rPr>
                <w:sz w:val="20"/>
                <w:szCs w:val="20"/>
                <w:color w:val="auto"/>
              </w:rPr>
            </w:pPr>
            <w:r>
              <w:rPr>
                <w:rFonts w:ascii="Times New Roman" w:cs="Times New Roman" w:eastAsia="Times New Roman" w:hAnsi="Times New Roman"/>
                <w:sz w:val="17"/>
                <w:szCs w:val="17"/>
                <w:color w:val="0000FF"/>
              </w:rPr>
              <w:t>417,903</w:t>
            </w:r>
            <w:r>
              <w:rPr>
                <w:rFonts w:ascii="Times New Roman" w:cs="Times New Roman" w:eastAsia="Times New Roman" w:hAnsi="Times New Roman"/>
                <w:sz w:val="21"/>
                <w:szCs w:val="21"/>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7"/>
                <w:szCs w:val="17"/>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20,888</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20,888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146,168</w:t>
            </w:r>
          </w:p>
        </w:tc>
        <w:tc>
          <w:tcPr>
            <w:tcW w:w="26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gridSpan w:val="2"/>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represents a mandatory "sell-to-cover" transaction for the purpose of satisfying the reporting person's tax withholding obligation upon the vesting of the restricted stock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 Ordinary Shares underlying Restricted Share Units, each of which represents a contingent right to receive one (1) Ordinary Share of the Issuer (which are represented by 37,500 ADSs), (ii) 117,896 Ordinary Shares underlying 14,737 ADSs, and (iii) 7 Ordinary Shares.</w:t>
      </w:r>
    </w:p>
    <w:p>
      <w:pPr>
        <w:spacing w:after="0" w:line="17"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performance-based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earned upon the determination by the Board of Directors of the Issuer (the "Determination Date") that certain performance metrics related to Q1 2025 had been achieved. The RSUs vested as to 34% of the total shares on the Determination Date, and vest as to the remainder of the shares in equal quarterly installments over a two year period on each of August 1, November 1, February 1 and May 1, subject to the Reporting Person's continued service to the Issuer on each vesting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Andrew Fisher</w:t>
            </w:r>
          </w:p>
        </w:tc>
        <w:tc>
          <w:tcPr>
            <w:tcW w:w="10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08/05/2025</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301"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2025-08-05T19:33:56Z</dcterms:created>
  <dcterms:modified xsi:type="dcterms:W3CDTF">2025-08-05T19:33:56Z</dcterms:modified>
</cp:coreProperties>
</file>