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Poll Claire</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2,762,639</w:t>
            </w:r>
            <w:r>
              <w:rPr>
                <w:rFonts w:ascii="Times New Roman" w:cs="Times New Roman" w:eastAsia="Times New Roman" w:hAnsi="Times New Roman"/>
                <w:sz w:val="25"/>
                <w:szCs w:val="25"/>
                <w:color w:val="008000"/>
                <w:vertAlign w:val="superscript"/>
              </w:rPr>
              <w:t>(1)(2)</w:t>
            </w:r>
          </w:p>
        </w:tc>
        <w:tc>
          <w:tcPr>
            <w:tcW w:w="1020" w:type="dxa"/>
            <w:vAlign w:val="bottom"/>
            <w:tcBorders>
              <w:bottom w:val="single" w:sz="8" w:color="2C2C2C"/>
            </w:tcBorders>
          </w:tcPr>
          <w:p>
            <w:pPr>
              <w:jc w:val="center"/>
              <w:ind w:left="747"/>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208"/>
              <w:spacing w:after="0"/>
              <w:rPr>
                <w:sz w:val="20"/>
                <w:szCs w:val="20"/>
                <w:color w:val="auto"/>
              </w:rPr>
            </w:pPr>
            <w:r>
              <w:rPr>
                <w:rFonts w:ascii="Times New Roman" w:cs="Times New Roman" w:eastAsia="Times New Roman" w:hAnsi="Times New Roman"/>
                <w:sz w:val="20"/>
                <w:szCs w:val="20"/>
                <w:color w:val="0000FF"/>
              </w:rPr>
              <w:t>123,440</w:t>
            </w:r>
            <w:r>
              <w:rPr>
                <w:rFonts w:ascii="Times New Roman" w:cs="Times New Roman" w:eastAsia="Times New Roman" w:hAnsi="Times New Roman"/>
                <w:sz w:val="25"/>
                <w:szCs w:val="25"/>
                <w:color w:val="008000"/>
                <w:vertAlign w:val="superscript"/>
              </w:rPr>
              <w:t>(2)</w:t>
            </w:r>
          </w:p>
        </w:tc>
        <w:tc>
          <w:tcPr>
            <w:tcW w:w="1020" w:type="dxa"/>
            <w:vAlign w:val="bottom"/>
            <w:tcBorders>
              <w:bottom w:val="single" w:sz="8" w:color="2C2C2C"/>
            </w:tcBorders>
          </w:tcPr>
          <w:p>
            <w:pPr>
              <w:jc w:val="center"/>
              <w:ind w:left="747"/>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By Trust</w:t>
            </w:r>
            <w:r>
              <w:rPr>
                <w:rFonts w:ascii="Times New Roman" w:cs="Times New Roman" w:eastAsia="Times New Roman" w:hAnsi="Times New Roman"/>
                <w:sz w:val="25"/>
                <w:szCs w:val="25"/>
                <w:color w:val="008000"/>
                <w:vertAlign w:val="superscript"/>
              </w:rPr>
              <w:t>(3)</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540" w:type="dxa"/>
            <w:vAlign w:val="bottom"/>
            <w:tcBorders>
              <w:top w:val="single" w:sz="8" w:color="2C2C2C"/>
            </w:tcBorders>
            <w:gridSpan w:val="5"/>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04/15/2023</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20"/>
                <w:szCs w:val="20"/>
                <w:color w:val="0000FF"/>
                <w:w w:val="91"/>
              </w:rPr>
              <w:t>20,000</w:t>
            </w:r>
            <w:r>
              <w:rPr>
                <w:rFonts w:ascii="Times New Roman" w:cs="Times New Roman" w:eastAsia="Times New Roman" w:hAnsi="Times New Roman"/>
                <w:sz w:val="25"/>
                <w:szCs w:val="25"/>
                <w:color w:val="008000"/>
                <w:w w:val="91"/>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3.06</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07/29/2023</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20"/>
                <w:szCs w:val="20"/>
                <w:color w:val="0000FF"/>
                <w:w w:val="91"/>
              </w:rPr>
              <w:t>30,000</w:t>
            </w:r>
            <w:r>
              <w:rPr>
                <w:rFonts w:ascii="Times New Roman" w:cs="Times New Roman" w:eastAsia="Times New Roman" w:hAnsi="Times New Roman"/>
                <w:sz w:val="25"/>
                <w:szCs w:val="25"/>
                <w:color w:val="008000"/>
                <w:w w:val="91"/>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3.07</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05/15/2024</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20"/>
                <w:szCs w:val="20"/>
                <w:color w:val="0000FF"/>
                <w:w w:val="91"/>
              </w:rPr>
              <w:t>25,000</w:t>
            </w:r>
            <w:r>
              <w:rPr>
                <w:rFonts w:ascii="Times New Roman" w:cs="Times New Roman" w:eastAsia="Times New Roman" w:hAnsi="Times New Roman"/>
                <w:sz w:val="25"/>
                <w:szCs w:val="25"/>
                <w:color w:val="008000"/>
                <w:w w:val="91"/>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2.94</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09/13/2026</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200,000</w:t>
            </w:r>
            <w:r>
              <w:rPr>
                <w:rFonts w:ascii="Times New Roman" w:cs="Times New Roman" w:eastAsia="Times New Roman" w:hAnsi="Times New Roman"/>
                <w:sz w:val="25"/>
                <w:szCs w:val="25"/>
                <w:color w:val="008000"/>
                <w:w w:val="92"/>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2.49</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04/26/2027</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487,352</w:t>
            </w:r>
            <w:r>
              <w:rPr>
                <w:rFonts w:ascii="Times New Roman" w:cs="Times New Roman" w:eastAsia="Times New Roman" w:hAnsi="Times New Roman"/>
                <w:sz w:val="25"/>
                <w:szCs w:val="25"/>
                <w:color w:val="008000"/>
                <w:w w:val="92"/>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5"/>
              </w:rPr>
              <w:t>1.7</w:t>
            </w:r>
            <w:r>
              <w:rPr>
                <w:rFonts w:ascii="Times New Roman" w:cs="Times New Roman" w:eastAsia="Times New Roman" w:hAnsi="Times New Roman"/>
                <w:sz w:val="25"/>
                <w:szCs w:val="25"/>
                <w:color w:val="008000"/>
                <w:w w:val="85"/>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03/08/2028</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217,192</w:t>
            </w:r>
            <w:r>
              <w:rPr>
                <w:rFonts w:ascii="Times New Roman" w:cs="Times New Roman" w:eastAsia="Times New Roman" w:hAnsi="Times New Roman"/>
                <w:sz w:val="25"/>
                <w:szCs w:val="25"/>
                <w:color w:val="008000"/>
                <w:w w:val="92"/>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2.02</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03/29/2029</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256,736</w:t>
            </w:r>
            <w:r>
              <w:rPr>
                <w:rFonts w:ascii="Times New Roman" w:cs="Times New Roman" w:eastAsia="Times New Roman" w:hAnsi="Times New Roman"/>
                <w:sz w:val="25"/>
                <w:szCs w:val="25"/>
                <w:color w:val="008000"/>
                <w:w w:val="92"/>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0.75</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w w:val="92"/>
              </w:rPr>
              <w:t>(9)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03/03/2030</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100,000</w:t>
            </w:r>
            <w:r>
              <w:rPr>
                <w:rFonts w:ascii="Times New Roman" w:cs="Times New Roman" w:eastAsia="Times New Roman" w:hAnsi="Times New Roman"/>
                <w:sz w:val="25"/>
                <w:szCs w:val="25"/>
                <w:color w:val="008000"/>
                <w:w w:val="92"/>
                <w:vertAlign w:val="superscript"/>
              </w:rPr>
              <w:t>(5)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0.71</w:t>
            </w:r>
            <w:r>
              <w:rPr>
                <w:rFonts w:ascii="Times New Roman" w:cs="Times New Roman" w:eastAsia="Times New Roman" w:hAnsi="Times New Roman"/>
                <w:sz w:val="25"/>
                <w:szCs w:val="25"/>
                <w:color w:val="008000"/>
                <w:w w:val="88"/>
                <w:vertAlign w:val="superscript"/>
              </w:rPr>
              <w:t>(5)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rPr>
              <w:t>(10)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04/26/2027</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86,272</w:t>
            </w:r>
            <w:r>
              <w:rPr>
                <w:rFonts w:ascii="Times New Roman" w:cs="Times New Roman" w:eastAsia="Times New Roman" w:hAnsi="Times New Roman"/>
                <w:sz w:val="25"/>
                <w:szCs w:val="25"/>
                <w:color w:val="008000"/>
                <w:w w:val="89"/>
                <w:vertAlign w:val="superscript"/>
              </w:rPr>
              <w:t>(10)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rPr>
              <w:t>(10)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03/08/2028</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34,248</w:t>
            </w:r>
            <w:r>
              <w:rPr>
                <w:rFonts w:ascii="Times New Roman" w:cs="Times New Roman" w:eastAsia="Times New Roman" w:hAnsi="Times New Roman"/>
                <w:sz w:val="25"/>
                <w:szCs w:val="25"/>
                <w:color w:val="008000"/>
                <w:w w:val="89"/>
                <w:vertAlign w:val="superscript"/>
              </w:rPr>
              <w:t>(10)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tcBorders>
              <w:bottom w:val="single" w:sz="8" w:color="2C2C2C"/>
            </w:tcBorders>
            <w:gridSpan w:val="2"/>
          </w:tcPr>
          <w:p>
            <w:pPr>
              <w:jc w:val="center"/>
              <w:ind w:left="175"/>
              <w:spacing w:after="0"/>
              <w:rPr>
                <w:sz w:val="20"/>
                <w:szCs w:val="20"/>
                <w:color w:val="auto"/>
              </w:rPr>
            </w:pPr>
            <w:r>
              <w:rPr>
                <w:rFonts w:ascii="Times New Roman" w:cs="Times New Roman" w:eastAsia="Times New Roman" w:hAnsi="Times New Roman"/>
                <w:sz w:val="13"/>
                <w:szCs w:val="13"/>
                <w:color w:val="008000"/>
              </w:rPr>
              <w:t>(10)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03/29/2029</w:t>
            </w:r>
          </w:p>
        </w:tc>
        <w:tc>
          <w:tcPr>
            <w:tcW w:w="1660" w:type="dxa"/>
            <w:vAlign w:val="bottom"/>
            <w:tcBorders>
              <w:bottom w:val="single" w:sz="8" w:color="2C2C2C"/>
            </w:tcBorders>
          </w:tcPr>
          <w:p>
            <w:pPr>
              <w:jc w:val="right"/>
              <w:ind w:right="68"/>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66,608</w:t>
            </w:r>
            <w:r>
              <w:rPr>
                <w:rFonts w:ascii="Times New Roman" w:cs="Times New Roman" w:eastAsia="Times New Roman" w:hAnsi="Times New Roman"/>
                <w:sz w:val="25"/>
                <w:szCs w:val="25"/>
                <w:color w:val="008000"/>
                <w:w w:val="89"/>
                <w:vertAlign w:val="superscript"/>
              </w:rPr>
              <w:t>(10)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-4094480</wp:posOffset>
            </wp:positionV>
            <wp:extent cx="6946900" cy="3945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945255"/>
                    </a:xfrm>
                    <a:prstGeom prst="rect">
                      <a:avLst/>
                    </a:prstGeom>
                    <a:noFill/>
                  </pic:spPr>
                </pic:pic>
              </a:graphicData>
            </a:graphic>
          </wp:anchor>
        </w:drawing>
      </w: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2,720,000 Ordinary Shares underlying Restricted Share Units, each of which represents a contingent right to receive one (1) Ordinary Share of the Issuer (which may be represented by 340,000 American Depositary Shares ("ADSs")); (ii) 42,632 Ordinary Shares underlying 5,329 ADSs; and (iii) 7 Ordinary Shares.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Reported securities are represented by ADSs (unless otherwise indicated), each of which represents 8 Ordinary Shares of the Issuer.</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by a family trust of which (a) the Reporting Person and spouse are trustees and (b) the Reporting Person and members of her immediate family are the sole beneficiaries of the trust.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 and exercisable.</w:t>
      </w:r>
    </w:p>
    <w:p>
      <w:pPr>
        <w:spacing w:after="0" w:line="52" w:lineRule="exact"/>
        <w:rPr>
          <w:rFonts w:ascii="Times New Roman" w:cs="Times New Roman" w:eastAsia="Times New Roman" w:hAnsi="Times New Roman"/>
          <w:sz w:val="15"/>
          <w:szCs w:val="15"/>
          <w:color w:val="008000"/>
        </w:rPr>
      </w:pPr>
    </w:p>
    <w:p>
      <w:pPr>
        <w:ind w:left="40" w:right="6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securities underlying the option and the exercise price therefor are listed in terms of Ordinary Shares in columns 3 and 4, however, each security may be represented by ADSs, each of which represents eight (8) Ordinary Shares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 except with respect to 60,448 underlying Ordinary Shares, which will vest in full on April 26, 2021.</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 as to approximately 58.4% of the underlying Ordinary Shares. The remainder of the option vests and becomes exercisable as to approximately 29.2% of the underlying Ordinary Shares on March 8, 2021, and as to approximately 12.4% of the underlying Ordinary Shares on March 8, 2022.</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 as to approximately 29.2% of the underlying Ordinary Shares. The remainder of the option vests and becomes exercisable as to approximately 29.2%</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of the underlying Ordinary Shares on each of March 31, 2021 and March 31, 2022, and as to approximately 12.4% of the underlying Ordinary Shares on March 31, 2023.</w:t>
      </w:r>
    </w:p>
    <w:p>
      <w:pPr>
        <w:spacing w:after="0" w:line="53" w:lineRule="exact"/>
        <w:rPr>
          <w:sz w:val="20"/>
          <w:szCs w:val="20"/>
          <w:color w:val="auto"/>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and becomes exercisable as to 25% on March 3, 2021 and in 12 equal quarterly installments thereafter.</w:t>
      </w:r>
    </w:p>
    <w:p>
      <w:pPr>
        <w:spacing w:after="0" w:line="52" w:lineRule="exact"/>
        <w:rPr>
          <w:rFonts w:ascii="Times New Roman" w:cs="Times New Roman" w:eastAsia="Times New Roman" w:hAnsi="Times New Roman"/>
          <w:sz w:val="15"/>
          <w:szCs w:val="15"/>
          <w:color w:val="008000"/>
        </w:rPr>
      </w:pPr>
    </w:p>
    <w:p>
      <w:pPr>
        <w:ind w:right="40" w:firstLine="5"/>
        <w:spacing w:after="0" w:line="259"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one (1) Ordinary Share of the Issuer (which may be represented by ADSs, each of which represents eight (8) Ordinary Shares of the Issuer) subject to certain time- and performance-based vesting criteria.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Claire Poll</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780" w:hanging="10"/>
        <w:spacing w:after="0" w:line="261" w:lineRule="auto"/>
        <w:tabs>
          <w:tab w:leader="none" w:pos="136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48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21st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-145415</wp:posOffset>
            </wp:positionV>
            <wp:extent cx="29159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Claire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915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3" w:name="page4"/>
    <w:bookmarkEnd w:id="3"/>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36820"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2021-01-04T19:42:41Z</dcterms:created>
  <dcterms:modified xsi:type="dcterms:W3CDTF">2021-01-04T19:42:41Z</dcterms:modified>
</cp:coreProperties>
</file>