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0"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March 7, 2023</w:t>
      </w:r>
    </w:p>
    <w:p>
      <w:pPr>
        <w:spacing w:after="0" w:line="3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            ​</w:t>
      </w:r>
    </w:p>
    <w:p>
      <w:pPr>
        <w:spacing w:after="0" w:line="5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80"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459"/>
        <w:spacing w:after="0" w:line="221"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75565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Form S-3</w:t>
      </w:r>
    </w:p>
    <w:p>
      <w:pPr>
        <w:jc w:val="center"/>
        <w:ind w:right="-419"/>
        <w:spacing w:after="0" w:line="229" w:lineRule="auto"/>
        <w:rPr>
          <w:sz w:val="20"/>
          <w:szCs w:val="20"/>
          <w:color w:val="auto"/>
        </w:rPr>
      </w:pPr>
      <w:r>
        <w:rPr>
          <w:rFonts w:ascii="Times New Roman" w:cs="Times New Roman" w:eastAsia="Times New Roman" w:hAnsi="Times New Roman"/>
          <w:sz w:val="17"/>
          <w:szCs w:val="17"/>
          <w:b w:val="1"/>
          <w:bCs w:val="1"/>
          <w:color w:val="auto"/>
        </w:rPr>
        <w:t>REGISTRATION STATEMENT</w:t>
      </w:r>
    </w:p>
    <w:p>
      <w:pPr>
        <w:jc w:val="center"/>
        <w:ind w:right="-419"/>
        <w:spacing w:after="0" w:line="232" w:lineRule="auto"/>
        <w:rPr>
          <w:sz w:val="20"/>
          <w:szCs w:val="20"/>
          <w:color w:val="auto"/>
        </w:rPr>
      </w:pPr>
      <w:r>
        <w:rPr>
          <w:rFonts w:ascii="Times New Roman" w:cs="Times New Roman" w:eastAsia="Times New Roman" w:hAnsi="Times New Roman"/>
          <w:sz w:val="17"/>
          <w:szCs w:val="17"/>
          <w:b w:val="1"/>
          <w:bCs w:val="1"/>
          <w:color w:val="auto"/>
        </w:rPr>
        <w:t>UNDER</w:t>
      </w:r>
    </w:p>
    <w:p>
      <w:pPr>
        <w:ind w:left="4160"/>
        <w:spacing w:after="0"/>
        <w:rPr>
          <w:sz w:val="20"/>
          <w:szCs w:val="20"/>
          <w:color w:val="auto"/>
        </w:rPr>
      </w:pPr>
      <w:r>
        <w:rPr>
          <w:rFonts w:ascii="Times New Roman" w:cs="Times New Roman" w:eastAsia="Times New Roman" w:hAnsi="Times New Roman"/>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66675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p>
      <w:pPr>
        <w:spacing w:after="0" w:line="195" w:lineRule="exact"/>
        <w:rPr>
          <w:sz w:val="24"/>
          <w:szCs w:val="24"/>
          <w:color w:val="auto"/>
        </w:rPr>
      </w:pPr>
    </w:p>
    <w:tbl>
      <w:tblPr>
        <w:tblLayout w:type="fixed"/>
        <w:tblInd w:w="500" w:type="dxa"/>
        <w:tblCellMar>
          <w:top w:w="0" w:type="dxa"/>
          <w:left w:w="0" w:type="dxa"/>
          <w:bottom w:w="0" w:type="dxa"/>
          <w:right w:w="0" w:type="dxa"/>
        </w:tblCellMar>
      </w:tblPr>
      <w:tr>
        <w:trPr>
          <w:trHeight w:val="333"/>
        </w:trPr>
        <w:tc>
          <w:tcPr>
            <w:tcW w:w="9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300" w:type="dxa"/>
            <w:vAlign w:val="bottom"/>
            <w:gridSpan w:val="3"/>
          </w:tcPr>
          <w:p>
            <w:pPr>
              <w:jc w:val="center"/>
              <w:ind w:left="92"/>
              <w:spacing w:after="0"/>
              <w:rPr>
                <w:sz w:val="20"/>
                <w:szCs w:val="20"/>
                <w:color w:val="auto"/>
              </w:rPr>
            </w:pPr>
            <w:r>
              <w:rPr>
                <w:rFonts w:ascii="Times New Roman" w:cs="Times New Roman" w:eastAsia="Times New Roman" w:hAnsi="Times New Roman"/>
                <w:sz w:val="29"/>
                <w:szCs w:val="29"/>
                <w:b w:val="1"/>
                <w:bCs w:val="1"/>
                <w:color w:val="auto"/>
                <w:w w:val="94"/>
              </w:rPr>
              <w:t>Verona Pharma plc</w:t>
            </w: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300" w:type="dxa"/>
            <w:vAlign w:val="bottom"/>
            <w:gridSpan w:val="3"/>
          </w:tcPr>
          <w:p>
            <w:pPr>
              <w:jc w:val="center"/>
              <w:ind w:left="72"/>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104"/>
        </w:trPr>
        <w:tc>
          <w:tcPr>
            <w:tcW w:w="9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vMerge w:val="restart"/>
          </w:tcPr>
          <w:p>
            <w:pPr>
              <w:ind w:left="880"/>
              <w:spacing w:after="0"/>
              <w:rPr>
                <w:sz w:val="20"/>
                <w:szCs w:val="20"/>
                <w:color w:val="auto"/>
              </w:rPr>
            </w:pPr>
            <w:r>
              <w:rPr>
                <w:rFonts w:ascii="Times New Roman" w:cs="Times New Roman" w:eastAsia="Times New Roman" w:hAnsi="Times New Roman"/>
                <w:sz w:val="17"/>
                <w:szCs w:val="17"/>
                <w:b w:val="1"/>
                <w:bCs w:val="1"/>
                <w:color w:val="auto"/>
              </w:rPr>
              <w:t>United Kingdom</w:t>
            </w:r>
          </w:p>
        </w:tc>
        <w:tc>
          <w:tcPr>
            <w:tcW w:w="780" w:type="dxa"/>
            <w:vAlign w:val="bottom"/>
          </w:tcPr>
          <w:p>
            <w:pPr>
              <w:spacing w:after="0"/>
              <w:rPr>
                <w:sz w:val="20"/>
                <w:szCs w:val="20"/>
                <w:color w:val="auto"/>
              </w:rPr>
            </w:pPr>
          </w:p>
        </w:tc>
        <w:tc>
          <w:tcPr>
            <w:tcW w:w="25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89"/>
        </w:trPr>
        <w:tc>
          <w:tcPr>
            <w:tcW w:w="90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5"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color w:val="auto"/>
        </w:rPr>
        <w:t>incorporation or organization)</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00"/>
        <w:spacing w:after="0"/>
        <w:tabs>
          <w:tab w:leader="none" w:pos="3060" w:val="left"/>
        </w:tabs>
        <w:rPr>
          <w:sz w:val="20"/>
          <w:szCs w:val="20"/>
          <w:color w:val="auto"/>
        </w:rPr>
      </w:pPr>
      <w:r>
        <w:rPr>
          <w:rFonts w:ascii="Times New Roman" w:cs="Times New Roman" w:eastAsia="Times New Roman" w:hAnsi="Times New Roman"/>
          <w:sz w:val="17"/>
          <w:szCs w:val="17"/>
          <w:b w:val="1"/>
          <w:bCs w:val="1"/>
          <w:color w:val="auto"/>
        </w:rPr>
        <w:t>98-1489389</w:t>
      </w:r>
      <w:r>
        <w:rPr>
          <w:sz w:val="20"/>
          <w:szCs w:val="20"/>
          <w:color w:val="auto"/>
        </w:rPr>
        <w:tab/>
      </w:r>
      <w:r>
        <w:rPr>
          <w:rFonts w:ascii="Times New Roman" w:cs="Times New Roman" w:eastAsia="Times New Roman" w:hAnsi="Times New Roman"/>
          <w:sz w:val="29"/>
          <w:szCs w:val="29"/>
          <w:color w:val="auto"/>
          <w:vertAlign w:val="superscript"/>
        </w:rPr>
        <w:t>​</w:t>
      </w:r>
    </w:p>
    <w:p>
      <w:pPr>
        <w:ind w:left="160"/>
        <w:spacing w:after="0"/>
        <w:rPr>
          <w:sz w:val="20"/>
          <w:szCs w:val="20"/>
          <w:color w:val="auto"/>
        </w:rPr>
      </w:pPr>
      <w:r>
        <w:rPr>
          <w:rFonts w:ascii="Times New Roman" w:cs="Times New Roman" w:eastAsia="Times New Roman" w:hAnsi="Times New Roman"/>
          <w:sz w:val="14"/>
          <w:szCs w:val="14"/>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Identification Number)</w:t>
      </w:r>
    </w:p>
    <w:p>
      <w:pPr>
        <w:spacing w:after="0" w:line="76" w:lineRule="exact"/>
        <w:rPr>
          <w:sz w:val="24"/>
          <w:szCs w:val="24"/>
          <w:color w:val="auto"/>
        </w:rPr>
      </w:pPr>
    </w:p>
    <w:p>
      <w:pPr>
        <w:sectPr>
          <w:pgSz w:w="11900" w:h="16838" w:orient="portrait"/>
          <w:cols w:equalWidth="0" w:num="2">
            <w:col w:w="6920" w:space="220"/>
            <w:col w:w="3140"/>
          </w:cols>
          <w:pgMar w:left="580" w:top="205" w:right="1039" w:bottom="1440" w:gutter="0" w:footer="0" w:header="0"/>
          <w:type w:val="continuous"/>
        </w:sect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3 More London Riverside</w:t>
      </w:r>
    </w:p>
    <w:p>
      <w:pPr>
        <w:jc w:val="center"/>
        <w:ind w:right="-419"/>
        <w:spacing w:after="0" w:line="217" w:lineRule="auto"/>
        <w:rPr>
          <w:sz w:val="20"/>
          <w:szCs w:val="20"/>
          <w:color w:val="auto"/>
        </w:rPr>
      </w:pPr>
      <w:r>
        <w:rPr>
          <w:rFonts w:ascii="Times New Roman" w:cs="Times New Roman" w:eastAsia="Times New Roman" w:hAnsi="Times New Roman"/>
          <w:sz w:val="17"/>
          <w:szCs w:val="17"/>
          <w:b w:val="1"/>
          <w:bCs w:val="1"/>
          <w:color w:val="auto"/>
        </w:rPr>
        <w:t>London SE1 2RE</w:t>
      </w:r>
    </w:p>
    <w:p>
      <w:pPr>
        <w:jc w:val="center"/>
        <w:ind w:right="-419"/>
        <w:spacing w:after="0" w:line="232" w:lineRule="auto"/>
        <w:rPr>
          <w:sz w:val="20"/>
          <w:szCs w:val="20"/>
          <w:color w:val="auto"/>
        </w:rPr>
      </w:pPr>
      <w:r>
        <w:rPr>
          <w:rFonts w:ascii="Times New Roman" w:cs="Times New Roman" w:eastAsia="Times New Roman" w:hAnsi="Times New Roman"/>
          <w:sz w:val="17"/>
          <w:szCs w:val="17"/>
          <w:b w:val="1"/>
          <w:bCs w:val="1"/>
          <w:color w:val="auto"/>
        </w:rPr>
        <w:t>United Kingdom</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+44 203 283 4200</w:t>
      </w:r>
    </w:p>
    <w:p>
      <w:pPr>
        <w:spacing w:after="0" w:line="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Cogency Global Inc.</w:t>
      </w:r>
    </w:p>
    <w:p>
      <w:pPr>
        <w:jc w:val="center"/>
        <w:ind w:right="-419"/>
        <w:spacing w:after="0" w:line="234" w:lineRule="auto"/>
        <w:rPr>
          <w:sz w:val="20"/>
          <w:szCs w:val="20"/>
          <w:color w:val="auto"/>
        </w:rPr>
      </w:pPr>
      <w:r>
        <w:rPr>
          <w:rFonts w:ascii="Times New Roman" w:cs="Times New Roman" w:eastAsia="Times New Roman" w:hAnsi="Times New Roman"/>
          <w:sz w:val="17"/>
          <w:szCs w:val="17"/>
          <w:b w:val="1"/>
          <w:bCs w:val="1"/>
          <w:color w:val="auto"/>
        </w:rPr>
        <w:t>122 East 42nd Street, 18th floor</w:t>
      </w:r>
    </w:p>
    <w:p>
      <w:pPr>
        <w:ind w:left="4600"/>
        <w:spacing w:after="0" w:line="215" w:lineRule="auto"/>
        <w:rPr>
          <w:sz w:val="20"/>
          <w:szCs w:val="20"/>
          <w:color w:val="auto"/>
        </w:rPr>
      </w:pPr>
      <w:r>
        <w:rPr>
          <w:rFonts w:ascii="Times New Roman" w:cs="Times New Roman" w:eastAsia="Times New Roman" w:hAnsi="Times New Roman"/>
          <w:sz w:val="17"/>
          <w:szCs w:val="17"/>
          <w:b w:val="1"/>
          <w:bCs w:val="1"/>
          <w:color w:val="auto"/>
        </w:rPr>
        <w:t>New York, NY 10168</w:t>
      </w:r>
    </w:p>
    <w:p>
      <w:pPr>
        <w:spacing w:after="0" w:line="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+1 (800) 221-0102</w:t>
      </w:r>
    </w:p>
    <w:p>
      <w:pPr>
        <w:spacing w:after="0" w:line="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agent for service)</w:t>
      </w:r>
    </w:p>
    <w:p>
      <w:pPr>
        <w:spacing w:after="0" w:line="2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Copies to:</w:t>
      </w:r>
    </w:p>
    <w:p>
      <w:pPr>
        <w:spacing w:after="0" w:line="48"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Peter N. Handrinos</w:t>
      </w:r>
    </w:p>
    <w:p>
      <w:pPr>
        <w:ind w:left="4760"/>
        <w:spacing w:after="0" w:line="234" w:lineRule="auto"/>
        <w:rPr>
          <w:sz w:val="20"/>
          <w:szCs w:val="20"/>
          <w:color w:val="auto"/>
        </w:rPr>
      </w:pPr>
      <w:r>
        <w:rPr>
          <w:rFonts w:ascii="Times New Roman" w:cs="Times New Roman" w:eastAsia="Times New Roman" w:hAnsi="Times New Roman"/>
          <w:sz w:val="17"/>
          <w:szCs w:val="17"/>
          <w:b w:val="1"/>
          <w:bCs w:val="1"/>
          <w:color w:val="auto"/>
        </w:rPr>
        <w:t>Jennifer A. Yoon</w:t>
      </w:r>
    </w:p>
    <w:p>
      <w:pPr>
        <w:jc w:val="center"/>
        <w:ind w:right="-419"/>
        <w:spacing w:after="0" w:line="215" w:lineRule="auto"/>
        <w:rPr>
          <w:sz w:val="20"/>
          <w:szCs w:val="20"/>
          <w:color w:val="auto"/>
        </w:rPr>
      </w:pPr>
      <w:r>
        <w:rPr>
          <w:rFonts w:ascii="Times New Roman" w:cs="Times New Roman" w:eastAsia="Times New Roman" w:hAnsi="Times New Roman"/>
          <w:sz w:val="17"/>
          <w:szCs w:val="17"/>
          <w:b w:val="1"/>
          <w:bCs w:val="1"/>
          <w:color w:val="auto"/>
        </w:rPr>
        <w:t>Latham &amp; Watkins LLP</w:t>
      </w:r>
    </w:p>
    <w:p>
      <w:pPr>
        <w:jc w:val="center"/>
        <w:ind w:right="-419"/>
        <w:spacing w:after="0" w:line="233" w:lineRule="auto"/>
        <w:rPr>
          <w:sz w:val="20"/>
          <w:szCs w:val="20"/>
          <w:color w:val="auto"/>
        </w:rPr>
      </w:pPr>
      <w:r>
        <w:rPr>
          <w:rFonts w:ascii="Times New Roman" w:cs="Times New Roman" w:eastAsia="Times New Roman" w:hAnsi="Times New Roman"/>
          <w:sz w:val="17"/>
          <w:szCs w:val="17"/>
          <w:b w:val="1"/>
          <w:bCs w:val="1"/>
          <w:color w:val="auto"/>
        </w:rPr>
        <w:t>200 Clarendon Street</w:t>
      </w:r>
    </w:p>
    <w:p>
      <w:pPr>
        <w:ind w:left="4340"/>
        <w:spacing w:after="0" w:line="215" w:lineRule="auto"/>
        <w:rPr>
          <w:sz w:val="20"/>
          <w:szCs w:val="20"/>
          <w:color w:val="auto"/>
        </w:rPr>
      </w:pPr>
      <w:r>
        <w:rPr>
          <w:rFonts w:ascii="Times New Roman" w:cs="Times New Roman" w:eastAsia="Times New Roman" w:hAnsi="Times New Roman"/>
          <w:sz w:val="17"/>
          <w:szCs w:val="17"/>
          <w:b w:val="1"/>
          <w:bCs w:val="1"/>
          <w:color w:val="auto"/>
        </w:rPr>
        <w:t>Boston, Massachusetts 02116</w:t>
      </w:r>
    </w:p>
    <w:p>
      <w:pPr>
        <w:ind w:left="4740"/>
        <w:spacing w:after="0"/>
        <w:rPr>
          <w:sz w:val="20"/>
          <w:szCs w:val="20"/>
          <w:color w:val="auto"/>
        </w:rPr>
      </w:pPr>
      <w:r>
        <w:rPr>
          <w:rFonts w:ascii="Times New Roman" w:cs="Times New Roman" w:eastAsia="Times New Roman" w:hAnsi="Times New Roman"/>
          <w:sz w:val="17"/>
          <w:szCs w:val="17"/>
          <w:b w:val="1"/>
          <w:bCs w:val="1"/>
          <w:color w:val="auto"/>
        </w:rPr>
        <w:t>+1 (617) 948-6000</w:t>
      </w:r>
    </w:p>
    <w:p>
      <w:pPr>
        <w:spacing w:after="0" w:line="3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APPROXIMATE DATE OF COMMENCEMENT OF PROPOSED SALE TO THE PUBLIC:</w:t>
      </w:r>
    </w:p>
    <w:p>
      <w:pPr>
        <w:spacing w:after="0" w:line="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From time to time after the effective date of this registration statement.</w:t>
      </w:r>
    </w:p>
    <w:p>
      <w:pPr>
        <w:spacing w:after="0" w:line="16" w:lineRule="exact"/>
        <w:rPr>
          <w:sz w:val="24"/>
          <w:szCs w:val="24"/>
          <w:color w:val="auto"/>
        </w:rPr>
      </w:pPr>
    </w:p>
    <w:p>
      <w:pPr>
        <w:ind w:left="500" w:right="300" w:firstLine="360"/>
        <w:spacing w:after="0" w:line="208"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ind w:left="860"/>
        <w:spacing w:after="0"/>
        <w:rPr>
          <w:sz w:val="20"/>
          <w:szCs w:val="20"/>
          <w:color w:val="auto"/>
        </w:rPr>
      </w:pPr>
      <w:r>
        <w:rPr>
          <w:rFonts w:ascii="Times New Roman" w:cs="Times New Roman" w:eastAsia="Times New Roman" w:hAnsi="Times New Roman"/>
          <w:sz w:val="17"/>
          <w:szCs w:val="17"/>
          <w:color w:val="auto"/>
        </w:rPr>
        <w:t>If any of the securities being registered on this Form are to be offered on a delayed or continuous basis pursuant to Rule 415 under</w:t>
      </w:r>
    </w:p>
    <w:p>
      <w:pPr>
        <w:spacing w:after="0" w:line="1" w:lineRule="exact"/>
        <w:rPr>
          <w:sz w:val="24"/>
          <w:szCs w:val="24"/>
          <w:color w:val="auto"/>
        </w:rPr>
      </w:pPr>
    </w:p>
    <w:p>
      <w:pPr>
        <w:ind w:left="500" w:right="460"/>
        <w:spacing w:after="0" w:line="199" w:lineRule="exact"/>
        <w:rPr>
          <w:sz w:val="20"/>
          <w:szCs w:val="20"/>
          <w:color w:val="auto"/>
        </w:rPr>
      </w:pPr>
      <w:r>
        <w:rPr>
          <w:rFonts w:ascii="Times New Roman" w:cs="Times New Roman" w:eastAsia="Times New Roman" w:hAnsi="Times New Roman"/>
          <w:sz w:val="17"/>
          <w:szCs w:val="17"/>
          <w:color w:val="auto"/>
        </w:rPr>
        <w:t xml:space="preserve">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ind w:left="500" w:right="160" w:firstLine="360"/>
        <w:spacing w:after="0" w:line="224" w:lineRule="auto"/>
        <w:rPr>
          <w:sz w:val="20"/>
          <w:szCs w:val="20"/>
          <w:color w:val="auto"/>
        </w:rPr>
      </w:pPr>
      <w:r>
        <w:rPr>
          <w:rFonts w:ascii="Times New Roman" w:cs="Times New Roman" w:eastAsia="Times New Roman" w:hAnsi="Times New Roman"/>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w:t>
      </w:r>
    </w:p>
    <w:p>
      <w:pPr>
        <w:ind w:left="500"/>
        <w:spacing w:after="0" w:line="196" w:lineRule="exact"/>
        <w:tabs>
          <w:tab w:leader="none" w:pos="1240" w:val="left"/>
        </w:tabs>
        <w:rPr>
          <w:sz w:val="20"/>
          <w:szCs w:val="20"/>
          <w:color w:val="auto"/>
        </w:rPr>
      </w:pPr>
      <w:r>
        <w:rPr>
          <w:rFonts w:ascii="Times New Roman" w:cs="Times New Roman" w:eastAsia="Times New Roman" w:hAnsi="Times New Roman"/>
          <w:sz w:val="17"/>
          <w:szCs w:val="17"/>
          <w:color w:val="auto"/>
        </w:rPr>
        <w:t>offering.</w:t>
      </w:r>
      <w:r>
        <w:rPr>
          <w:sz w:val="20"/>
          <w:szCs w:val="20"/>
          <w:color w:val="auto"/>
        </w:rPr>
        <w:tab/>
      </w:r>
      <w:r>
        <w:rPr>
          <w:rFonts w:ascii="MS PGothic" w:cs="MS PGothic" w:eastAsia="MS PGothic" w:hAnsi="MS PGothic"/>
          <w:sz w:val="14"/>
          <w:szCs w:val="14"/>
          <w:color w:val="auto"/>
        </w:rPr>
        <w:t>☐</w:t>
      </w:r>
    </w:p>
    <w:p>
      <w:pPr>
        <w:spacing w:after="0" w:line="33" w:lineRule="exact"/>
        <w:rPr>
          <w:sz w:val="24"/>
          <w:szCs w:val="24"/>
          <w:color w:val="auto"/>
        </w:rPr>
      </w:pPr>
    </w:p>
    <w:p>
      <w:pPr>
        <w:ind w:left="500" w:right="80" w:firstLine="360"/>
        <w:spacing w:after="0" w:line="202"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ind w:left="500" w:right="600" w:firstLine="360"/>
        <w:spacing w:after="0" w:line="209"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ind w:left="500" w:right="220" w:firstLine="360"/>
        <w:spacing w:after="0" w:line="202"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ind w:left="500" w:right="500" w:firstLine="360"/>
        <w:spacing w:after="0" w:line="228"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w:t>
      </w:r>
    </w:p>
    <w:p>
      <w:pPr>
        <w:ind w:left="500"/>
        <w:spacing w:after="0"/>
        <w:rPr>
          <w:sz w:val="20"/>
          <w:szCs w:val="20"/>
          <w:color w:val="auto"/>
        </w:rPr>
      </w:pPr>
      <w:r>
        <w:rPr>
          <w:rFonts w:ascii="Times New Roman" w:cs="Times New Roman" w:eastAsia="Times New Roman" w:hAnsi="Times New Roman"/>
          <w:sz w:val="17"/>
          <w:szCs w:val="17"/>
          <w:color w:val="auto"/>
        </w:rPr>
        <w:t>reporting company,” and “emerging growth company” in Rule 12b-2 of the Exchange Act.</w:t>
      </w:r>
    </w:p>
    <w:p>
      <w:pPr>
        <w:spacing w:after="0" w:line="18" w:lineRule="exact"/>
        <w:rPr>
          <w:sz w:val="24"/>
          <w:szCs w:val="24"/>
          <w:color w:val="auto"/>
        </w:rPr>
      </w:pPr>
    </w:p>
    <w:tbl>
      <w:tblPr>
        <w:tblLayout w:type="fixed"/>
        <w:tblInd w:w="1000" w:type="dxa"/>
        <w:tblCellMar>
          <w:top w:w="0" w:type="dxa"/>
          <w:left w:w="0" w:type="dxa"/>
          <w:bottom w:w="0" w:type="dxa"/>
          <w:right w:w="0" w:type="dxa"/>
        </w:tblCellMar>
      </w:tblPr>
      <w:tr>
        <w:trPr>
          <w:trHeight w:val="195"/>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32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 ​</w:t>
            </w:r>
          </w:p>
        </w:tc>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Accelerated filer</w:t>
            </w:r>
          </w:p>
        </w:tc>
        <w:tc>
          <w:tcPr>
            <w:tcW w:w="1300" w:type="dxa"/>
            <w:vAlign w:val="bottom"/>
            <w:vMerge w:val="restart"/>
          </w:tcPr>
          <w:p>
            <w:pPr>
              <w:ind w:left="100"/>
              <w:spacing w:after="0" w:line="171" w:lineRule="exact"/>
              <w:rPr>
                <w:sz w:val="20"/>
                <w:szCs w:val="20"/>
                <w:color w:val="auto"/>
              </w:rPr>
            </w:pPr>
            <w:r>
              <w:rPr>
                <w:rFonts w:ascii="MS PGothic" w:cs="MS PGothic" w:eastAsia="MS PGothic" w:hAnsi="MS PGothic"/>
                <w:sz w:val="17"/>
                <w:szCs w:val="17"/>
                <w:color w:val="auto"/>
              </w:rPr>
              <w:t>☐</w:t>
            </w:r>
          </w:p>
        </w:tc>
        <w:tc>
          <w:tcPr>
            <w:tcW w:w="11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86"/>
        </w:trPr>
        <w:tc>
          <w:tcPr>
            <w:tcW w:w="1780" w:type="dxa"/>
            <w:vAlign w:val="bottom"/>
          </w:tcPr>
          <w:p>
            <w:pPr>
              <w:spacing w:after="0" w:line="86" w:lineRule="exact"/>
              <w:rPr>
                <w:sz w:val="20"/>
                <w:szCs w:val="20"/>
                <w:color w:val="auto"/>
              </w:rPr>
            </w:pPr>
            <w:r>
              <w:rPr>
                <w:rFonts w:ascii="Times New Roman" w:cs="Times New Roman" w:eastAsia="Times New Roman" w:hAnsi="Times New Roman"/>
                <w:sz w:val="9"/>
                <w:szCs w:val="9"/>
                <w:color w:val="auto"/>
              </w:rPr>
              <w:t>Large accelerated filer</w:t>
            </w:r>
          </w:p>
        </w:tc>
        <w:tc>
          <w:tcPr>
            <w:tcW w:w="146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w:t>
            </w:r>
          </w:p>
        </w:tc>
        <w:tc>
          <w:tcPr>
            <w:tcW w:w="146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320" w:type="dxa"/>
            <w:vAlign w:val="bottom"/>
          </w:tcPr>
          <w:p>
            <w:pPr>
              <w:ind w:left="1140"/>
              <w:spacing w:after="0" w:line="184" w:lineRule="exact"/>
              <w:rPr>
                <w:sz w:val="20"/>
                <w:szCs w:val="20"/>
                <w:color w:val="auto"/>
              </w:rPr>
            </w:pPr>
            <w:r>
              <w:rPr>
                <w:rFonts w:ascii="Times New Roman" w:cs="Times New Roman" w:eastAsia="Times New Roman" w:hAnsi="Times New Roman"/>
                <w:sz w:val="17"/>
                <w:szCs w:val="17"/>
                <w:color w:val="auto"/>
              </w:rPr>
              <w:t>​ ​</w:t>
            </w:r>
          </w:p>
        </w:tc>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300" w:type="dxa"/>
            <w:vAlign w:val="bottom"/>
            <w:vMerge w:val="restart"/>
          </w:tcPr>
          <w:p>
            <w:pPr>
              <w:ind w:left="100"/>
              <w:spacing w:after="0" w:line="171" w:lineRule="exact"/>
              <w:rPr>
                <w:sz w:val="20"/>
                <w:szCs w:val="20"/>
                <w:color w:val="auto"/>
              </w:rPr>
            </w:pPr>
            <w:r>
              <w:rPr>
                <w:rFonts w:ascii="MS PGothic" w:cs="MS PGothic" w:eastAsia="MS PGothic" w:hAnsi="MS PGothic"/>
                <w:sz w:val="17"/>
                <w:szCs w:val="17"/>
                <w:color w:val="auto"/>
              </w:rPr>
              <w:t>☒</w:t>
            </w:r>
          </w:p>
        </w:tc>
        <w:tc>
          <w:tcPr>
            <w:tcW w:w="1120" w:type="dxa"/>
            <w:vAlign w:val="bottom"/>
          </w:tcPr>
          <w:p>
            <w:pPr>
              <w:ind w:left="1040"/>
              <w:spacing w:after="0" w:line="184"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40"/>
              <w:spacing w:after="0" w:line="184" w:lineRule="exact"/>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73"/>
        </w:trPr>
        <w:tc>
          <w:tcPr>
            <w:tcW w:w="1780" w:type="dxa"/>
            <w:vAlign w:val="bottom"/>
          </w:tcPr>
          <w:p>
            <w:pPr>
              <w:spacing w:after="0" w:line="73" w:lineRule="exact"/>
              <w:rPr>
                <w:sz w:val="20"/>
                <w:szCs w:val="20"/>
                <w:color w:val="auto"/>
              </w:rPr>
            </w:pPr>
            <w:r>
              <w:rPr>
                <w:rFonts w:ascii="Times New Roman" w:cs="Times New Roman" w:eastAsia="Times New Roman" w:hAnsi="Times New Roman"/>
                <w:sz w:val="7"/>
                <w:szCs w:val="7"/>
                <w:color w:val="auto"/>
              </w:rPr>
              <w:t>Non-accelerated filer</w:t>
            </w:r>
          </w:p>
        </w:tc>
        <w:tc>
          <w:tcPr>
            <w:tcW w:w="146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3"/>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spacing w:after="0"/>
              <w:rPr>
                <w:sz w:val="24"/>
                <w:szCs w:val="24"/>
                <w:color w:val="auto"/>
              </w:rPr>
            </w:pPr>
          </w:p>
        </w:tc>
        <w:tc>
          <w:tcPr>
            <w:tcW w:w="3400" w:type="dxa"/>
            <w:vAlign w:val="bottom"/>
            <w:gridSpan w:val="2"/>
          </w:tcPr>
          <w:p>
            <w:pPr>
              <w:ind w:left="1140"/>
              <w:spacing w:after="0"/>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7"/>
                <w:szCs w:val="17"/>
                <w:color w:val="auto"/>
              </w:rPr>
              <w:t xml:space="preserve"> Emerging growth company</w:t>
            </w:r>
          </w:p>
        </w:tc>
        <w:tc>
          <w:tcPr>
            <w:tcW w:w="1300" w:type="dxa"/>
            <w:vAlign w:val="bottom"/>
          </w:tcPr>
          <w:p>
            <w:pPr>
              <w:ind w:left="100"/>
              <w:spacing w:after="0" w:line="171" w:lineRule="exact"/>
              <w:rPr>
                <w:sz w:val="20"/>
                <w:szCs w:val="20"/>
                <w:color w:val="auto"/>
              </w:rPr>
            </w:pPr>
            <w:r>
              <w:rPr>
                <w:rFonts w:ascii="MS PGothic" w:cs="MS PGothic" w:eastAsia="MS PGothic" w:hAnsi="MS PGothic"/>
                <w:sz w:val="17"/>
                <w:szCs w:val="17"/>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 ​ ​​</w:t>
            </w:r>
          </w:p>
        </w:tc>
        <w:tc>
          <w:tcPr>
            <w:tcW w:w="0" w:type="dxa"/>
            <w:vAlign w:val="bottom"/>
          </w:tcPr>
          <w:p>
            <w:pPr>
              <w:spacing w:after="0"/>
              <w:rPr>
                <w:sz w:val="1"/>
                <w:szCs w:val="1"/>
                <w:color w:val="auto"/>
              </w:rPr>
            </w:pPr>
          </w:p>
        </w:tc>
      </w:tr>
    </w:tbl>
    <w:p>
      <w:pPr>
        <w:ind w:left="500" w:right="220" w:firstLine="360"/>
        <w:spacing w:after="0" w:line="20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 with any new or revised financial accounting standards provided pursuant to Section 7(a)(2)(B) of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24765</wp:posOffset>
            </wp:positionV>
            <wp:extent cx="6189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registration statement contains:</w:t>
      </w:r>
    </w:p>
    <w:p>
      <w:pPr>
        <w:spacing w:after="0" w:line="117" w:lineRule="exact"/>
        <w:rPr>
          <w:sz w:val="20"/>
          <w:szCs w:val="20"/>
          <w:color w:val="auto"/>
        </w:rPr>
      </w:pPr>
    </w:p>
    <w:p>
      <w:pPr>
        <w:ind w:left="1980" w:right="739" w:hanging="360"/>
        <w:spacing w:after="0" w:line="282" w:lineRule="auto"/>
        <w:tabs>
          <w:tab w:leader="none" w:pos="1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offering, issuance and sale by us of the securities identified above from time to time in one or more offerings; and</w:t>
      </w:r>
    </w:p>
    <w:p>
      <w:pPr>
        <w:spacing w:after="0" w:line="53" w:lineRule="exact"/>
        <w:rPr>
          <w:rFonts w:ascii="Times New Roman" w:cs="Times New Roman" w:eastAsia="Times New Roman" w:hAnsi="Times New Roman"/>
          <w:sz w:val="18"/>
          <w:szCs w:val="18"/>
          <w:color w:val="auto"/>
        </w:rPr>
      </w:pPr>
    </w:p>
    <w:p>
      <w:pPr>
        <w:ind w:left="1980" w:right="539" w:hanging="360"/>
        <w:spacing w:after="0" w:line="261" w:lineRule="auto"/>
        <w:tabs>
          <w:tab w:leader="none" w:pos="1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sales agreement prospectus supplement covering the offering, issuance and sale by us of up to a maximum aggregate offering price of $200,000,000 of our ordinary shares, represented by ADSs, that may be issued and sold under a sales agreement, as amended, with Jefferies LLC acting as sales agent.</w:t>
      </w:r>
    </w:p>
    <w:p>
      <w:pPr>
        <w:spacing w:after="0" w:line="11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6291580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131445</wp:posOffset>
            </wp:positionV>
            <wp:extent cx="1688465"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2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4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(including Ordinary Shares represented by American Depositary Shares)</w:t>
      </w:r>
    </w:p>
    <w:p>
      <w:pPr>
        <w:ind w:left="4560"/>
        <w:spacing w:after="0" w:line="236" w:lineRule="auto"/>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21"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may offer and sell the securities identified above from time to time in one or more offerings. This prospectus provides you with a general description of the securities.</w:t>
      </w:r>
    </w:p>
    <w:p>
      <w:pPr>
        <w:spacing w:after="0" w:line="81"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20"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xml:space="preserve">” ON PAGE </w:t>
      </w:r>
      <w:r>
        <w:rPr>
          <w:rFonts w:ascii="Times New Roman" w:cs="Times New Roman" w:eastAsia="Times New Roman" w:hAnsi="Times New Roman"/>
          <w:sz w:val="18"/>
          <w:szCs w:val="18"/>
          <w:b w:val="1"/>
          <w:bCs w:val="1"/>
          <w:u w:val="single" w:color="auto"/>
          <w:color w:val="0000EE"/>
        </w:rPr>
        <w:t>6</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CONCERNING FACTORS YOU SHOULD CONSIDER BEFORE INVESTING IN OUR SECURITIES.</w:t>
      </w:r>
    </w:p>
    <w:p>
      <w:pPr>
        <w:spacing w:after="0" w:line="99"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Our ADSs, each representing eight ordinary shares, are listed on the Nasdaq Global Market under the symbol “VRNA.” On March 6, 2023, the last reported sale price of our ADSs on the Nasdaq Global Market was $22.45 per ADS.</w:t>
      </w:r>
    </w:p>
    <w:p>
      <w:pPr>
        <w:spacing w:after="0" w:line="104"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7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139700</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000EE"/>
        </w:rPr>
        <w:t>ABOUT</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THIS PROSPECTUS</w:t>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000EE"/>
        </w:rPr>
        <w:t>CAUTIONARY</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35998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998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18415</wp:posOffset>
            </wp:positionV>
            <wp:extent cx="521208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right="540"/>
        <w:spacing w:after="0" w:line="298" w:lineRule="auto"/>
        <w:rPr>
          <w:sz w:val="20"/>
          <w:szCs w:val="20"/>
          <w:color w:val="auto"/>
        </w:rPr>
      </w:pPr>
      <w:r>
        <w:rPr>
          <w:rFonts w:ascii="Times New Roman" w:cs="Times New Roman" w:eastAsia="Times New Roman" w:hAnsi="Times New Roman"/>
          <w:sz w:val="17"/>
          <w:szCs w:val="17"/>
          <w:color w:val="0000EE"/>
        </w:rPr>
        <w:t>WHERE</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YOU CAN FIND MORE INFORMATION; INCORPORATION BY REFERENCE THE</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-36830</wp:posOffset>
            </wp:positionV>
            <wp:extent cx="7943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943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7"/>
          <w:szCs w:val="17"/>
          <w:color w:val="0000EE"/>
        </w:rPr>
        <w:t>RISK</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FACTORS</w:t>
      </w:r>
    </w:p>
    <w:p>
      <w:pPr>
        <w:spacing w:after="0" w:line="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000EE"/>
        </w:rPr>
        <w:t>USE</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9848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48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18415</wp:posOffset>
            </wp:positionV>
            <wp:extent cx="52120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000EE"/>
        </w:rPr>
        <w:t>DESCRIPTION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SHARE CAPITAL AND ARTICLES OF ASSOCIATION</w:t>
      </w:r>
    </w:p>
    <w:p>
      <w:pPr>
        <w:spacing w:after="0" w:line="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000EE"/>
        </w:rPr>
        <w:t>DESCRIPTION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26968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68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18415</wp:posOffset>
            </wp:positionV>
            <wp:extent cx="52120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000EE"/>
        </w:rPr>
        <w:t>DESCRIPTION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DEBT SECURITIES</w:t>
      </w:r>
    </w:p>
    <w:p>
      <w:pPr>
        <w:spacing w:after="0" w:line="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000EE"/>
        </w:rPr>
        <w:t>DESCRIPTION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19691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91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18415</wp:posOffset>
            </wp:positionV>
            <wp:extent cx="52120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000EE"/>
        </w:rPr>
        <w:t>GLOBAL</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SECURITIES</w:t>
      </w:r>
    </w:p>
    <w:p>
      <w:pPr>
        <w:spacing w:after="0" w:line="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000EE"/>
        </w:rPr>
        <w:t>PLAN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1278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8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18415</wp:posOffset>
            </wp:positionV>
            <wp:extent cx="52120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000EE"/>
        </w:rPr>
        <w:t>LEGAL</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MATTERS</w:t>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u w:val="single" w:color="auto"/>
          <w:color w:val="0000EE"/>
        </w:rPr>
        <w:t>EXPERTS</w:t>
      </w:r>
      <w:r>
        <w:rPr>
          <w:rFonts w:ascii="Times New Roman" w:cs="Times New Roman" w:eastAsia="Times New Roman" w:hAnsi="Times New Roman"/>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u w:val="single" w:color="auto"/>
          <w:color w:val="0000EE"/>
        </w:rPr>
        <w:t>1</w:t>
      </w:r>
      <w:r>
        <w:rPr>
          <w:rFonts w:ascii="Times New Roman" w:cs="Times New Roman" w:eastAsia="Times New Roman" w:hAnsi="Times New Roman"/>
          <w:sz w:val="17"/>
          <w:szCs w:val="17"/>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2</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3</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5</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6</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7</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8</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25</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35</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43</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44</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48</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49</w:t>
      </w:r>
      <w:r>
        <w:rPr>
          <w:rFonts w:ascii="Times New Roman" w:cs="Times New Roman" w:eastAsia="Times New Roman" w:hAnsi="Times New Roman"/>
          <w:sz w:val="17"/>
          <w:szCs w:val="17"/>
          <w:color w:val="auto"/>
        </w:rPr>
        <w: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49</w:t>
      </w:r>
      <w:r>
        <w:rPr>
          <w:rFonts w:ascii="Times New Roman" w:cs="Times New Roman" w:eastAsia="Times New Roman" w:hAnsi="Times New Roman"/>
          <w:sz w:val="17"/>
          <w:szCs w:val="17"/>
          <w:color w:val="auto"/>
        </w:rPr>
        <w:t>​</w:t>
      </w:r>
    </w:p>
    <w:p>
      <w:pPr>
        <w:sectPr>
          <w:pgSz w:w="11900" w:h="16838" w:orient="portrait"/>
          <w:cols w:equalWidth="0" w:num="2">
            <w:col w:w="8400" w:space="720"/>
            <w:col w:w="75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34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326"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When we refer to “Verona,” “we,” “our,” “us” and the “Company” in this prospectus, we mean Verona Pharma plc and its consolidated subsidiary, unless otherwise specified. When we refer to “you,” we mean the potential holders of the applicable series of securities.</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Solely for convenience, any trademarks, service marks, logos and trade names referred to in this prospectus are without the ® and ™ symbols, but such references are not intended to indicate, in any way, that we will not assert, to the fullest extent under applicable law, our rights. This prospectus may contain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which reflect our current views with respect to, among other things, our operations and financial performance. All statements other than statements of historical facts contained in this prospectus, including without limitation statements regarding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potential regulatory approvals, and commercialization, research and development costs, timing and likelihood of success, potential collaborations, our estimates regarding expenses, future revenues, capital requirements, debt service obligations and our need for additional financing,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2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supplement, the accompanying base prospectus and the documents incorporated by reference herein and therein and any free writing prospectus,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1260" w:right="4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Our web site address is </w:t>
      </w:r>
      <w:r>
        <w:rPr>
          <w:rFonts w:ascii="Times New Roman" w:cs="Times New Roman" w:eastAsia="Times New Roman" w:hAnsi="Times New Roman"/>
          <w:sz w:val="18"/>
          <w:szCs w:val="18"/>
          <w:i w:val="1"/>
          <w:iCs w:val="1"/>
          <w:color w:val="auto"/>
        </w:rPr>
        <w:t>www.veronapharma.com</w:t>
      </w:r>
      <w:r>
        <w:rPr>
          <w:rFonts w:ascii="Times New Roman" w:cs="Times New Roman" w:eastAsia="Times New Roman" w:hAnsi="Times New Roman"/>
          <w:sz w:val="18"/>
          <w:szCs w:val="18"/>
          <w:color w:val="auto"/>
        </w:rPr>
        <w:t>. The information on our web site, however, is not, and should not be deemed to be, a part of this prospectus.</w:t>
      </w:r>
    </w:p>
    <w:p>
      <w:pPr>
        <w:spacing w:after="0" w:line="79"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337"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54" w:lineRule="exact"/>
        <w:rPr>
          <w:sz w:val="20"/>
          <w:szCs w:val="20"/>
          <w:color w:val="auto"/>
        </w:rPr>
      </w:pPr>
    </w:p>
    <w:p>
      <w:pPr>
        <w:ind w:left="1980" w:right="69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32">
        <w:r>
          <w:rPr>
            <w:rFonts w:ascii="Times New Roman" w:cs="Times New Roman" w:eastAsia="Times New Roman" w:hAnsi="Times New Roman"/>
            <w:sz w:val="18"/>
            <w:szCs w:val="18"/>
            <w:u w:val="single" w:color="auto"/>
            <w:color w:val="0000EE"/>
          </w:rPr>
          <w:t>Annual Report on Form 10-K for the year ended December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7, 2023.</w:t>
      </w:r>
    </w:p>
    <w:p>
      <w:pPr>
        <w:spacing w:after="0" w:line="53"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w:t>
      </w:r>
      <w:hyperlink r:id="rId33">
        <w:r>
          <w:rPr>
            <w:rFonts w:ascii="Times New Roman" w:cs="Times New Roman" w:eastAsia="Times New Roman" w:hAnsi="Times New Roman"/>
            <w:sz w:val="18"/>
            <w:szCs w:val="18"/>
            <w:u w:val="single" w:color="auto"/>
            <w:color w:val="0000EE"/>
          </w:rPr>
          <w:t>Definitive Proxy Statement on Schedule 14A, filed with the SEC on March 22, 2022</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980" w:right="559" w:hanging="360"/>
        <w:spacing w:after="0" w:line="266" w:lineRule="auto"/>
        <w:tabs>
          <w:tab w:leader="none" w:pos="1980" w:val="left"/>
        </w:tabs>
        <w:numPr>
          <w:ilvl w:val="0"/>
          <w:numId w:val="2"/>
        </w:numPr>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The description of our ordinary shares and ADSs contained in our registration statement on Form</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8-A filed with the SEC on April 19, 2017 and any amendments or reports filed with the SEC for</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the purpose of updating the description.</w:t>
        </w:r>
      </w:hyperlink>
    </w:p>
    <w:p>
      <w:pPr>
        <w:spacing w:after="0" w:line="95" w:lineRule="exact"/>
        <w:rPr>
          <w:rFonts w:ascii="Times New Roman" w:cs="Times New Roman" w:eastAsia="Times New Roman" w:hAnsi="Times New Roman"/>
          <w:sz w:val="18"/>
          <w:szCs w:val="18"/>
          <w:u w:val="single" w:color="auto"/>
          <w:color w:val="0000EE"/>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33" w:lineRule="exact"/>
        <w:rPr>
          <w:rFonts w:ascii="Times New Roman" w:cs="Times New Roman" w:eastAsia="Times New Roman" w:hAnsi="Times New Roman"/>
          <w:sz w:val="18"/>
          <w:szCs w:val="18"/>
          <w:u w:val="single" w:color="auto"/>
          <w:color w:val="0000EE"/>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9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London SE1 2RE</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+44 203 283 4200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info@veronapharma.com</w:t>
      </w:r>
    </w:p>
    <w:p>
      <w:pPr>
        <w:spacing w:after="0" w:line="139"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and commercializing innovative therapeutics for the treatment of respiratory diseases with significant unmet medical need. Our product candidate, ensifentrine, is an investigational, potential first-in-class, inhaled, selective dual inhibitor of the enzymes phosphodiesterase 3 and 4, combining bronchodilator and non-steroidal anti-inflammatory activities in one compound. In the third quarter of 2020, we commenced our Phase 3 ENHANCE (Ensifentrine as a Novel inHAled Nebulized COPD thErapy) trials evaluating nebulized ensifentrine for the maintenance treatment of chronic obstructive pulmonary disease, or COPD. In August 2022, we announced positive top-line results from the ENHANCE-2 trial and, in December 2022, we announced positive top-line results from the ENHANCE-1 trial. We plan to submit a New Drug Application to the U.S. Food and Drug Administration for inhaled ensifentrine for the maintenance treatment of COPD.</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were incorporated in February 2005 as Isis Resources plc under the laws of England and Wales. In September 2006, we acquired Rhinopharma Limited, a private company incorporated in Canada, and changed our name to Verona Pharma plc. Our principal office is located at 3 More London Riverside, London SE1 2RE, United Kingdom, and our telephone number is +(44) 203 283 4200. Our corporate website address is </w:t>
      </w:r>
      <w:r>
        <w:rPr>
          <w:rFonts w:ascii="Times New Roman" w:cs="Times New Roman" w:eastAsia="Times New Roman" w:hAnsi="Times New Roman"/>
          <w:sz w:val="18"/>
          <w:szCs w:val="18"/>
          <w:i w:val="1"/>
          <w:iCs w:val="1"/>
          <w:color w:val="auto"/>
        </w:rPr>
        <w:t>www.veronapharma.com</w:t>
      </w:r>
      <w:r>
        <w:rPr>
          <w:rFonts w:ascii="Times New Roman" w:cs="Times New Roman" w:eastAsia="Times New Roman" w:hAnsi="Times New Roman"/>
          <w:sz w:val="18"/>
          <w:szCs w:val="18"/>
          <w:color w:val="auto"/>
        </w:rPr>
        <w:t>. Information contained on or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“Cautionary Note Regarding Forward-Looking Statements” included in our most recent Annual Report on Form 10-K and any subsequent Quarterly Reports on Form 10-Q or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125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160"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Set forth below is a summary of certain information concerning our share capital as well as a description of certain provisions of our articles of association and relevant provisions of English law. Because the following is only a summary, it does not contain all of the information that may be important to you. The summary includes certain references to and descriptions of material provisions of our articles of association and English law in effect as of the date of this prospectus. The summary below does not purport to be complete and is qualified in its entirety by reference to applicable English law and our articles of association, which have been publicly filed with the Securities and Exchange Commission.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We were incorporated as a public limited company with the legal name Isis Resources plc under the laws of England and Wales on February 24, 2005 with the company number 5375156. In September 2006, we acquired Rhinopharma Limited, a company incorporated under the laws of the province of British Columbia, Canada and changed our name to Verona Pharma plc. Our registered office is One Central Square, Cardiff, CF10 1FS, Wales. The principal legislation under which we operate and our shares are issued is the Companies Act 2006.</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48"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a summary of relevant information concerning our share capital and material provisions of our Articles of Association, or the Articles, and applicable English law.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accordance with the Articles, the following summarizes the rights of holders of our ordinary shares:</w:t>
      </w:r>
    </w:p>
    <w:p>
      <w:pPr>
        <w:spacing w:after="0" w:line="117" w:lineRule="exact"/>
        <w:rPr>
          <w:sz w:val="20"/>
          <w:szCs w:val="20"/>
          <w:color w:val="auto"/>
        </w:rPr>
      </w:pPr>
    </w:p>
    <w:p>
      <w:pPr>
        <w:ind w:left="1980" w:right="719" w:hanging="360"/>
        <w:spacing w:after="0" w:line="282" w:lineRule="auto"/>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our ordinary shares is entitled to one vote per ordinary share on all matters to be voted on by shareholders generally;</w:t>
      </w:r>
    </w:p>
    <w:p>
      <w:pPr>
        <w:spacing w:after="0" w:line="53" w:lineRule="exact"/>
        <w:rPr>
          <w:rFonts w:ascii="Times New Roman" w:cs="Times New Roman" w:eastAsia="Times New Roman" w:hAnsi="Times New Roman"/>
          <w:sz w:val="18"/>
          <w:szCs w:val="18"/>
          <w:color w:val="auto"/>
        </w:rPr>
      </w:pPr>
    </w:p>
    <w:p>
      <w:pPr>
        <w:ind w:left="1980" w:right="659" w:hanging="360"/>
        <w:spacing w:after="0" w:line="282" w:lineRule="auto"/>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ordinary shares shall be entitled to receive notice of, attend, speak and vote at our general meetings; and</w:t>
      </w:r>
    </w:p>
    <w:p>
      <w:pPr>
        <w:spacing w:after="0" w:line="53" w:lineRule="exact"/>
        <w:rPr>
          <w:rFonts w:ascii="Times New Roman" w:cs="Times New Roman" w:eastAsia="Times New Roman" w:hAnsi="Times New Roman"/>
          <w:sz w:val="18"/>
          <w:szCs w:val="18"/>
          <w:color w:val="auto"/>
        </w:rPr>
      </w:pPr>
    </w:p>
    <w:p>
      <w:pPr>
        <w:ind w:left="1980" w:right="659" w:hanging="360"/>
        <w:spacing w:after="0" w:line="282" w:lineRule="auto"/>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ordinary shares are entitled to receive such dividends as are recommended by our directors and declared by our shareholders.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Registered Shares</w:t>
      </w:r>
    </w:p>
    <w:p>
      <w:pPr>
        <w:spacing w:after="0" w:line="162"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We are required by the Companies Act 2006 to keep a register of our shareholders. Under English law, the ordinary shares are deemed to be issued when the name of the shareholder is entered in our share register. The share register therefore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spacing w:after="0" w:line="323"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Holders of our ADSs will not be treated as one of our shareholders and their names will therefore not be entered in our share register. The depositary, the custodian or their nominees will be the holder of the shares represented by our ADSs. For discussion on our ADSs and ADS holder rights see “Description of American Depositary Shares” below. Holders of our ADSs have a right to receive the ordinary shares underlying their ADSs as discussed in “Description of American Depositary Shares” below.</w:t>
      </w:r>
    </w:p>
    <w:p>
      <w:pPr>
        <w:spacing w:after="0" w:line="11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Under the Companies Act 2006, we must enter an allotment of shares in our share register as soon as practicable and in any event within two months of the allotment. We also are required by the Companies Act 2006 to register a transfer of shares (or give the transferee notice of and reasons for refusal) as soon as practicable and in any event within two months of receiving notice of the transfer.</w:t>
      </w: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We, any of our shareholders or any other affected person may apply to the court for rectification of the share register if:</w:t>
      </w:r>
    </w:p>
    <w:p>
      <w:pPr>
        <w:spacing w:after="0" w:line="40" w:lineRule="exact"/>
        <w:rPr>
          <w:sz w:val="20"/>
          <w:szCs w:val="20"/>
          <w:color w:val="auto"/>
        </w:rPr>
      </w:pPr>
    </w:p>
    <w:p>
      <w:pPr>
        <w:ind w:left="1980" w:right="99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our register of members; or</w:t>
      </w:r>
    </w:p>
    <w:p>
      <w:pPr>
        <w:spacing w:after="0" w:line="53" w:lineRule="exact"/>
        <w:rPr>
          <w:rFonts w:ascii="Times New Roman" w:cs="Times New Roman" w:eastAsia="Times New Roman" w:hAnsi="Times New Roman"/>
          <w:sz w:val="18"/>
          <w:szCs w:val="18"/>
          <w:color w:val="auto"/>
        </w:rPr>
      </w:pPr>
    </w:p>
    <w:p>
      <w:pPr>
        <w:jc w:val="both"/>
        <w:ind w:left="1980" w:right="759" w:hanging="360"/>
        <w:spacing w:after="0" w:line="266"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4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English law generally provides shareholders with preemptive rights when new shares are issued for cash; however, it is possible for the articles of association, or shareholders in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to be effective. On April 27, 2022, our shareholders approved the exclusion of preemptive rights up to an aggregate nominal amount of £24,702,912 which shall expire on June 1, 2023 unless renewed, revoked or varied sooner.</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Shares and Rights Attaching to Them</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Objects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objects of our company are unrestricted.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 Rights</w:t>
      </w:r>
    </w:p>
    <w:p>
      <w:pPr>
        <w:spacing w:after="0" w:line="16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Subject to the Companies Act 2006 and any special rights attaching to shares already in issue, our shares may be issued with or have attached to them any preferred, deferred or other special rights or privileges or be subject to such restrictions as we may resolve by ordinary resolution of the shareholders or decision of our board.</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60" w:lineRule="exact"/>
        <w:rPr>
          <w:sz w:val="20"/>
          <w:szCs w:val="20"/>
          <w:color w:val="auto"/>
        </w:rPr>
      </w:pPr>
    </w:p>
    <w:p>
      <w:pPr>
        <w:jc w:val="both"/>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Without prejudice to any special rights, privileges or restrictions as to voting rights attached to any shares forming part of our share capital from time to time, the voting rights attaching to voting ordinary shares are as follows:</w:t>
      </w:r>
    </w:p>
    <w:p>
      <w:pPr>
        <w:spacing w:after="0" w:line="69" w:lineRule="exact"/>
        <w:rPr>
          <w:sz w:val="20"/>
          <w:szCs w:val="20"/>
          <w:color w:val="auto"/>
        </w:rPr>
      </w:pPr>
    </w:p>
    <w:p>
      <w:pPr>
        <w:ind w:left="1980" w:right="49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 every shareholder who (being an individual) is present in person and (being a corporation) is present by a duly authorized representative shall have one vote;</w:t>
      </w:r>
    </w:p>
    <w:p>
      <w:pPr>
        <w:spacing w:after="0" w:line="53" w:lineRule="exact"/>
        <w:rPr>
          <w:rFonts w:ascii="Times New Roman" w:cs="Times New Roman" w:eastAsia="Times New Roman" w:hAnsi="Times New Roman"/>
          <w:sz w:val="18"/>
          <w:szCs w:val="18"/>
          <w:color w:val="auto"/>
        </w:rPr>
      </w:pPr>
    </w:p>
    <w:p>
      <w:pPr>
        <w:ind w:left="1980" w:right="479" w:hanging="360"/>
        <w:spacing w:after="0" w:line="261"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71" w:lineRule="exact"/>
        <w:rPr>
          <w:rFonts w:ascii="Times New Roman" w:cs="Times New Roman" w:eastAsia="Times New Roman" w:hAnsi="Times New Roman"/>
          <w:sz w:val="18"/>
          <w:szCs w:val="18"/>
          <w:color w:val="auto"/>
        </w:rPr>
      </w:pPr>
    </w:p>
    <w:p>
      <w:pPr>
        <w:ind w:left="1980" w:right="439" w:hanging="360"/>
        <w:spacing w:after="0" w:line="255"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and</w:t>
      </w:r>
    </w:p>
    <w:p>
      <w:pPr>
        <w:spacing w:after="0" w:line="296"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every shareholder who is present in person or by proxy shall have one vote for each share of which he is the holder.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demanded. Subject to the provisions of the Companies Act 2006, as described in “Differences in Corporate Law — Voting Rights” below, a poll may be demanded by:</w:t>
      </w:r>
    </w:p>
    <w:p>
      <w:pPr>
        <w:spacing w:after="0" w:line="81" w:lineRule="exact"/>
        <w:rPr>
          <w:sz w:val="20"/>
          <w:szCs w:val="20"/>
          <w:color w:val="auto"/>
        </w:rPr>
      </w:pPr>
    </w:p>
    <w:p>
      <w:pPr>
        <w:ind w:left="1980" w:hanging="360"/>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w:t>
      </w:r>
    </w:p>
    <w:p>
      <w:pPr>
        <w:spacing w:after="0" w:line="11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shareholders present in person or by proxy and entitled to vote;</w:t>
      </w:r>
    </w:p>
    <w:p>
      <w:pPr>
        <w:spacing w:after="0" w:line="117" w:lineRule="exact"/>
        <w:rPr>
          <w:rFonts w:ascii="Times New Roman" w:cs="Times New Roman" w:eastAsia="Times New Roman" w:hAnsi="Times New Roman"/>
          <w:sz w:val="18"/>
          <w:szCs w:val="18"/>
          <w:color w:val="auto"/>
        </w:rPr>
      </w:pPr>
    </w:p>
    <w:p>
      <w:pPr>
        <w:ind w:left="1980" w:right="679" w:hanging="360"/>
        <w:spacing w:after="0" w:line="266"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shareholder(s) present in person or by proxy and representing in the aggregate not less than one-tenth of the total voting rights of all shareholders having the right to attend and vote at the meeting (excluding the shares held in treasury); or</w:t>
      </w:r>
    </w:p>
    <w:p>
      <w:pPr>
        <w:spacing w:after="0" w:line="81" w:lineRule="exact"/>
        <w:rPr>
          <w:rFonts w:ascii="Times New Roman" w:cs="Times New Roman" w:eastAsia="Times New Roman" w:hAnsi="Times New Roman"/>
          <w:sz w:val="18"/>
          <w:szCs w:val="18"/>
          <w:color w:val="auto"/>
        </w:rPr>
      </w:pPr>
    </w:p>
    <w:p>
      <w:pPr>
        <w:ind w:left="1980" w:right="599" w:hanging="360"/>
        <w:spacing w:after="0" w:line="261"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shareholder(s) present in person or by proxy and holding shares conferring a right to attend and vote at the meeting on which there have been paid up sums in the aggregate equal to not less than one-tenth of the total sums paid up on all shares conferring that right (excluding the shares held in treasury).</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Restrictions on Voting</w:t>
      </w:r>
    </w:p>
    <w:p>
      <w:pPr>
        <w:spacing w:after="0" w:line="160" w:lineRule="exact"/>
        <w:rPr>
          <w:sz w:val="20"/>
          <w:szCs w:val="20"/>
          <w:color w:val="auto"/>
        </w:rPr>
      </w:pPr>
    </w:p>
    <w:p>
      <w:pPr>
        <w:ind w:left="1260" w:right="559" w:firstLine="360"/>
        <w:spacing w:after="0" w:line="275" w:lineRule="auto"/>
        <w:rPr>
          <w:sz w:val="20"/>
          <w:szCs w:val="20"/>
          <w:color w:val="auto"/>
        </w:rPr>
      </w:pPr>
      <w:r>
        <w:rPr>
          <w:rFonts w:ascii="Times New Roman" w:cs="Times New Roman" w:eastAsia="Times New Roman" w:hAnsi="Times New Roman"/>
          <w:sz w:val="18"/>
          <w:szCs w:val="18"/>
          <w:color w:val="auto"/>
        </w:rPr>
        <w:t>No shareholder shall be entitled to vote at any general meeting or at any separate class meeting in respect of any share held by him unless all calls or other sums payable by him in respect of that share have been paid.</w:t>
      </w:r>
    </w:p>
    <w:p>
      <w:pPr>
        <w:spacing w:after="0" w:line="309"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board may from time to time make calls upon the shareholders in respect of any money unpaid on their shares and each shareholder shall (subject to at least 14 days’ notice specifying the time or times and place of payment) pay at the time or times so specified the amount called on his shares.</w:t>
      </w:r>
    </w:p>
    <w:p>
      <w:pPr>
        <w:spacing w:after="0" w:line="10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No holders of non-voting ordinary shares shall be entitled to receive notice of, attend or vote at any general meeting.</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4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may, subject to the provisions of the Companies Act 2006 and the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profits and, if at any time, our share capital is divided into different classes the board may pay such interim dividends in respect of those shares which confer on the holders thereof deferred or non-preferential rights with regard to dividends.</w:t>
      </w:r>
    </w:p>
    <w:p>
      <w:pPr>
        <w:spacing w:after="0" w:line="121"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33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No dividend or other moneys payable by us on or in respect of any share shall bear interest against us. Any dividend unclaimed after a period of 12 years from the date such dividend became due for payment shall, if the Board so resolved, be forfeited and shall revert to us.</w:t>
      </w:r>
    </w:p>
    <w:p>
      <w:pPr>
        <w:spacing w:after="0" w:line="95"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0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Any general meeting declaring a dividend may by ordinary resolution of shareholders, upon the recommendation of the board, direct payment or satisfaction of such dividend wholly or in part by the distribution of specific assets other than cash, and in particular of paid up shares or debentures of any other company. The directors may, if authorized by ordinary resolution of shareholders, offer any holders of ordinary shares the right to elect to receive in lieu of a dividend an allotment of ordinary shares credited as fully paid up, subject to such exclusions as the Board may deem necessary or desirable.</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No shareholder shall be entitled to receive any dividend or other distribution in respect of any share held by him unless all calls or other sums payable by him in respect of that share have been paid.</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160"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There is no specific provision in our articles of association that would have the effect of delaying, deferring or preventing a change of control.</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Distributions on Winding Up</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On a winding up, the liquidator may, with the consent by a special resolution of shareholders and any other resolution of the shareholders (excluding us to the extent we are a shareholder by virtue only of our holding of shares as treasury shares) in proportion to their shareholdings in specie or in kind or sanction of the court required by the Companies Act 2006 and/or the Insolvency Act 1986, divide amongst the shareholders the whole or any part of our assets (whether they shall consist of property of the same kind or not) and may set such values as he deems fair upon any property to be divided and may determine how such division shall be carried out as between the shareholders or different classes of shareholder. The liquidator may vest the whole or any part of such assets in trustees upon such trusts for the benefit of the shareholders as the liquidator shall think fit, but no shareholder shall be compelled to accept any shares or other assets upon which there is any liability or potential liability.</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Variation of Rights</w:t>
      </w:r>
    </w:p>
    <w:p>
      <w:pPr>
        <w:spacing w:after="0" w:line="14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All or any of the rights and restrictions attached to any class of shares issued may be altered, added to or revoked with the consent in writing of the holders of not less than three-fourths in nominal value of the issued shares of that class (excluding any shares held as treasury shares) or by special resolution passed at a separate general meeting of the holders of such shares, subject to the Companies Act 2006 and the terms of their issue. The Companies Act 2006 provides a right to object to the variation of the share capital by the shareholders who did not vote in favor of the variation. Should an aggregate of 15% of the shareholders of the issued shares in question apply to the court to have the variation cancelled, the variation shall have no effect unless and until it is confirmed by the court.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Alteration to Share Capital</w:t>
      </w:r>
    </w:p>
    <w:p>
      <w:pPr>
        <w:spacing w:after="0" w:line="16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may, by ordinary resolution of shareholders, consolidate and divide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Companies Act 2006. We may redeem or purchase all or any of our shares as described in “— Other English Law Considerations — Purchase of Own Shares.”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Allotment of Shares and Preemption Rights</w:t>
      </w:r>
    </w:p>
    <w:p>
      <w:pPr>
        <w:spacing w:after="0" w:line="16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section 551 of the Companies Act 2006, the board of directors may be generally and unconditionally authorized to exercise all the powers of the company to allot shares up to an aggregate nominal amount equal to the amount stated in the relevant ordinary resolution authorizing such allotment. The authorities referred to above were passed by ordinary resolution on April 27, 2022 and remain in force as of the date of this prospectus.</w:t>
      </w:r>
    </w:p>
    <w:p>
      <w:pPr>
        <w:spacing w:after="0" w:line="10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In certain circumstances, our shareholders may have statutory preemption rights under the Companies Act 2006 in respect of the allotment of new shares as described in “— Preemptive Rights” and “— Differences in Corporate Law — Preemptive Rights” below.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162"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Any certificated shareholder may transfer all or any of his shares by an instrument of transfer in the usual common form or in any other manner which is permitted by the Companies Act 2006 and approved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by the board. Any written instrument of transfer shall be signed by or on behalf of the transferor and (in the case of a partly paid share) the transferee.</w:t>
      </w:r>
    </w:p>
    <w:p>
      <w:pPr>
        <w:spacing w:after="0" w:line="9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All transfers of uncertificated shares shall be made in accordance with and subject to the provisions of the Uncertificated Securities Regulations 2001 and the facilities and requirements of its relevant system. The Uncertificated Securities Regulations 2001 permit shares to be issued and held in uncertificated form and transferred by means of a computer-based system.</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may decline to register any transfer of any share:</w:t>
      </w:r>
    </w:p>
    <w:p>
      <w:pPr>
        <w:spacing w:after="0" w:line="117" w:lineRule="exact"/>
        <w:rPr>
          <w:sz w:val="20"/>
          <w:szCs w:val="20"/>
          <w:color w:val="auto"/>
        </w:rPr>
      </w:pPr>
    </w:p>
    <w:p>
      <w:pPr>
        <w:ind w:left="1980" w:hanging="360"/>
        <w:spacing w:after="0"/>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a fully paid share;</w:t>
      </w:r>
    </w:p>
    <w:p>
      <w:pPr>
        <w:spacing w:after="0" w:line="130" w:lineRule="exact"/>
        <w:rPr>
          <w:rFonts w:ascii="Times New Roman" w:cs="Times New Roman" w:eastAsia="Times New Roman" w:hAnsi="Times New Roman"/>
          <w:sz w:val="18"/>
          <w:szCs w:val="18"/>
          <w:color w:val="auto"/>
        </w:rPr>
      </w:pPr>
    </w:p>
    <w:p>
      <w:pPr>
        <w:ind w:left="1980" w:right="67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known to be a minor, bankrupt or person who is mentally disordered or a patient for the purpose of any statute relating to mental health;</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entity which is not a natural or legal person;</w:t>
      </w:r>
    </w:p>
    <w:p>
      <w:pPr>
        <w:spacing w:after="0" w:line="130" w:lineRule="exact"/>
        <w:rPr>
          <w:rFonts w:ascii="Times New Roman" w:cs="Times New Roman" w:eastAsia="Times New Roman" w:hAnsi="Times New Roman"/>
          <w:sz w:val="18"/>
          <w:szCs w:val="18"/>
          <w:color w:val="auto"/>
        </w:rPr>
      </w:pPr>
    </w:p>
    <w:p>
      <w:pPr>
        <w:ind w:left="1980" w:right="599" w:hanging="360"/>
        <w:spacing w:after="0" w:line="266"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any written instrument of transfer, duly stamped, is lodged with us at our registered office or such other place as the board may appoint accompanied by the certificate for the shares to which it relates;</w:t>
      </w:r>
    </w:p>
    <w:p>
      <w:pPr>
        <w:spacing w:after="0" w:line="81"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there is provided such evidence as the board may reasonably require to show the right of the transferor to make the transfer and if the instrument of transfer is executed by some other person on his behalf, the authority of that person to do so;</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in respect of more than one class of share; and</w:t>
      </w:r>
    </w:p>
    <w:p>
      <w:pPr>
        <w:spacing w:after="0" w:line="130" w:lineRule="exact"/>
        <w:rPr>
          <w:rFonts w:ascii="Times New Roman" w:cs="Times New Roman" w:eastAsia="Times New Roman" w:hAnsi="Times New Roman"/>
          <w:sz w:val="18"/>
          <w:szCs w:val="18"/>
          <w:color w:val="auto"/>
        </w:rPr>
      </w:pPr>
    </w:p>
    <w:p>
      <w:pPr>
        <w:ind w:left="1980" w:right="75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exceeds four.</w:t>
      </w:r>
    </w:p>
    <w:p>
      <w:pPr>
        <w:spacing w:after="0" w:line="81" w:lineRule="exact"/>
        <w:rPr>
          <w:sz w:val="20"/>
          <w:szCs w:val="20"/>
          <w:color w:val="auto"/>
        </w:rPr>
      </w:pPr>
    </w:p>
    <w:p>
      <w:pPr>
        <w:jc w:val="both"/>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If the board declines to register a transfer it shall, as soon as practicable and in any event within two months after the date on which the transfer is lodged, send to the transferee notice of the refusal, together with reasons for the refusal.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Annual General Meetings</w:t>
      </w:r>
    </w:p>
    <w:p>
      <w:pPr>
        <w:spacing w:after="0" w:line="160" w:lineRule="exact"/>
        <w:rPr>
          <w:sz w:val="20"/>
          <w:szCs w:val="20"/>
          <w:color w:val="auto"/>
        </w:rPr>
      </w:pPr>
    </w:p>
    <w:p>
      <w:pPr>
        <w:ind w:left="1260" w:right="619" w:firstLine="360"/>
        <w:spacing w:after="0" w:line="257" w:lineRule="auto"/>
        <w:rPr>
          <w:sz w:val="20"/>
          <w:szCs w:val="20"/>
          <w:color w:val="auto"/>
        </w:rPr>
      </w:pPr>
      <w:r>
        <w:rPr>
          <w:rFonts w:ascii="Times New Roman" w:cs="Times New Roman" w:eastAsia="Times New Roman" w:hAnsi="Times New Roman"/>
          <w:sz w:val="18"/>
          <w:szCs w:val="18"/>
          <w:color w:val="auto"/>
        </w:rPr>
        <w:t>In accordance with the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Companies Act 2006, as described in “— Differences in Corporate Law — Annual General Meeting” and “— Differences in Corporate Law — Notice of General Meetings” below.</w:t>
      </w:r>
    </w:p>
    <w:p>
      <w:pPr>
        <w:spacing w:after="0" w:line="336"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arrangements for the calling of general meetings are described in “— Differences in Corporate Law — Notice of General Meetings” below.</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Quorum of General Meetings</w:t>
      </w:r>
    </w:p>
    <w:p>
      <w:pPr>
        <w:spacing w:after="0" w:line="146"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No business shall be transacted at any general meeting unless a quorum is present. At least two shareholders present in person or by proxy or by duly authorized representative (if a corporation) and entitled to vote, holding or representing at least 33</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issued and outstanding shares of the Company’s ordinary voting shares present at such general meeting in person or by proxy, shall be a quorum for all purposes.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 Meetings</w:t>
      </w:r>
    </w:p>
    <w:p>
      <w:pPr>
        <w:spacing w:after="0" w:line="160"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provisions in the Articles relating to general meetings apply to every separate general meeting of the holders of a class of shares except that: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hanging="360"/>
        <w:spacing w:after="0" w:line="285"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for such class meeting shall be two holders in person or by proxy representing not less than 33</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in nominal value of the issued shares of the class (excluding any shares held in treasury);</w:t>
      </w:r>
    </w:p>
    <w:p>
      <w:pPr>
        <w:spacing w:after="0" w:line="304" w:lineRule="exact"/>
        <w:rPr>
          <w:rFonts w:ascii="Times New Roman" w:cs="Times New Roman" w:eastAsia="Times New Roman" w:hAnsi="Times New Roman"/>
          <w:sz w:val="18"/>
          <w:szCs w:val="18"/>
          <w:color w:val="auto"/>
        </w:rPr>
      </w:pPr>
    </w:p>
    <w:p>
      <w:pPr>
        <w:ind w:left="1980" w:right="679" w:hanging="360"/>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class meeting, a holder of shares of the class present in person or by proxy may demand a poll and shall on a poll be entitled to one vote for every share of the class held by him; and</w:t>
      </w:r>
    </w:p>
    <w:p>
      <w:pPr>
        <w:spacing w:after="0" w:line="67"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adjourned meeting of such holders a quorum is not present at the meeting, one holder of shares of the class present in person or by proxy at an adjourned meeting constitutes a quorum.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Number of Directors</w:t>
      </w:r>
    </w:p>
    <w:p>
      <w:pPr>
        <w:spacing w:after="0" w:line="160"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We may not have fewer than two directors on the board of directors. We may, by ordinary resolution of the shareholders, vary the minimum and maximum number of directors from time to time.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Appointment of Directors</w:t>
      </w:r>
    </w:p>
    <w:p>
      <w:pPr>
        <w:spacing w:after="0" w:line="14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Articles, we may, by ordinary resolution of the shareholders, elect any person to be a director, either to fill a casual vacancy or as an addition to the existing board. However, any person that is not a director retiring from the existing board must be recommended by a shareholder not less than seven and not more than 21 days before the day of the appointment in order to be eligible for election.</w:t>
      </w:r>
    </w:p>
    <w:p>
      <w:pPr>
        <w:spacing w:after="0" w:line="11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the maximum number fixed by or in accordance with the Articles.</w:t>
      </w:r>
    </w:p>
    <w:p>
      <w:pPr>
        <w:spacing w:after="0" w:line="112"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Any director appointed by the board will hold office only until the earlier to occur of the close of the next following annual general meeting and someone being appointed in his stead at that meeting. Such a director is eligible for re-election at that meeting but shall not be taken into account in determining the directors or the number of directors who are to retire by rotation at such meeting.</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Rotation of Directors</w:t>
      </w:r>
    </w:p>
    <w:p>
      <w:pPr>
        <w:spacing w:after="0" w:line="146"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At every annual general meeting, one-third of the directors or, if their number is not a multiple of three, then the number nearest to and not exceeding one-third, shall retire from office.</w:t>
      </w:r>
    </w:p>
    <w:p>
      <w:pPr>
        <w:spacing w:after="0" w:line="9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directors to retire on each occasion shall be those subject to retirement by rotation who have been longest in office since their last election, but as between persons who became or were re-elected directors on the same day those to retire shall (unless they otherwise agree amongst themselves) be determined by lot.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director who retires at the annual general meeting shall be eligible for re-election.</w:t>
      </w:r>
    </w:p>
    <w:p>
      <w:pPr>
        <w:spacing w:after="0" w:line="144"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Directors’ Interests</w:t>
      </w:r>
    </w:p>
    <w:p>
      <w:pPr>
        <w:spacing w:after="0" w:line="160"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duty to avoid a situation in which he has, or can have, a direct or indirect interest that conflicts, or possibly may conflict, with our interests. A director shall not, save as otherwise agreed by him, be accountable to us for any benefit which he derives from any matter authorized by the directors and any contract, transaction or arrangement relating thereto shall not be liable to be avoided on the grounds of any such benefit.</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Subject to the requirements under sections 175, 177 and 182 of the Companies Act 2006, a director who is any way, whether directly or indirectly, interested in a proposed or existing transaction or arrangement with us shall declare the nature of his interest at a meeting of the directors.</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the case of interests arising where a director is in any way, directly or indirectly, interested in (a) a proposed transaction or arrangement with us or (b) a transaction or arrangement that has been entered into by us and save as otherwise provided by the Articles, such director shall not vote at a meeting of the board or of a committee of the board on any resolution concerning such matter in which he has a material interest (otherwise than by virtue of his interest in shares, debentures or other securities of, or otherwise in or through, us) unless his interest or duty arises only because the case falls within one or more of the following paragraphs:</w:t>
      </w:r>
    </w:p>
    <w:p>
      <w:pPr>
        <w:spacing w:after="0" w:line="285" w:lineRule="exact"/>
        <w:rPr>
          <w:sz w:val="20"/>
          <w:szCs w:val="20"/>
          <w:color w:val="auto"/>
        </w:rPr>
      </w:pPr>
    </w:p>
    <w:p>
      <w:pPr>
        <w:jc w:val="both"/>
        <w:ind w:left="1980" w:right="419" w:hanging="360"/>
        <w:spacing w:after="0" w:line="266"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to the giving of any security, guarantee or indemnity to the director in respect of money lent or obligations incurred by the director at the request of or for the benefit of us or our subsidiaries;</w:t>
      </w:r>
    </w:p>
    <w:p>
      <w:pPr>
        <w:spacing w:after="0" w:line="54" w:lineRule="exact"/>
        <w:rPr>
          <w:rFonts w:ascii="Times New Roman" w:cs="Times New Roman" w:eastAsia="Times New Roman" w:hAnsi="Times New Roman"/>
          <w:sz w:val="18"/>
          <w:szCs w:val="18"/>
          <w:color w:val="auto"/>
        </w:rPr>
      </w:pPr>
    </w:p>
    <w:p>
      <w:pPr>
        <w:ind w:left="1980" w:right="459" w:hanging="360"/>
        <w:spacing w:after="0" w:line="263"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to the giving to a third party of a security or indemnity in respect of a debt or obligation of ours or any of our subsidiaries for which the director or a person connected with him has assumed responsibility in whole or part under a guarantee or indemnity or by the giving of security;</w:t>
      </w:r>
    </w:p>
    <w:p>
      <w:pPr>
        <w:spacing w:after="0" w:line="278" w:lineRule="exact"/>
        <w:rPr>
          <w:rFonts w:ascii="Times New Roman" w:cs="Times New Roman" w:eastAsia="Times New Roman" w:hAnsi="Times New Roman"/>
          <w:sz w:val="18"/>
          <w:szCs w:val="18"/>
          <w:color w:val="auto"/>
        </w:rPr>
      </w:pPr>
    </w:p>
    <w:p>
      <w:pPr>
        <w:ind w:left="1980" w:right="779" w:hanging="360"/>
        <w:spacing w:after="0" w:line="261"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interest arises by virtue of any offer of shares or debentures or other securities by us or our subsidiaries for subscription or purchase in which offer the director is or may be entitled to participate as a holder of securities or in the director is interested as a participant in the underwriting or sub-underwriting thereof;</w:t>
      </w:r>
    </w:p>
    <w:p>
      <w:pPr>
        <w:spacing w:after="0" w:line="71" w:lineRule="exact"/>
        <w:rPr>
          <w:rFonts w:ascii="Times New Roman" w:cs="Times New Roman" w:eastAsia="Times New Roman" w:hAnsi="Times New Roman"/>
          <w:sz w:val="18"/>
          <w:szCs w:val="18"/>
          <w:color w:val="auto"/>
        </w:rPr>
      </w:pPr>
    </w:p>
    <w:p>
      <w:pPr>
        <w:ind w:left="1980" w:right="599" w:hanging="360"/>
        <w:spacing w:after="0" w:line="258"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in any way to any other company in which he is interested, directly or indirectly and whether as an officer or shareholder or otherwise howsoever, provided that he and any persons connected with him do not to his knowledge hold an interest in shares representing one per cent or more of any class of the equity share capital of such company or of the voting rights available to shareholder of such company;</w:t>
      </w:r>
    </w:p>
    <w:p>
      <w:pPr>
        <w:spacing w:after="0" w:line="61" w:lineRule="exact"/>
        <w:rPr>
          <w:rFonts w:ascii="Times New Roman" w:cs="Times New Roman" w:eastAsia="Times New Roman" w:hAnsi="Times New Roman"/>
          <w:sz w:val="18"/>
          <w:szCs w:val="18"/>
          <w:color w:val="auto"/>
        </w:rPr>
      </w:pPr>
    </w:p>
    <w:p>
      <w:pPr>
        <w:ind w:left="1980" w:right="599" w:hanging="360"/>
        <w:spacing w:after="0" w:line="266"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in any way to an arrangement in whole or in part for the benefit of our employees or any employees of our subsidiaries which does not award him as such any privilege or benefit not generally awarded to the employees to whom such arrangement relates;</w:t>
      </w:r>
    </w:p>
    <w:p>
      <w:pPr>
        <w:spacing w:after="0" w:line="67" w:lineRule="exact"/>
        <w:rPr>
          <w:rFonts w:ascii="Times New Roman" w:cs="Times New Roman" w:eastAsia="Times New Roman" w:hAnsi="Times New Roman"/>
          <w:sz w:val="18"/>
          <w:szCs w:val="18"/>
          <w:color w:val="auto"/>
        </w:rPr>
      </w:pPr>
    </w:p>
    <w:p>
      <w:pPr>
        <w:ind w:left="1980" w:right="439" w:hanging="360"/>
        <w:spacing w:after="0" w:line="258"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to the adoption, modification or operation of a superannuation fund or retirement, death or disability benefits scheme or employees’ share scheme under which he may benefit and which has been approved by or is subject to and conditional upon approval by the U.K. tax authorities for taxation purposes and which does not award him any privilege or benefit not awarded to the employee to whom the scheme relates; or</w:t>
      </w:r>
    </w:p>
    <w:p>
      <w:pPr>
        <w:spacing w:after="0" w:line="61" w:lineRule="exact"/>
        <w:rPr>
          <w:rFonts w:ascii="Times New Roman" w:cs="Times New Roman" w:eastAsia="Times New Roman" w:hAnsi="Times New Roman"/>
          <w:sz w:val="18"/>
          <w:szCs w:val="18"/>
          <w:color w:val="auto"/>
        </w:rPr>
      </w:pPr>
    </w:p>
    <w:p>
      <w:pPr>
        <w:ind w:left="1980" w:right="439" w:hanging="360"/>
        <w:spacing w:after="0" w:line="263"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in any way to the purchase or maintenance for the directors of insurance against any liability which by virtue of any rule of law would otherwise attach to all or any of them in respect of any negligence, default, breach of duty or breach of trust in relation to us or any of our subsidiaries.</w:t>
      </w:r>
    </w:p>
    <w:p>
      <w:pPr>
        <w:spacing w:after="0" w:line="33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director shall not be counted in the quorum present at a meeting in relation to a resolution on which he is not entitled to vote.</w:t>
      </w:r>
    </w:p>
    <w:p>
      <w:pPr>
        <w:spacing w:after="0" w:line="95"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the right of a director to vote or be counted in the quorum, and such question is not resolved by his voluntarily agreeing to abstain from voting or not to be counted in the quorum, the question shall be determined by a majority of votes of the remaining directors present at the meeting or if there is an equality of votes, the Chairman shall have a second or casting vote and his ruling in relation to any director other than himself shall be final and conclusive except in a case where the nature or extent of the interest of the director concerned has not been fairly disclosed.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Directors’ Fees and Remuneration</w:t>
      </w:r>
    </w:p>
    <w:p>
      <w:pPr>
        <w:spacing w:after="0" w:line="146"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Each of the directors shall be paid a fee at such rate as may from time to time be determined by the board (or for the avoidance of doubt any duly authorized committee of the board) provided that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aggregate of all such fees so paid to directors shall not exceed £500,000 per annum, or such higher amount as may from time to time be determined by ordinary resolution of shareholders.</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Each director may be paid his traveling, hotel and incidental expenses of attending and returning from meetings of the board or committees of the board or general meetings or separate meetings of the holders class of shares or of debentures and shall be paid all expenses properly incurred by him in the conduct of our business or in the discharge of his duties as a director. Any director who, by request, performs special or extra services which in the opinion of the board go beyond the ordinary duties of a director may be paid such extra remuneration as the board may determine.</w:t>
      </w:r>
    </w:p>
    <w:p>
      <w:pPr>
        <w:spacing w:after="0" w:line="120"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An executive director shall receive such remuneration as the board may determine, and either in addition to or in lieu of his remuneration as a director as detailed above.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Borrowing Powers</w:t>
      </w:r>
    </w:p>
    <w:p>
      <w:pPr>
        <w:spacing w:after="0" w:line="146"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board may exercise all the powers to borrow money and to mortgage or charge our undertaking, property and assets (present or future) and uncalled capital or any part thereof and to issue debentures and other securities, whether outright or as collateral security for any debt, liability or obligation of us or of any third party.</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Indemnity</w:t>
      </w:r>
    </w:p>
    <w:p>
      <w:pPr>
        <w:spacing w:after="0" w:line="16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Every director, alternate director, other officer or auditor of our group may be indemnified against all costs, charges, expenses, losses and liabilities incurred by him in connection with any negligence, default, breach of duty or breach of trust by him in relation to us or in relation to the actual or purported execution or discharge of his duties or the exercise or purported exercise of his powers or otherwise in relation to such members of our group.</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English Law Considerations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Mandatory Purchases and Acquisitions</w:t>
      </w:r>
    </w:p>
    <w:p>
      <w:pPr>
        <w:spacing w:after="0" w:line="160" w:lineRule="exact"/>
        <w:rPr>
          <w:sz w:val="20"/>
          <w:szCs w:val="20"/>
          <w:color w:val="auto"/>
        </w:rPr>
      </w:pPr>
    </w:p>
    <w:p>
      <w:pPr>
        <w:ind w:left="1260" w:right="539" w:firstLine="360"/>
        <w:spacing w:after="0" w:line="252" w:lineRule="auto"/>
        <w:rPr>
          <w:sz w:val="20"/>
          <w:szCs w:val="20"/>
          <w:color w:val="auto"/>
        </w:rPr>
      </w:pPr>
      <w:r>
        <w:rPr>
          <w:rFonts w:ascii="Times New Roman" w:cs="Times New Roman" w:eastAsia="Times New Roman" w:hAnsi="Times New Roman"/>
          <w:sz w:val="18"/>
          <w:szCs w:val="18"/>
          <w:color w:val="auto"/>
        </w:rPr>
        <w:t>Pursuant to Sections 979 to 991 of the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Companies Act 2006 must, in general, be the same as the consideration that was available under the takeover offer.</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Sell Out</w:t>
      </w:r>
    </w:p>
    <w:p>
      <w:pPr>
        <w:spacing w:after="0" w:line="14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shareholder exercises his rights to be bought out, the offeror is required to acquire those shares on the terms of this offer or on such other terms as may be agreed.</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Disclosure of Interest in Shares</w:t>
      </w:r>
    </w:p>
    <w:p>
      <w:pPr>
        <w:spacing w:after="0" w:line="16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Pursuant to Part 22 of the Companies Act 2006, we are empowered by notice in writing to any person whom we know or have reasonable cause to believe to be interested in our shares, or at any time during the three years immediately preceding the date on which the notice is issued has been so interested, within a reasonable time to disclose to us particulars of that person’s interest and (so far as is within his knowledge) particulars of any other interest that subsists or subsisted in those shares.</w:t>
      </w:r>
    </w:p>
    <w:p>
      <w:pPr>
        <w:spacing w:after="0" w:line="116"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us with the required particulars in relation to the shares in question, or default shares within the prescribed period, the directors may by notice direct that:</w:t>
      </w:r>
    </w:p>
    <w:p>
      <w:pPr>
        <w:spacing w:after="0" w:line="81" w:lineRule="exact"/>
        <w:rPr>
          <w:sz w:val="20"/>
          <w:szCs w:val="20"/>
          <w:color w:val="auto"/>
        </w:rPr>
      </w:pPr>
    </w:p>
    <w:p>
      <w:pPr>
        <w:jc w:val="both"/>
        <w:ind w:left="1620" w:right="439" w:firstLine="360"/>
        <w:spacing w:after="0" w:line="266" w:lineRule="auto"/>
        <w:tabs>
          <w:tab w:leader="none" w:pos="212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member shall not be entitled to attend or vote (either in person or by proxy) at any general meeting or of a general meeting of the holders of a class of shares or upon any poll or to exercise any right conferred by the default shares;</w:t>
      </w:r>
    </w:p>
    <w:p>
      <w:pPr>
        <w:spacing w:after="0" w:line="108" w:lineRule="exact"/>
        <w:rPr>
          <w:rFonts w:ascii="Times New Roman" w:cs="Times New Roman" w:eastAsia="Times New Roman" w:hAnsi="Times New Roman"/>
          <w:sz w:val="18"/>
          <w:szCs w:val="18"/>
          <w:color w:val="auto"/>
        </w:rPr>
      </w:pPr>
    </w:p>
    <w:p>
      <w:pPr>
        <w:ind w:left="1620" w:right="519" w:firstLine="360"/>
        <w:spacing w:after="0" w:line="261" w:lineRule="auto"/>
        <w:tabs>
          <w:tab w:leader="none" w:pos="212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(a) any dividend or other money payable in respect of the default shares shall be retained by us without liability to pay interest, and/or</w:t>
      </w:r>
    </w:p>
    <w:p>
      <w:pPr>
        <w:ind w:left="1620" w:right="739"/>
        <w:spacing w:after="0" w:line="255" w:lineRule="auto"/>
        <w:tabs>
          <w:tab w:leader="none" w:pos="18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transfers by the relevant member of any default shares may be registered (unless the member himself is not in default and the member proves to the satisfaction of the Board that no person in default as regards supplying such information is interested in any of the default shares); and/or</w:t>
      </w:r>
    </w:p>
    <w:p>
      <w:pPr>
        <w:spacing w:after="0" w:line="118" w:lineRule="exact"/>
        <w:rPr>
          <w:rFonts w:ascii="Times New Roman" w:cs="Times New Roman" w:eastAsia="Times New Roman" w:hAnsi="Times New Roman"/>
          <w:sz w:val="18"/>
          <w:szCs w:val="18"/>
          <w:color w:val="auto"/>
        </w:rPr>
      </w:pPr>
    </w:p>
    <w:p>
      <w:pPr>
        <w:ind w:left="1620" w:right="559" w:firstLine="360"/>
        <w:spacing w:after="0" w:line="256" w:lineRule="auto"/>
        <w:tabs>
          <w:tab w:leader="none" w:pos="212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held by the relevant member in uncertificated form shall be converted into certificated form and that member shall not after that be entitled to convert all or any shares held by him into uncertificated form (unless the member himself is not in default as regards supplying the information required and the member proves to the satisfaction of the board that, after due and careful inquiry, the member is satisfied that none of the shares he is proposing to convert into uncertificated form is a default share).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Purchase of Own Shares</w:t>
      </w:r>
    </w:p>
    <w:p>
      <w:pPr>
        <w:spacing w:after="0" w:line="146"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336"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Any such purchase will be either a “market purchase” or “off market purchase,” each as defined in the Companies Act 2006. A “market purchase” is a purchase made on a “recognized investment exchange” ​ (other than an overseas exchange) as defined in the U.K. Financial Services and Markets Act 2000, as amended, or FSMA. An “off market purchase” is a purchase that is not made on a “recognized investment exchange.” Both “market purchases” and “off market purchases” require prior shareholder approval by way of an ordinary resolution. In the case of an “off market purchase,” a company’s shareholders, other than the shareholders from whom the company is purchasing shares, must approve the terms of the contract to purchase shares and in the case of a “market purchase,” the shareholders must approve the maximum number of shares that can be purchased and the maximum and minimum prices to be paid by the company. Both resolutions authorizing “market purchases” and “off-market purchases” must specify a date, not later than five years after the passing of the resolution, on which the authority to purchase is to expire.</w:t>
      </w:r>
    </w:p>
    <w:p>
      <w:pPr>
        <w:spacing w:after="0" w:line="12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A share buy-back by a company of its shares will give rise to U.K. stamp duty reserve tax and stamp duty at the rate of 0.5% of the amount or value of the consideration payable by the company (rounded up to the next £5.00), and such stamp duty reserve tax or stamp duty will be paid by the company. The charge to stamp duty reserve tax will be cancelled or, if already paid, repaid (generally with interest), where a transfer instrument for stamp duty purposes has been duly stamped within six years of the charge arising (either by paying the stamp duty or by claiming an appropriate relief) or if the instrument is otherwise exempt from stamp duty.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1300" w:firstLine="360"/>
        <w:spacing w:after="0" w:line="251" w:lineRule="auto"/>
        <w:rPr>
          <w:sz w:val="20"/>
          <w:szCs w:val="20"/>
          <w:color w:val="auto"/>
        </w:rPr>
      </w:pPr>
      <w:r>
        <w:rPr>
          <w:rFonts w:ascii="Times New Roman" w:cs="Times New Roman" w:eastAsia="Times New Roman" w:hAnsi="Times New Roman"/>
          <w:sz w:val="18"/>
          <w:szCs w:val="18"/>
          <w:color w:val="auto"/>
        </w:rPr>
        <w:t>Nasdaq is an “overseas exchange” for the purposes of the Companies Act 2006 and does not fall within the definition of a “recognized investment exchange” for the purposes of FSMA. Any purchase made by us would need to comply with the procedural requirements under the Companies Act that regulate “off market purchases.”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Distributions and Dividends</w:t>
      </w:r>
    </w:p>
    <w:p>
      <w:pPr>
        <w:spacing w:after="0" w:line="146" w:lineRule="exact"/>
        <w:rPr>
          <w:sz w:val="20"/>
          <w:szCs w:val="20"/>
          <w:color w:val="auto"/>
        </w:rPr>
      </w:pPr>
    </w:p>
    <w:p>
      <w:pPr>
        <w:ind w:left="1260" w:right="1260" w:firstLine="360"/>
        <w:spacing w:after="0" w:line="245" w:lineRule="auto"/>
        <w:rPr>
          <w:sz w:val="20"/>
          <w:szCs w:val="20"/>
          <w:color w:val="auto"/>
        </w:rPr>
      </w:pPr>
      <w:r>
        <w:rPr>
          <w:rFonts w:ascii="Times New Roman" w:cs="Times New Roman" w:eastAsia="Times New Roman" w:hAnsi="Times New Roman"/>
          <w:sz w:val="18"/>
          <w:szCs w:val="18"/>
          <w:color w:val="auto"/>
        </w:rPr>
        <w:t>Under the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It is not sufficient that we, as a public company, have made a distributable profit for the purpose of</w:t>
      </w:r>
    </w:p>
    <w:p>
      <w:pPr>
        <w:spacing w:after="0" w:line="27" w:lineRule="exact"/>
        <w:rPr>
          <w:sz w:val="20"/>
          <w:szCs w:val="20"/>
          <w:color w:val="auto"/>
        </w:rPr>
      </w:pPr>
    </w:p>
    <w:p>
      <w:pPr>
        <w:ind w:left="1260" w:right="1280"/>
        <w:spacing w:after="0"/>
        <w:rPr>
          <w:sz w:val="20"/>
          <w:szCs w:val="20"/>
          <w:color w:val="auto"/>
        </w:rPr>
      </w:pPr>
      <w:r>
        <w:rPr>
          <w:rFonts w:ascii="Times New Roman" w:cs="Times New Roman" w:eastAsia="Times New Roman" w:hAnsi="Times New Roman"/>
          <w:sz w:val="18"/>
          <w:szCs w:val="18"/>
          <w:color w:val="auto"/>
        </w:rPr>
        <w:t>making a distribution. An additional capital maintenance requirement is imposed on us to ensure that the net worth of the company is at least equal to the amount of its capital. A public company can only make a distribution:</w:t>
      </w:r>
    </w:p>
    <w:p>
      <w:pPr>
        <w:spacing w:after="0" w:line="76" w:lineRule="exact"/>
        <w:rPr>
          <w:sz w:val="20"/>
          <w:szCs w:val="20"/>
          <w:color w:val="auto"/>
        </w:rPr>
      </w:pPr>
    </w:p>
    <w:p>
      <w:pPr>
        <w:ind w:left="1980" w:right="1400" w:hanging="360"/>
        <w:spacing w:after="0" w:line="266" w:lineRule="auto"/>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67" w:lineRule="exact"/>
        <w:rPr>
          <w:rFonts w:ascii="Times New Roman" w:cs="Times New Roman" w:eastAsia="Times New Roman" w:hAnsi="Times New Roman"/>
          <w:sz w:val="18"/>
          <w:szCs w:val="18"/>
          <w:color w:val="auto"/>
        </w:rPr>
      </w:pPr>
    </w:p>
    <w:p>
      <w:pPr>
        <w:ind w:left="1980" w:right="1680" w:hanging="360"/>
        <w:spacing w:after="0" w:line="282" w:lineRule="auto"/>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Takeovers and Mergers</w:t>
      </w:r>
    </w:p>
    <w:p>
      <w:pPr>
        <w:spacing w:after="0" w:line="160" w:lineRule="exact"/>
        <w:rPr>
          <w:sz w:val="20"/>
          <w:szCs w:val="20"/>
          <w:color w:val="auto"/>
        </w:rPr>
      </w:pPr>
    </w:p>
    <w:p>
      <w:pPr>
        <w:ind w:left="1260" w:right="1340" w:firstLine="360"/>
        <w:spacing w:after="0" w:line="247" w:lineRule="auto"/>
        <w:rPr>
          <w:sz w:val="20"/>
          <w:szCs w:val="20"/>
          <w:color w:val="auto"/>
        </w:rPr>
      </w:pPr>
      <w:r>
        <w:rPr>
          <w:rFonts w:ascii="Times New Roman" w:cs="Times New Roman" w:eastAsia="Times New Roman" w:hAnsi="Times New Roman"/>
          <w:sz w:val="18"/>
          <w:szCs w:val="18"/>
          <w:color w:val="auto"/>
        </w:rPr>
        <w:t>Following our delisting from AIM, a market operated by London Stock Exchange plc, the U.K. Panel on Takeovers and Mergers has confirmed to us that the U.K. City Code on Takeovers and Mergers or the Code, will not apply to us. However, we may become subject to the Code in the future if any changes to the board composition results in the majority of our directors being resident in the United Kingdom, Channel Islands or the Isle of Man. We have incorporated certain takeover protections in our Articles so that we are able to defend ourselves and our shareholders from hostile takeovers.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0" w:lineRule="exact"/>
        <w:rPr>
          <w:sz w:val="20"/>
          <w:szCs w:val="20"/>
          <w:color w:val="auto"/>
        </w:rPr>
      </w:pPr>
    </w:p>
    <w:p>
      <w:pPr>
        <w:ind w:left="1260" w:right="1300"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applicable provisions of the Companies Act 2006 differ from laws applicable to U.S. corporations and their shareholders. Set forth below is a summary of certain differences between the provisions of the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4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29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9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5"/>
        </w:trPr>
        <w:tc>
          <w:tcPr>
            <w:tcW w:w="3040" w:type="dxa"/>
            <w:vAlign w:val="bottom"/>
          </w:tcPr>
          <w:p>
            <w:pPr>
              <w:ind w:left="1260"/>
              <w:spacing w:after="0" w:line="205" w:lineRule="exact"/>
              <w:rPr>
                <w:sz w:val="20"/>
                <w:szCs w:val="20"/>
                <w:color w:val="auto"/>
              </w:rPr>
            </w:pPr>
            <w:r>
              <w:rPr>
                <w:rFonts w:ascii="Times New Roman" w:cs="Times New Roman" w:eastAsia="Times New Roman" w:hAnsi="Times New Roman"/>
                <w:sz w:val="18"/>
                <w:szCs w:val="18"/>
                <w:color w:val="auto"/>
              </w:rPr>
              <w:t>Number of Directors</w:t>
            </w:r>
          </w:p>
        </w:tc>
        <w:tc>
          <w:tcPr>
            <w:tcW w:w="38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 ​</w:t>
            </w:r>
          </w:p>
        </w:tc>
        <w:tc>
          <w:tcPr>
            <w:tcW w:w="2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Under the Companies Act 2006, a</w:t>
            </w:r>
          </w:p>
        </w:tc>
        <w:tc>
          <w:tcPr>
            <w:tcW w:w="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Under Delaware law, a corporation</w:t>
            </w:r>
          </w:p>
        </w:tc>
        <w:tc>
          <w:tcPr>
            <w:tcW w:w="1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29"/>
        </w:trPr>
        <w:tc>
          <w:tcPr>
            <w:tcW w:w="3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public limited company must have at</w:t>
            </w:r>
          </w:p>
        </w:tc>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must have at least one director and the</w:t>
            </w:r>
          </w:p>
        </w:tc>
        <w:tc>
          <w:tcPr>
            <w:tcW w:w="1260" w:type="dxa"/>
            <w:vAlign w:val="bottom"/>
          </w:tcPr>
          <w:p>
            <w:pPr>
              <w:spacing w:after="0"/>
              <w:rPr>
                <w:sz w:val="19"/>
                <w:szCs w:val="19"/>
                <w:color w:val="auto"/>
              </w:rPr>
            </w:pPr>
          </w:p>
        </w:tc>
      </w:tr>
      <w:tr>
        <w:trPr>
          <w:trHeight w:val="216"/>
        </w:trPr>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least two directors and the number of</w:t>
            </w:r>
          </w:p>
        </w:tc>
        <w:tc>
          <w:tcPr>
            <w:tcW w:w="2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number of directors shall be fixed by</w:t>
            </w:r>
          </w:p>
        </w:tc>
        <w:tc>
          <w:tcPr>
            <w:tcW w:w="1260" w:type="dxa"/>
            <w:vAlign w:val="bottom"/>
          </w:tcPr>
          <w:p>
            <w:pPr>
              <w:spacing w:after="0"/>
              <w:rPr>
                <w:sz w:val="18"/>
                <w:szCs w:val="18"/>
                <w:color w:val="auto"/>
              </w:rPr>
            </w:pPr>
          </w:p>
        </w:tc>
      </w:tr>
      <w:tr>
        <w:trPr>
          <w:trHeight w:val="229"/>
        </w:trPr>
        <w:tc>
          <w:tcPr>
            <w:tcW w:w="3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directors may be fixed by or in the</w:t>
            </w:r>
          </w:p>
        </w:tc>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 in the manner provided in the</w:t>
            </w:r>
          </w:p>
        </w:tc>
        <w:tc>
          <w:tcPr>
            <w:tcW w:w="1260" w:type="dxa"/>
            <w:vAlign w:val="bottom"/>
          </w:tcPr>
          <w:p>
            <w:pPr>
              <w:spacing w:after="0"/>
              <w:rPr>
                <w:sz w:val="19"/>
                <w:szCs w:val="19"/>
                <w:color w:val="auto"/>
              </w:rPr>
            </w:pPr>
          </w:p>
        </w:tc>
      </w:tr>
      <w:tr>
        <w:trPr>
          <w:trHeight w:val="230"/>
        </w:trPr>
        <w:tc>
          <w:tcPr>
            <w:tcW w:w="3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manner provided in a company’s</w:t>
            </w:r>
          </w:p>
        </w:tc>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bylaws.</w:t>
            </w:r>
          </w:p>
        </w:tc>
        <w:tc>
          <w:tcPr>
            <w:tcW w:w="1260" w:type="dxa"/>
            <w:vAlign w:val="bottom"/>
          </w:tcPr>
          <w:p>
            <w:pPr>
              <w:spacing w:after="0"/>
              <w:rPr>
                <w:sz w:val="19"/>
                <w:szCs w:val="19"/>
                <w:color w:val="auto"/>
              </w:rPr>
            </w:pPr>
          </w:p>
        </w:tc>
      </w:tr>
      <w:tr>
        <w:trPr>
          <w:trHeight w:val="230"/>
        </w:trPr>
        <w:tc>
          <w:tcPr>
            <w:tcW w:w="3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association.</w:t>
            </w:r>
          </w:p>
        </w:tc>
        <w:tc>
          <w:tcPr>
            <w:tcW w:w="2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Removal of Directors</w:t>
            </w:r>
          </w:p>
        </w:tc>
        <w:tc>
          <w:tcPr>
            <w:tcW w:w="3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 Under the Companies Act 2006,</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Under Delaware law, any director or</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may remove a director</w:t>
            </w:r>
          </w:p>
        </w:tc>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the entire board of directors may be</w:t>
            </w:r>
          </w:p>
        </w:tc>
        <w:tc>
          <w:tcPr>
            <w:tcW w:w="1260" w:type="dxa"/>
            <w:vAlign w:val="bottom"/>
          </w:tcPr>
          <w:p>
            <w:pPr>
              <w:spacing w:after="0"/>
              <w:rPr>
                <w:sz w:val="19"/>
                <w:szCs w:val="19"/>
                <w:color w:val="auto"/>
              </w:rPr>
            </w:pPr>
          </w:p>
        </w:tc>
      </w:tr>
      <w:tr>
        <w:trPr>
          <w:trHeight w:val="216"/>
        </w:trPr>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without cause by an ordinary</w:t>
            </w:r>
          </w:p>
        </w:tc>
        <w:tc>
          <w:tcPr>
            <w:tcW w:w="2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removed, with or without cause, by</w:t>
            </w:r>
          </w:p>
        </w:tc>
        <w:tc>
          <w:tcPr>
            <w:tcW w:w="1260" w:type="dxa"/>
            <w:vAlign w:val="bottom"/>
          </w:tcPr>
          <w:p>
            <w:pPr>
              <w:spacing w:after="0"/>
              <w:rPr>
                <w:sz w:val="18"/>
                <w:szCs w:val="18"/>
                <w:color w:val="auto"/>
              </w:rPr>
            </w:pPr>
          </w:p>
        </w:tc>
      </w:tr>
      <w:tr>
        <w:trPr>
          <w:trHeight w:val="229"/>
        </w:trPr>
        <w:tc>
          <w:tcPr>
            <w:tcW w:w="3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resolution (which is passed by a</w:t>
            </w:r>
          </w:p>
        </w:tc>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the holders of a majority of the shares</w:t>
            </w:r>
          </w:p>
        </w:tc>
        <w:tc>
          <w:tcPr>
            <w:tcW w:w="1260" w:type="dxa"/>
            <w:vAlign w:val="bottom"/>
          </w:tcPr>
          <w:p>
            <w:pPr>
              <w:spacing w:after="0"/>
              <w:rPr>
                <w:sz w:val="19"/>
                <w:szCs w:val="19"/>
                <w:color w:val="auto"/>
              </w:rPr>
            </w:pPr>
          </w:p>
        </w:tc>
      </w:tr>
      <w:tr>
        <w:trPr>
          <w:trHeight w:val="230"/>
        </w:trPr>
        <w:tc>
          <w:tcPr>
            <w:tcW w:w="3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simple majority of those voting in</w:t>
            </w:r>
          </w:p>
        </w:tc>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then entitled to vote at an election of</w:t>
            </w:r>
          </w:p>
        </w:tc>
        <w:tc>
          <w:tcPr>
            <w:tcW w:w="1260" w:type="dxa"/>
            <w:vAlign w:val="bottom"/>
          </w:tcPr>
          <w:p>
            <w:pPr>
              <w:spacing w:after="0"/>
              <w:rPr>
                <w:sz w:val="19"/>
                <w:szCs w:val="19"/>
                <w:color w:val="auto"/>
              </w:rPr>
            </w:pPr>
          </w:p>
        </w:tc>
      </w:tr>
      <w:tr>
        <w:trPr>
          <w:trHeight w:val="234"/>
        </w:trPr>
        <w:tc>
          <w:tcPr>
            <w:tcW w:w="3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person or by proxy at a general</w:t>
            </w:r>
          </w:p>
        </w:tc>
        <w:tc>
          <w:tcPr>
            <w:tcW w:w="2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directors, except (a) unless</w:t>
            </w:r>
          </w:p>
        </w:tc>
        <w:tc>
          <w:tcPr>
            <w:tcW w:w="1260" w:type="dxa"/>
            <w:vAlign w:val="bottom"/>
          </w:tcPr>
          <w:p>
            <w:pPr>
              <w:spacing w:after="0"/>
              <w:rPr>
                <w:sz w:val="20"/>
                <w:szCs w:val="20"/>
                <w:color w:val="auto"/>
              </w:rPr>
            </w:pPr>
          </w:p>
        </w:tc>
      </w:tr>
      <w:tr>
        <w:trPr>
          <w:trHeight w:val="621"/>
        </w:trPr>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30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260"/>
        <w:spacing w:after="0"/>
        <w:tabs>
          <w:tab w:leader="none" w:pos="3240" w:val="left"/>
          <w:tab w:leader="none" w:pos="4280" w:val="left"/>
          <w:tab w:leader="none" w:pos="6380" w:val="left"/>
          <w:tab w:leader="none" w:pos="772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England and Wales</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ectPr>
          <w:pgSz w:w="11900" w:h="16838" w:orient="portrait"/>
          <w:cols w:equalWidth="0" w:num="1">
            <w:col w:w="9879"/>
          </w:cols>
          <w:pgMar w:left="580" w:top="97" w:right="1440" w:bottom="1440" w:gutter="0" w:footer="0" w:header="0"/>
        </w:sectPr>
      </w:pPr>
    </w:p>
    <w:p>
      <w:pPr>
        <w:spacing w:after="0" w:line="66"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r>
      <w:tr>
        <w:trPr>
          <w:trHeight w:val="185"/>
        </w:trPr>
        <w:tc>
          <w:tcPr>
            <w:tcW w:w="18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gridSpan w:val="2"/>
          </w:tcPr>
          <w:p>
            <w:pPr>
              <w:ind w:left="80"/>
              <w:spacing w:after="0" w:line="185" w:lineRule="exact"/>
              <w:rPr>
                <w:sz w:val="20"/>
                <w:szCs w:val="20"/>
                <w:color w:val="auto"/>
              </w:rPr>
            </w:pPr>
            <w:r>
              <w:rPr>
                <w:rFonts w:ascii="Times New Roman" w:cs="Times New Roman" w:eastAsia="Times New Roman" w:hAnsi="Times New Roman"/>
                <w:sz w:val="18"/>
                <w:szCs w:val="18"/>
                <w:color w:val="auto"/>
              </w:rPr>
              <w:t>​ ​ meeting) irrespective of any</w:t>
            </w:r>
          </w:p>
        </w:tc>
      </w:tr>
      <w:tr>
        <w:trPr>
          <w:trHeight w:val="230"/>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provisions of any service contract the</w:t>
            </w:r>
          </w:p>
        </w:tc>
      </w:tr>
      <w:tr>
        <w:trPr>
          <w:trHeight w:val="229"/>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director has with the company,</w:t>
            </w:r>
          </w:p>
        </w:tc>
      </w:tr>
      <w:tr>
        <w:trPr>
          <w:trHeight w:val="229"/>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provided 28 clear days’ notice of the</w:t>
            </w:r>
          </w:p>
        </w:tc>
      </w:tr>
      <w:tr>
        <w:trPr>
          <w:trHeight w:val="230"/>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resolution has been given to the</w:t>
            </w:r>
          </w:p>
        </w:tc>
      </w:tr>
      <w:tr>
        <w:trPr>
          <w:trHeight w:val="216"/>
        </w:trPr>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company and its shareholders. On</w:t>
            </w:r>
          </w:p>
        </w:tc>
      </w:tr>
      <w:tr>
        <w:trPr>
          <w:trHeight w:val="229"/>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receipt of notice of an intended</w:t>
            </w:r>
          </w:p>
        </w:tc>
      </w:tr>
      <w:tr>
        <w:trPr>
          <w:trHeight w:val="230"/>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resolution to remove a director, the</w:t>
            </w:r>
          </w:p>
        </w:tc>
      </w:tr>
      <w:tr>
        <w:trPr>
          <w:trHeight w:val="229"/>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company must forthwith send a copy</w:t>
            </w:r>
          </w:p>
        </w:tc>
      </w:tr>
      <w:tr>
        <w:trPr>
          <w:trHeight w:val="229"/>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of the notice to the director</w:t>
            </w:r>
          </w:p>
        </w:tc>
      </w:tr>
      <w:tr>
        <w:trPr>
          <w:trHeight w:val="230"/>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concerned. Certain other procedural</w:t>
            </w:r>
          </w:p>
        </w:tc>
      </w:tr>
      <w:tr>
        <w:trPr>
          <w:trHeight w:val="216"/>
        </w:trPr>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requirements under the Companies</w:t>
            </w:r>
          </w:p>
        </w:tc>
      </w:tr>
      <w:tr>
        <w:trPr>
          <w:trHeight w:val="229"/>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Act 2006 must also be followed such</w:t>
            </w:r>
          </w:p>
        </w:tc>
      </w:tr>
      <w:tr>
        <w:trPr>
          <w:trHeight w:val="230"/>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as allowing the director to make</w:t>
            </w:r>
          </w:p>
        </w:tc>
      </w:tr>
      <w:tr>
        <w:trPr>
          <w:trHeight w:val="229"/>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representations against his or her</w:t>
            </w:r>
          </w:p>
        </w:tc>
      </w:tr>
      <w:tr>
        <w:trPr>
          <w:trHeight w:val="229"/>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removal either at the meeting or in</w:t>
            </w:r>
          </w:p>
        </w:tc>
      </w:tr>
      <w:tr>
        <w:trPr>
          <w:trHeight w:val="216"/>
        </w:trPr>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writing.</w:t>
            </w:r>
          </w:p>
        </w:tc>
      </w:tr>
      <w:tr>
        <w:trPr>
          <w:trHeight w:val="229"/>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Vacancies on the Board</w:t>
            </w:r>
          </w:p>
        </w:tc>
        <w:tc>
          <w:tcPr>
            <w:tcW w:w="3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Under English law, the procedure by</w:t>
            </w:r>
          </w:p>
        </w:tc>
      </w:tr>
      <w:tr>
        <w:trPr>
          <w:trHeight w:val="229"/>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of Directors</w:t>
            </w: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which directors, other than a</w:t>
            </w:r>
          </w:p>
        </w:tc>
      </w:tr>
      <w:tr>
        <w:trPr>
          <w:trHeight w:val="230"/>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company’s initial directors, are</w:t>
            </w:r>
          </w:p>
        </w:tc>
      </w:tr>
      <w:tr>
        <w:trPr>
          <w:trHeight w:val="229"/>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appointed is generally set out in a</w:t>
            </w:r>
          </w:p>
        </w:tc>
      </w:tr>
      <w:tr>
        <w:trPr>
          <w:trHeight w:val="230"/>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company’s articles of association,</w:t>
            </w:r>
          </w:p>
        </w:tc>
      </w:tr>
      <w:tr>
        <w:trPr>
          <w:trHeight w:val="216"/>
        </w:trPr>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provided that where two or more</w:t>
            </w:r>
          </w:p>
        </w:tc>
      </w:tr>
      <w:tr>
        <w:trPr>
          <w:trHeight w:val="229"/>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persons are appointed as directors of a</w:t>
            </w:r>
          </w:p>
        </w:tc>
      </w:tr>
      <w:tr>
        <w:trPr>
          <w:trHeight w:val="230"/>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public limited company by resolution</w:t>
            </w:r>
          </w:p>
        </w:tc>
      </w:tr>
      <w:tr>
        <w:trPr>
          <w:trHeight w:val="230"/>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of the shareholders, resolutions</w:t>
            </w:r>
          </w:p>
        </w:tc>
      </w:tr>
      <w:tr>
        <w:trPr>
          <w:trHeight w:val="229"/>
        </w:trPr>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appointing each director must be</w:t>
            </w:r>
          </w:p>
        </w:tc>
      </w:tr>
      <w:tr>
        <w:trPr>
          <w:trHeight w:val="234"/>
        </w:trPr>
        <w:tc>
          <w:tcPr>
            <w:tcW w:w="1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voted on individually.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Annual General Meeting ​ ​ Under the Companies Act 2006, a</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public limited company must hold an</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annual general meeting in each six-</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month period following the</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company’s annual accounting</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reference date.</w:t>
      </w:r>
    </w:p>
    <w:p>
      <w:pPr>
        <w:spacing w:after="0" w:line="234" w:lineRule="exact"/>
        <w:rPr>
          <w:sz w:val="20"/>
          <w:szCs w:val="20"/>
          <w:color w:val="auto"/>
        </w:rPr>
      </w:pPr>
    </w:p>
    <w:p>
      <w:pPr>
        <w:ind w:left="1260"/>
        <w:spacing w:after="0"/>
        <w:tabs>
          <w:tab w:leader="none" w:pos="3180" w:val="left"/>
        </w:tabs>
        <w:rPr>
          <w:sz w:val="20"/>
          <w:szCs w:val="20"/>
          <w:color w:val="auto"/>
        </w:rPr>
      </w:pPr>
      <w:r>
        <w:rPr>
          <w:rFonts w:ascii="Times New Roman" w:cs="Times New Roman" w:eastAsia="Times New Roman" w:hAnsi="Times New Roman"/>
          <w:sz w:val="18"/>
          <w:szCs w:val="18"/>
          <w:color w:val="auto"/>
        </w:rPr>
        <w:t>General Meeting</w:t>
      </w:r>
      <w:r>
        <w:rPr>
          <w:sz w:val="20"/>
          <w:szCs w:val="20"/>
          <w:color w:val="auto"/>
        </w:rPr>
        <w:tab/>
      </w:r>
      <w:r>
        <w:rPr>
          <w:rFonts w:ascii="Times New Roman" w:cs="Times New Roman" w:eastAsia="Times New Roman" w:hAnsi="Times New Roman"/>
          <w:sz w:val="18"/>
          <w:szCs w:val="18"/>
          <w:color w:val="auto"/>
        </w:rPr>
        <w:t>​ ​ Under the Companies Act 2006, a</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general meeting of the shareholders of</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 public limited company may be</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called by the directors.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31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 ​ the certificate of incorporation</w:t>
            </w:r>
          </w:p>
        </w:tc>
        <w:tc>
          <w:tcPr>
            <w:tcW w:w="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w:t>
            </w: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provides otherwise, in the case of a</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whose board of directors</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is classified, shareholders may effect</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such removal only for cause, or (b) in</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the case of a corporation having</w:t>
            </w:r>
          </w:p>
        </w:tc>
        <w:tc>
          <w:tcPr>
            <w:tcW w:w="6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cumulative voting, if less than the</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entire board of directors is to be</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removed, no director may be removed</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without cause if the votes cast against</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his removal would be sufficient to</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elect him if then cumulatively voted</w:t>
            </w:r>
          </w:p>
        </w:tc>
        <w:tc>
          <w:tcPr>
            <w:tcW w:w="6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at an election of the entire board of</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directors, or, if there are classes of</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directors, at an election of the class of</w:t>
            </w:r>
          </w:p>
        </w:tc>
        <w:tc>
          <w:tcPr>
            <w:tcW w:w="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directors of which he is a part.</w:t>
            </w:r>
          </w:p>
        </w:tc>
        <w:tc>
          <w:tcPr>
            <w:tcW w:w="60" w:type="dxa"/>
            <w:vAlign w:val="bottom"/>
          </w:tcPr>
          <w:p>
            <w:pPr>
              <w:spacing w:after="0"/>
              <w:rPr>
                <w:sz w:val="20"/>
                <w:szCs w:val="20"/>
                <w:color w:val="auto"/>
              </w:rPr>
            </w:pPr>
          </w:p>
        </w:tc>
      </w:tr>
      <w:tr>
        <w:trPr>
          <w:trHeight w:val="441"/>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Under Delaware law, vacancies and</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newly created directorships may be</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filled by a majority of the directors</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then in office (even though less than a</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quorum) or by a sole remaining</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director unless (a) otherwise provided</w:t>
            </w:r>
          </w:p>
        </w:tc>
        <w:tc>
          <w:tcPr>
            <w:tcW w:w="6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 the certificate of incorporation or</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by-laws of the corporation or (b) the</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directs that</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 particular class of stock is to elect</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such director, in which case a majority</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of the other directors elected by such</w:t>
            </w:r>
          </w:p>
        </w:tc>
        <w:tc>
          <w:tcPr>
            <w:tcW w:w="6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class, or a sole remaining director</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elected by such class, will fill such</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vacancy.</w:t>
            </w:r>
          </w:p>
        </w:tc>
        <w:tc>
          <w:tcPr>
            <w:tcW w:w="60" w:type="dxa"/>
            <w:vAlign w:val="bottom"/>
          </w:tcPr>
          <w:p>
            <w:pPr>
              <w:spacing w:after="0"/>
              <w:rPr>
                <w:sz w:val="19"/>
                <w:szCs w:val="19"/>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Under Delaware law, the annual</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meeting of stockholders shall be held</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at such place, on such date and at such</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time as may be designated from time</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to time by the board of directors or as</w:t>
            </w:r>
          </w:p>
        </w:tc>
        <w:tc>
          <w:tcPr>
            <w:tcW w:w="6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provided in the certificate of</w:t>
            </w:r>
          </w:p>
        </w:tc>
        <w:tc>
          <w:tcPr>
            <w:tcW w:w="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or by the bylaws.</w:t>
            </w:r>
          </w:p>
        </w:tc>
        <w:tc>
          <w:tcPr>
            <w:tcW w:w="60" w:type="dxa"/>
            <w:vAlign w:val="bottom"/>
          </w:tcPr>
          <w:p>
            <w:pPr>
              <w:spacing w:after="0"/>
              <w:rPr>
                <w:sz w:val="20"/>
                <w:szCs w:val="20"/>
                <w:color w:val="auto"/>
              </w:rPr>
            </w:pPr>
          </w:p>
        </w:tc>
      </w:tr>
    </w:tbl>
    <w:p>
      <w:pPr>
        <w:ind w:left="220" w:right="359" w:hanging="211"/>
        <w:spacing w:after="0" w:line="266" w:lineRule="auto"/>
        <w:rPr>
          <w:sz w:val="20"/>
          <w:szCs w:val="20"/>
          <w:color w:val="auto"/>
        </w:rPr>
      </w:pPr>
      <w:r>
        <w:rPr>
          <w:rFonts w:ascii="Times New Roman" w:cs="Times New Roman" w:eastAsia="Times New Roman" w:hAnsi="Times New Roman"/>
          <w:sz w:val="18"/>
          <w:szCs w:val="18"/>
          <w:color w:val="auto"/>
        </w:rPr>
        <w:t>​ ​ Under Delaware law, special meetings ​ of the stockholders may be called by the board of directors or by such person or persons as may be authorized by the certificate of incorporation or by the bylaws.</w:t>
      </w:r>
    </w:p>
    <w:p>
      <w:pPr>
        <w:spacing w:after="0" w:line="1" w:lineRule="exact"/>
        <w:rPr>
          <w:sz w:val="20"/>
          <w:szCs w:val="20"/>
          <w:color w:val="auto"/>
        </w:rPr>
      </w:pPr>
    </w:p>
    <w:p>
      <w:pPr>
        <w:sectPr>
          <w:pgSz w:w="11900" w:h="16838" w:orient="portrait"/>
          <w:cols w:equalWidth="0" w:num="2">
            <w:col w:w="6340" w:space="0"/>
            <w:col w:w="3539"/>
          </w:cols>
          <w:pgMar w:left="580" w:top="97" w:right="1440" w:bottom="1440" w:gutter="0" w:footer="0" w:header="0"/>
          <w:type w:val="continuous"/>
        </w:sectPr>
      </w:pPr>
    </w:p>
    <w:p>
      <w:pPr>
        <w:ind w:left="1260"/>
        <w:spacing w:after="0"/>
        <w:tabs>
          <w:tab w:leader="none" w:pos="3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 Shareholders holding at least 5% of</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the paid-up capital of the company</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carrying voting rights at general</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meetings (excluding nay paid up</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capital held as treasury shares) can</w:t>
      </w: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10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2">
            <w:col w:w="6100" w:space="240"/>
            <w:col w:w="353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260"/>
        <w:spacing w:after="0"/>
        <w:tabs>
          <w:tab w:leader="none" w:pos="3240" w:val="left"/>
          <w:tab w:leader="none" w:pos="4280" w:val="left"/>
          <w:tab w:leader="none" w:pos="6380" w:val="left"/>
          <w:tab w:leader="none" w:pos="772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England and Wales</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29210</wp:posOffset>
            </wp:positionV>
            <wp:extent cx="18516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66"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r>
      <w:tr>
        <w:trPr>
          <w:trHeight w:val="185"/>
        </w:trPr>
        <w:tc>
          <w:tcPr>
            <w:tcW w:w="16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w:t>
            </w:r>
          </w:p>
        </w:tc>
        <w:tc>
          <w:tcPr>
            <w:tcW w:w="3440" w:type="dxa"/>
            <w:vAlign w:val="bottom"/>
            <w:gridSpan w:val="2"/>
          </w:tcPr>
          <w:p>
            <w:pPr>
              <w:ind w:left="300"/>
              <w:spacing w:after="0" w:line="185" w:lineRule="exact"/>
              <w:rPr>
                <w:sz w:val="20"/>
                <w:szCs w:val="20"/>
                <w:color w:val="auto"/>
              </w:rPr>
            </w:pPr>
            <w:r>
              <w:rPr>
                <w:rFonts w:ascii="Times New Roman" w:cs="Times New Roman" w:eastAsia="Times New Roman" w:hAnsi="Times New Roman"/>
                <w:sz w:val="18"/>
                <w:szCs w:val="18"/>
                <w:color w:val="auto"/>
              </w:rPr>
              <w:t>​ ​ require the directors to call a general</w:t>
            </w:r>
          </w:p>
        </w:tc>
      </w:tr>
      <w:tr>
        <w:trPr>
          <w:trHeight w:val="230"/>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meeting and, if the directors fail to do</w:t>
            </w:r>
          </w:p>
        </w:tc>
      </w:tr>
      <w:tr>
        <w:trPr>
          <w:trHeight w:val="229"/>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so within a certain period, may</w:t>
            </w:r>
          </w:p>
        </w:tc>
      </w:tr>
      <w:tr>
        <w:trPr>
          <w:trHeight w:val="229"/>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themselves convene a general</w:t>
            </w:r>
          </w:p>
        </w:tc>
      </w:tr>
      <w:tr>
        <w:trPr>
          <w:trHeight w:val="216"/>
        </w:trPr>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Notice of General</w:t>
            </w:r>
          </w:p>
        </w:tc>
        <w:tc>
          <w:tcPr>
            <w:tcW w:w="3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 Under the Companies Act 2006, 21</w:t>
            </w:r>
          </w:p>
        </w:tc>
      </w:t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Meetings</w:t>
            </w: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clear days’ notice must be given for</w:t>
            </w:r>
          </w:p>
        </w:tc>
      </w:tr>
      <w:tr>
        <w:trPr>
          <w:trHeight w:val="230"/>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an annual general meeting and any</w:t>
            </w:r>
          </w:p>
        </w:tc>
      </w:tr>
      <w:tr>
        <w:trPr>
          <w:trHeight w:val="229"/>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resolutions to be proposed at the</w:t>
            </w:r>
          </w:p>
        </w:tc>
      </w:tr>
      <w:tr>
        <w:trPr>
          <w:trHeight w:val="229"/>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meeting. Subject to a company’s</w:t>
            </w:r>
          </w:p>
        </w:tc>
      </w:tr>
      <w:tr>
        <w:trPr>
          <w:trHeight w:val="216"/>
        </w:trPr>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association providing for a</w:t>
            </w:r>
          </w:p>
        </w:tc>
      </w:tr>
      <w:tr>
        <w:trPr>
          <w:trHeight w:val="229"/>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longer period, at least 14 clear days’</w:t>
            </w:r>
          </w:p>
        </w:tc>
      </w:tr>
      <w:tr>
        <w:trPr>
          <w:trHeight w:val="229"/>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notice is required for any other</w:t>
            </w:r>
          </w:p>
        </w:tc>
      </w:tr>
      <w:tr>
        <w:trPr>
          <w:trHeight w:val="230"/>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 In addition, certain</w:t>
            </w:r>
          </w:p>
        </w:tc>
      </w:tr>
      <w:tr>
        <w:trPr>
          <w:trHeight w:val="229"/>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matters, such as the removal of</w:t>
            </w:r>
          </w:p>
        </w:tc>
      </w:tr>
      <w:tr>
        <w:trPr>
          <w:trHeight w:val="229"/>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directors or auditors, require special</w:t>
            </w:r>
          </w:p>
        </w:tc>
      </w:tr>
      <w:tr>
        <w:trPr>
          <w:trHeight w:val="216"/>
        </w:trPr>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notice, which is 28 clear days’ notice.</w:t>
            </w:r>
          </w:p>
        </w:tc>
      </w:tr>
      <w:tr>
        <w:trPr>
          <w:trHeight w:val="229"/>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The shareholders of a company may</w:t>
            </w:r>
          </w:p>
        </w:tc>
      </w:tr>
      <w:tr>
        <w:trPr>
          <w:trHeight w:val="229"/>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 all cases consent to a shorter notice</w:t>
            </w:r>
          </w:p>
        </w:tc>
      </w:tr>
      <w:tr>
        <w:trPr>
          <w:trHeight w:val="230"/>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period, the proportion of</w:t>
            </w:r>
          </w:p>
        </w:tc>
      </w:tr>
      <w:tr>
        <w:trPr>
          <w:trHeight w:val="229"/>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consent required being</w:t>
            </w:r>
          </w:p>
        </w:tc>
      </w:tr>
      <w:tr>
        <w:trPr>
          <w:trHeight w:val="230"/>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100% of those entitled to attend and</w:t>
            </w:r>
          </w:p>
        </w:tc>
      </w:tr>
      <w:tr>
        <w:trPr>
          <w:trHeight w:val="229"/>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vote in the case of an annual general</w:t>
            </w:r>
          </w:p>
        </w:tc>
      </w:tr>
      <w:tr>
        <w:trPr>
          <w:trHeight w:val="216"/>
        </w:trPr>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meeting and, in the case of any other</w:t>
            </w:r>
          </w:p>
        </w:tc>
      </w:tr>
      <w:tr>
        <w:trPr>
          <w:trHeight w:val="230"/>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 a majority in number</w:t>
            </w:r>
          </w:p>
        </w:tc>
      </w:tr>
      <w:tr>
        <w:trPr>
          <w:trHeight w:val="230"/>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of the members having a right to</w:t>
            </w:r>
          </w:p>
        </w:tc>
      </w:tr>
      <w:tr>
        <w:trPr>
          <w:trHeight w:val="229"/>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attend and vote at the meeting, being</w:t>
            </w:r>
          </w:p>
        </w:tc>
      </w:tr>
      <w:tr>
        <w:trPr>
          <w:trHeight w:val="230"/>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 majority who together hold not less</w:t>
            </w:r>
          </w:p>
        </w:tc>
      </w:tr>
      <w:tr>
        <w:trPr>
          <w:trHeight w:val="230"/>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than 95% in nominal value of the</w:t>
            </w:r>
          </w:p>
        </w:tc>
      </w:tr>
      <w:tr>
        <w:trPr>
          <w:trHeight w:val="216"/>
        </w:trPr>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shares giving a right to attend and</w:t>
            </w:r>
          </w:p>
        </w:tc>
      </w:tr>
      <w:tr>
        <w:trPr>
          <w:trHeight w:val="230"/>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vote at the meeting.</w:t>
            </w:r>
          </w:p>
        </w:tc>
      </w:t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Proxy</w:t>
            </w:r>
          </w:p>
        </w:tc>
        <w:tc>
          <w:tcPr>
            <w:tcW w:w="3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 Under the Companies Act 2006, at</w:t>
            </w:r>
          </w:p>
        </w:tc>
      </w:tr>
      <w:tr>
        <w:trPr>
          <w:trHeight w:val="230"/>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any meeting of shareholders, a</w:t>
            </w:r>
          </w:p>
        </w:tc>
      </w:tr>
      <w:tr>
        <w:trPr>
          <w:trHeight w:val="229"/>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shareholder may designate another</w:t>
            </w:r>
          </w:p>
        </w:tc>
      </w:tr>
      <w:tr>
        <w:trPr>
          <w:trHeight w:val="230"/>
        </w:trPr>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person to attend, speak and vote at the</w:t>
            </w:r>
          </w:p>
        </w:tc>
      </w:tr>
      <w:tr>
        <w:trPr>
          <w:trHeight w:val="234"/>
        </w:trPr>
        <w:tc>
          <w:tcPr>
            <w:tcW w:w="1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meeting on their behalf by proxy.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60"/>
        <w:spacing w:after="0"/>
        <w:tabs>
          <w:tab w:leader="none" w:pos="3180" w:val="left"/>
        </w:tabs>
        <w:rPr>
          <w:sz w:val="20"/>
          <w:szCs w:val="20"/>
          <w:color w:val="auto"/>
        </w:rPr>
      </w:pPr>
      <w:r>
        <w:rPr>
          <w:rFonts w:ascii="Times New Roman" w:cs="Times New Roman" w:eastAsia="Times New Roman" w:hAnsi="Times New Roman"/>
          <w:sz w:val="18"/>
          <w:szCs w:val="18"/>
          <w:color w:val="auto"/>
        </w:rPr>
        <w:t>Pre-emptive Rights</w:t>
      </w:r>
      <w:r>
        <w:rPr>
          <w:sz w:val="20"/>
          <w:szCs w:val="20"/>
          <w:color w:val="auto"/>
        </w:rPr>
        <w:tab/>
      </w:r>
      <w:r>
        <w:rPr>
          <w:rFonts w:ascii="Times New Roman" w:cs="Times New Roman" w:eastAsia="Times New Roman" w:hAnsi="Times New Roman"/>
          <w:sz w:val="18"/>
          <w:szCs w:val="18"/>
          <w:color w:val="auto"/>
        </w:rPr>
        <w:t>​ ​ Under the Companies Act 2006,</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“equity securities”, being (i) shares in</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the company other than shares that,</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with respect to dividends and capital,</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carry a right to participate only up to a</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specified amount in a distribution</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(“ordinary shares”) or (ii) rights to</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subscribe for, or to convert securities</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into, ordinary shares, proposed to be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0" w:right="359" w:hanging="211"/>
        <w:spacing w:after="0" w:line="267" w:lineRule="auto"/>
        <w:rPr>
          <w:sz w:val="20"/>
          <w:szCs w:val="20"/>
          <w:color w:val="auto"/>
        </w:rPr>
      </w:pPr>
      <w:r>
        <w:rPr>
          <w:rFonts w:ascii="Times New Roman" w:cs="Times New Roman" w:eastAsia="Times New Roman" w:hAnsi="Times New Roman"/>
          <w:sz w:val="18"/>
          <w:szCs w:val="18"/>
          <w:color w:val="auto"/>
        </w:rPr>
        <w:t>​ ​ Under Delaware law, unless otherwise ​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color w:val="auto"/>
        </w:rPr>
        <w:t>​ ​ Under Delaware law, at any meeting</w:t>
        <w:tab/>
        <w:t>​</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of stockholders, a stockholder may</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designate another person to act for</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such stockholder by proxy, but no</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such proxy shall be voted or acted</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upon after three years from its date,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unless the proxy provides for a longer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period. A director of a Delaware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corporation may not issue a proxy</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representing the director’s voting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rights as a director.</w:t>
      </w:r>
    </w:p>
    <w:p>
      <w:pPr>
        <w:spacing w:after="0" w:line="23"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color w:val="auto"/>
        </w:rPr>
        <w:t>​ ​ Under Delaware law, shareholders</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have no preemptive rights to</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subscribe to additional issues of stock</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or to any security convertible into</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such stock unless, and except to the</w:t>
      </w:r>
    </w:p>
    <w:p>
      <w:pPr>
        <w:spacing w:after="0" w:line="23" w:lineRule="exact"/>
        <w:rPr>
          <w:sz w:val="20"/>
          <w:szCs w:val="20"/>
          <w:color w:val="auto"/>
        </w:rPr>
      </w:pPr>
    </w:p>
    <w:p>
      <w:pPr>
        <w:ind w:left="220" w:right="579"/>
        <w:spacing w:after="0" w:line="271" w:lineRule="auto"/>
        <w:rPr>
          <w:sz w:val="20"/>
          <w:szCs w:val="20"/>
          <w:color w:val="auto"/>
        </w:rPr>
      </w:pPr>
      <w:r>
        <w:rPr>
          <w:rFonts w:ascii="Times New Roman" w:cs="Times New Roman" w:eastAsia="Times New Roman" w:hAnsi="Times New Roman"/>
          <w:sz w:val="18"/>
          <w:szCs w:val="18"/>
          <w:color w:val="auto"/>
        </w:rPr>
        <w:t>extent that, such rights are expressly provided for in the certificate of incorporation.</w:t>
      </w:r>
    </w:p>
    <w:p>
      <w:pPr>
        <w:spacing w:after="0" w:line="380" w:lineRule="exact"/>
        <w:rPr>
          <w:sz w:val="20"/>
          <w:szCs w:val="20"/>
          <w:color w:val="auto"/>
        </w:rPr>
      </w:pPr>
    </w:p>
    <w:p>
      <w:pPr>
        <w:sectPr>
          <w:pgSz w:w="11900" w:h="16838" w:orient="portrait"/>
          <w:cols w:equalWidth="0" w:num="2">
            <w:col w:w="6340" w:space="0"/>
            <w:col w:w="3539"/>
          </w:cols>
          <w:pgMar w:left="580" w:top="97" w:right="1440" w:bottom="1440" w:gutter="0" w:footer="0" w:header="0"/>
          <w:type w:val="continuous"/>
        </w:sect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line="260" w:lineRule="auto"/>
        <w:framePr w:w="3200" w:h="3576" w:wrap="auto" w:vAnchor="page" w:hAnchor="page" w:x="6880" w:y="386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255" w:lineRule="auto"/>
        <w:framePr w:w="3200" w:h="1983" w:wrap="auto" w:vAnchor="page" w:hAnchor="page" w:x="6880" w:y="751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tbl>
      <w:tblPr>
        <w:tblLayout w:type="fixed"/>
        <w:tblInd w:w="1260" w:type="dxa"/>
        <w:tblCellMar>
          <w:top w:w="0" w:type="dxa"/>
          <w:left w:w="0" w:type="dxa"/>
          <w:bottom w:w="0" w:type="dxa"/>
          <w:right w:w="0" w:type="dxa"/>
        </w:tblCellMar>
      </w:tblPr>
      <w:tr>
        <w:trPr>
          <w:trHeight w:val="227"/>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 ​</w:t>
            </w:r>
          </w:p>
        </w:tc>
        <w:tc>
          <w:tcPr>
            <w:tcW w:w="292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205"/>
        </w:trPr>
        <w:tc>
          <w:tcPr>
            <w:tcW w:w="1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80"/>
              <w:spacing w:after="0" w:line="205" w:lineRule="exact"/>
              <w:rPr>
                <w:sz w:val="20"/>
                <w:szCs w:val="20"/>
                <w:color w:val="auto"/>
              </w:rPr>
            </w:pPr>
            <w:r>
              <w:rPr>
                <w:rFonts w:ascii="Times New Roman" w:cs="Times New Roman" w:eastAsia="Times New Roman" w:hAnsi="Times New Roman"/>
                <w:sz w:val="18"/>
                <w:szCs w:val="18"/>
                <w:color w:val="auto"/>
              </w:rPr>
              <w:t>​ ​</w:t>
            </w:r>
          </w:p>
        </w:tc>
        <w:tc>
          <w:tcPr>
            <w:tcW w:w="29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allotted for cash must be offered first</w:t>
            </w:r>
          </w:p>
        </w:tc>
        <w:tc>
          <w:tcPr>
            <w:tcW w:w="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top w:val="single" w:sz="8" w:color="auto"/>
            </w:tcBorders>
          </w:tcPr>
          <w:p>
            <w:pPr>
              <w:spacing w:after="0"/>
              <w:rPr>
                <w:sz w:val="17"/>
                <w:szCs w:val="17"/>
                <w:color w:val="auto"/>
              </w:rPr>
            </w:pPr>
          </w:p>
        </w:tc>
      </w:tr>
      <w:tr>
        <w:trPr>
          <w:trHeight w:val="230"/>
        </w:trPr>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 the existing equity shareholders in</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29"/>
        </w:trPr>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the company in proportion to the</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29"/>
        </w:trPr>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respective nominal value of their</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holdings, unless an exception applies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16"/>
        </w:trPr>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or a special resolution to the contrary</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29"/>
        </w:trPr>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has been passed by shareholders in a</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 or the articles of</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29"/>
        </w:trPr>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association provide otherwise in each</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29"/>
        </w:trPr>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case in accordance with the provisions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16"/>
        </w:trPr>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of the Companies Act 2006.</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29"/>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Authority to Allot</w:t>
            </w:r>
          </w:p>
        </w:tc>
        <w:tc>
          <w:tcPr>
            <w:tcW w:w="3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 Under the Companies Act 2006, the</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29"/>
        </w:trPr>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directors of a company must not allot</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shares or grant of rights to subscribe</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4"/>
        </w:trPr>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for or to convert any security into</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ind w:left="3420" w:right="3140"/>
        <w:spacing w:after="0" w:line="267" w:lineRule="auto"/>
        <w:rPr>
          <w:sz w:val="20"/>
          <w:szCs w:val="20"/>
          <w:color w:val="auto"/>
        </w:rPr>
      </w:pPr>
      <w:r>
        <w:rPr>
          <w:rFonts w:ascii="Times New Roman" w:cs="Times New Roman" w:eastAsia="Times New Roman" w:hAnsi="Times New Roman"/>
          <w:sz w:val="18"/>
          <w:szCs w:val="18"/>
          <w:color w:val="auto"/>
        </w:rPr>
        <w:t>shares unless an exception applies or an ordinary resolution to the contrary has been passed by shareholders in a general meeting or the articles of association provide otherwise in each case in accordance with the provisions of the Companies Act 2006.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7" w:lineRule="exact"/>
        <w:rPr>
          <w:rFonts w:ascii="Times New Roman" w:cs="Times New Roman" w:eastAsia="Times New Roman" w:hAnsi="Times New Roman"/>
          <w:sz w:val="18"/>
          <w:szCs w:val="18"/>
          <w:color w:val="auto"/>
        </w:rPr>
      </w:pPr>
    </w:p>
    <w:p>
      <w:pPr>
        <w:sectPr>
          <w:pgSz w:w="11900" w:h="16838" w:orient="portrait"/>
          <w:cols w:equalWidth="0" w:num="2">
            <w:col w:w="9460" w:space="0"/>
            <w:col w:w="419"/>
          </w:cols>
          <w:pgMar w:left="580" w:top="97" w:right="1440" w:bottom="1440" w:gutter="0" w:footer="0" w:header="0"/>
          <w:type w:val="continuous"/>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0"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Liability of Directors and ​ ​ Under the Companies Act 2006, any</w:t>
      </w:r>
    </w:p>
    <w:p>
      <w:pPr>
        <w:spacing w:after="0" w:line="27" w:lineRule="exact"/>
        <w:rPr>
          <w:rFonts w:ascii="Times New Roman" w:cs="Times New Roman" w:eastAsia="Times New Roman" w:hAnsi="Times New Roman"/>
          <w:sz w:val="18"/>
          <w:szCs w:val="18"/>
          <w:color w:val="auto"/>
        </w:rPr>
      </w:pPr>
    </w:p>
    <w:p>
      <w:pPr>
        <w:ind w:left="1260"/>
        <w:spacing w:after="0"/>
        <w:tabs>
          <w:tab w:leader="none" w:pos="3400" w:val="left"/>
        </w:tabs>
        <w:rPr>
          <w:sz w:val="20"/>
          <w:szCs w:val="20"/>
          <w:color w:val="auto"/>
        </w:rPr>
      </w:pPr>
      <w:r>
        <w:rPr>
          <w:rFonts w:ascii="Times New Roman" w:cs="Times New Roman" w:eastAsia="Times New Roman" w:hAnsi="Times New Roman"/>
          <w:sz w:val="18"/>
          <w:szCs w:val="18"/>
          <w:color w:val="auto"/>
        </w:rPr>
        <w:t>Officers</w:t>
      </w:r>
      <w:r>
        <w:rPr>
          <w:sz w:val="20"/>
          <w:szCs w:val="20"/>
          <w:color w:val="auto"/>
        </w:rPr>
        <w:tab/>
      </w:r>
      <w:r>
        <w:rPr>
          <w:rFonts w:ascii="Times New Roman" w:cs="Times New Roman" w:eastAsia="Times New Roman" w:hAnsi="Times New Roman"/>
          <w:sz w:val="18"/>
          <w:szCs w:val="18"/>
          <w:color w:val="auto"/>
        </w:rPr>
        <w:t>provision, whether contained in a</w:t>
      </w:r>
    </w:p>
    <w:p>
      <w:pPr>
        <w:spacing w:after="0" w:line="23"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company’s articles of association or</w:t>
      </w:r>
    </w:p>
    <w:p>
      <w:pPr>
        <w:spacing w:after="0" w:line="23"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any contract or otherwise, that</w:t>
      </w:r>
    </w:p>
    <w:p>
      <w:pPr>
        <w:spacing w:after="0" w:line="23"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purports to exempt a director of a</w:t>
      </w:r>
    </w:p>
    <w:p>
      <w:pPr>
        <w:spacing w:after="0" w:line="23"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company, to any extent, from any</w:t>
      </w:r>
    </w:p>
    <w:p>
      <w:pPr>
        <w:spacing w:after="0" w:line="9"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liability that would otherwise attach</w:t>
      </w:r>
    </w:p>
    <w:p>
      <w:pPr>
        <w:spacing w:after="0" w:line="23"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to him in connection with any</w:t>
      </w:r>
    </w:p>
    <w:p>
      <w:pPr>
        <w:spacing w:after="0" w:line="23"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negligence, default, breach of duty or</w:t>
      </w:r>
    </w:p>
    <w:p>
      <w:pPr>
        <w:spacing w:after="0" w:line="23"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breach of trust in relation to the</w:t>
      </w:r>
    </w:p>
    <w:p>
      <w:pPr>
        <w:spacing w:after="0" w:line="23"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company is void.</w:t>
      </w:r>
    </w:p>
    <w:tbl>
      <w:tblPr>
        <w:tblLayout w:type="fixed"/>
        <w:tblInd w:w="1260" w:type="dxa"/>
        <w:tblCellMar>
          <w:top w:w="0" w:type="dxa"/>
          <w:left w:w="0" w:type="dxa"/>
          <w:bottom w:w="0" w:type="dxa"/>
          <w:right w:w="0" w:type="dxa"/>
        </w:tblCellMar>
      </w:tblPr>
      <w:tr>
        <w:trPr>
          <w:trHeight w:val="28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940"/>
              <w:spacing w:after="0" w:line="287" w:lineRule="exact"/>
              <w:rPr>
                <w:sz w:val="20"/>
                <w:szCs w:val="20"/>
                <w:color w:val="auto"/>
              </w:rPr>
            </w:pP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 xml:space="preserve"> Any provision by which a company</w:t>
            </w:r>
          </w:p>
        </w:tc>
      </w:tr>
      <w:tr>
        <w:trPr>
          <w:trHeight w:val="230"/>
        </w:trPr>
        <w:tc>
          <w:tcPr>
            <w:tcW w:w="1000" w:type="dxa"/>
            <w:vAlign w:val="bottom"/>
          </w:tcPr>
          <w:p>
            <w:pPr>
              <w:spacing w:after="0"/>
              <w:rPr>
                <w:sz w:val="19"/>
                <w:szCs w:val="19"/>
                <w:color w:val="auto"/>
              </w:rPr>
            </w:pPr>
          </w:p>
        </w:tc>
        <w:tc>
          <w:tcPr>
            <w:tcW w:w="40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directly or indirectly provides an</w:t>
            </w:r>
          </w:p>
        </w:tc>
      </w:tr>
      <w:tr>
        <w:trPr>
          <w:trHeight w:val="230"/>
        </w:trPr>
        <w:tc>
          <w:tcPr>
            <w:tcW w:w="1000" w:type="dxa"/>
            <w:vAlign w:val="bottom"/>
          </w:tcPr>
          <w:p>
            <w:pPr>
              <w:spacing w:after="0"/>
              <w:rPr>
                <w:sz w:val="19"/>
                <w:szCs w:val="19"/>
                <w:color w:val="auto"/>
              </w:rPr>
            </w:pPr>
          </w:p>
        </w:tc>
        <w:tc>
          <w:tcPr>
            <w:tcW w:w="40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indemnity, to any extent, for a director</w:t>
            </w:r>
          </w:p>
        </w:tc>
      </w:tr>
      <w:tr>
        <w:trPr>
          <w:trHeight w:val="230"/>
        </w:trPr>
        <w:tc>
          <w:tcPr>
            <w:tcW w:w="1000" w:type="dxa"/>
            <w:vAlign w:val="bottom"/>
          </w:tcPr>
          <w:p>
            <w:pPr>
              <w:spacing w:after="0"/>
              <w:rPr>
                <w:sz w:val="19"/>
                <w:szCs w:val="19"/>
                <w:color w:val="auto"/>
              </w:rPr>
            </w:pPr>
          </w:p>
        </w:tc>
        <w:tc>
          <w:tcPr>
            <w:tcW w:w="40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of the company or of an associated</w:t>
            </w:r>
          </w:p>
        </w:tc>
      </w:tr>
      <w:tr>
        <w:trPr>
          <w:trHeight w:val="229"/>
        </w:trPr>
        <w:tc>
          <w:tcPr>
            <w:tcW w:w="1000" w:type="dxa"/>
            <w:vAlign w:val="bottom"/>
          </w:tcPr>
          <w:p>
            <w:pPr>
              <w:spacing w:after="0"/>
              <w:rPr>
                <w:sz w:val="19"/>
                <w:szCs w:val="19"/>
                <w:color w:val="auto"/>
              </w:rPr>
            </w:pPr>
          </w:p>
        </w:tc>
        <w:tc>
          <w:tcPr>
            <w:tcW w:w="40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company against any liability</w:t>
            </w:r>
          </w:p>
        </w:tc>
      </w:tr>
      <w:tr>
        <w:trPr>
          <w:trHeight w:val="216"/>
        </w:trPr>
        <w:tc>
          <w:tcPr>
            <w:tcW w:w="1000" w:type="dxa"/>
            <w:vAlign w:val="bottom"/>
          </w:tcPr>
          <w:p>
            <w:pPr>
              <w:spacing w:after="0"/>
              <w:rPr>
                <w:sz w:val="18"/>
                <w:szCs w:val="18"/>
                <w:color w:val="auto"/>
              </w:rPr>
            </w:pPr>
          </w:p>
        </w:tc>
        <w:tc>
          <w:tcPr>
            <w:tcW w:w="40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attaching to him in connection with</w:t>
            </w:r>
          </w:p>
        </w:tc>
      </w:tr>
      <w:tr>
        <w:trPr>
          <w:trHeight w:val="230"/>
        </w:trPr>
        <w:tc>
          <w:tcPr>
            <w:tcW w:w="1000" w:type="dxa"/>
            <w:vAlign w:val="bottom"/>
          </w:tcPr>
          <w:p>
            <w:pPr>
              <w:spacing w:after="0"/>
              <w:rPr>
                <w:sz w:val="19"/>
                <w:szCs w:val="19"/>
                <w:color w:val="auto"/>
              </w:rPr>
            </w:pPr>
          </w:p>
        </w:tc>
        <w:tc>
          <w:tcPr>
            <w:tcW w:w="40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any negligence, default, breach of</w:t>
            </w:r>
          </w:p>
        </w:tc>
      </w:tr>
      <w:tr>
        <w:trPr>
          <w:trHeight w:val="229"/>
        </w:trPr>
        <w:tc>
          <w:tcPr>
            <w:tcW w:w="1000" w:type="dxa"/>
            <w:vAlign w:val="bottom"/>
          </w:tcPr>
          <w:p>
            <w:pPr>
              <w:spacing w:after="0"/>
              <w:rPr>
                <w:sz w:val="19"/>
                <w:szCs w:val="19"/>
                <w:color w:val="auto"/>
              </w:rPr>
            </w:pPr>
          </w:p>
        </w:tc>
        <w:tc>
          <w:tcPr>
            <w:tcW w:w="40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duty or breach of trust in relation to</w:t>
            </w:r>
          </w:p>
        </w:tc>
      </w:tr>
      <w:tr>
        <w:trPr>
          <w:trHeight w:val="229"/>
        </w:trPr>
        <w:tc>
          <w:tcPr>
            <w:tcW w:w="1000" w:type="dxa"/>
            <w:vAlign w:val="bottom"/>
          </w:tcPr>
          <w:p>
            <w:pPr>
              <w:spacing w:after="0"/>
              <w:rPr>
                <w:sz w:val="19"/>
                <w:szCs w:val="19"/>
                <w:color w:val="auto"/>
              </w:rPr>
            </w:pPr>
          </w:p>
        </w:tc>
        <w:tc>
          <w:tcPr>
            <w:tcW w:w="40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the company of which he is a director</w:t>
            </w:r>
          </w:p>
        </w:tc>
      </w:tr>
      <w:tr>
        <w:trPr>
          <w:trHeight w:val="230"/>
        </w:trPr>
        <w:tc>
          <w:tcPr>
            <w:tcW w:w="1000" w:type="dxa"/>
            <w:vAlign w:val="bottom"/>
          </w:tcPr>
          <w:p>
            <w:pPr>
              <w:spacing w:after="0"/>
              <w:rPr>
                <w:sz w:val="19"/>
                <w:szCs w:val="19"/>
                <w:color w:val="auto"/>
              </w:rPr>
            </w:pPr>
          </w:p>
        </w:tc>
        <w:tc>
          <w:tcPr>
            <w:tcW w:w="40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is also void except as permitted by the</w:t>
            </w:r>
          </w:p>
        </w:tc>
      </w:tr>
      <w:tr>
        <w:trPr>
          <w:trHeight w:val="229"/>
        </w:trPr>
        <w:tc>
          <w:tcPr>
            <w:tcW w:w="1000" w:type="dxa"/>
            <w:vAlign w:val="bottom"/>
          </w:tcPr>
          <w:p>
            <w:pPr>
              <w:spacing w:after="0"/>
              <w:rPr>
                <w:sz w:val="19"/>
                <w:szCs w:val="19"/>
                <w:color w:val="auto"/>
              </w:rPr>
            </w:pPr>
          </w:p>
        </w:tc>
        <w:tc>
          <w:tcPr>
            <w:tcW w:w="40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Companies Act 2006, which provides</w:t>
            </w:r>
          </w:p>
        </w:tc>
      </w:tr>
      <w:tr>
        <w:trPr>
          <w:trHeight w:val="234"/>
        </w:trPr>
        <w:tc>
          <w:tcPr>
            <w:tcW w:w="1000" w:type="dxa"/>
            <w:vAlign w:val="bottom"/>
          </w:tcPr>
          <w:p>
            <w:pPr>
              <w:spacing w:after="0"/>
              <w:rPr>
                <w:sz w:val="20"/>
                <w:szCs w:val="20"/>
                <w:color w:val="auto"/>
              </w:rPr>
            </w:pPr>
          </w:p>
        </w:tc>
        <w:tc>
          <w:tcPr>
            <w:tcW w:w="40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exceptions</w:t>
            </w: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68"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404" w:hanging="404"/>
        <w:spacing w:after="0" w:line="216" w:lineRule="auto"/>
        <w:tabs>
          <w:tab w:leader="none" w:pos="116" w:val="left"/>
        </w:tabs>
        <w:numPr>
          <w:ilvl w:val="0"/>
          <w:numId w:val="1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any breach of the director’s duty of loyalty to the corporation or its stockholders;</w:t>
      </w:r>
    </w:p>
    <w:p>
      <w:pPr>
        <w:spacing w:after="0" w:line="145" w:lineRule="exact"/>
        <w:rPr>
          <w:rFonts w:ascii="Times New Roman" w:cs="Times New Roman" w:eastAsia="Times New Roman" w:hAnsi="Times New Roman"/>
          <w:sz w:val="36"/>
          <w:szCs w:val="36"/>
          <w:color w:val="auto"/>
          <w:vertAlign w:val="superscript"/>
        </w:rPr>
      </w:pPr>
    </w:p>
    <w:p>
      <w:pPr>
        <w:ind w:left="404" w:right="40" w:hanging="188"/>
        <w:spacing w:after="0" w:line="276" w:lineRule="auto"/>
        <w:tabs>
          <w:tab w:leader="none" w:pos="4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14" w:lineRule="exact"/>
        <w:rPr>
          <w:rFonts w:ascii="Times New Roman" w:cs="Times New Roman" w:eastAsia="Times New Roman" w:hAnsi="Times New Roman"/>
          <w:sz w:val="18"/>
          <w:szCs w:val="18"/>
          <w:color w:val="auto"/>
        </w:rPr>
      </w:pPr>
    </w:p>
    <w:p>
      <w:pPr>
        <w:ind w:left="404" w:hanging="188"/>
        <w:spacing w:after="0" w:line="281" w:lineRule="auto"/>
        <w:tabs>
          <w:tab w:leader="none" w:pos="4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or negligent payment of unlawful dividends or stock purchases or redemptions; or</w:t>
      </w:r>
    </w:p>
    <w:p>
      <w:pPr>
        <w:spacing w:after="0" w:line="96" w:lineRule="exact"/>
        <w:rPr>
          <w:rFonts w:ascii="Times New Roman" w:cs="Times New Roman" w:eastAsia="Times New Roman" w:hAnsi="Times New Roman"/>
          <w:sz w:val="18"/>
          <w:szCs w:val="18"/>
          <w:color w:val="auto"/>
        </w:rPr>
      </w:pPr>
    </w:p>
    <w:p>
      <w:pPr>
        <w:ind w:left="404" w:hanging="188"/>
        <w:spacing w:after="0"/>
        <w:tabs>
          <w:tab w:leader="none" w:pos="4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980" w:lineRule="exact"/>
        <w:rPr>
          <w:rFonts w:ascii="Times New Roman" w:cs="Times New Roman" w:eastAsia="Times New Roman" w:hAnsi="Times New Roman"/>
          <w:sz w:val="18"/>
          <w:szCs w:val="18"/>
          <w:color w:val="auto"/>
        </w:rPr>
      </w:pPr>
    </w:p>
    <w:p>
      <w:pPr>
        <w:sectPr>
          <w:pgSz w:w="11900" w:h="16838" w:orient="portrait"/>
          <w:cols w:equalWidth="0" w:num="3">
            <w:col w:w="6320" w:space="16"/>
            <w:col w:w="3064" w:space="60"/>
            <w:col w:w="419"/>
          </w:cols>
          <w:pgMar w:left="580" w:top="97" w:right="1440" w:bottom="1440" w:gutter="0" w:footer="0" w:header="0"/>
          <w:type w:val="continuous"/>
        </w:sectPr>
      </w:pPr>
    </w:p>
    <w:p>
      <w:pPr>
        <w:spacing w:after="0" w:line="187"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260"/>
        <w:spacing w:after="0"/>
        <w:tabs>
          <w:tab w:leader="none" w:pos="3240" w:val="left"/>
          <w:tab w:leader="none" w:pos="4280" w:val="left"/>
          <w:tab w:leader="none" w:pos="6380" w:val="left"/>
          <w:tab w:leader="none" w:pos="772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England and Wales</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ectPr>
          <w:pgSz w:w="11900" w:h="16838" w:orient="portrait"/>
          <w:cols w:equalWidth="0" w:num="1">
            <w:col w:w="9879"/>
          </w:cols>
          <w:pgMar w:left="580" w:top="97" w:right="1440" w:bottom="1440" w:gutter="0" w:footer="0" w:header="0"/>
        </w:sectPr>
      </w:pPr>
    </w:p>
    <w:p>
      <w:pPr>
        <w:spacing w:after="0" w:line="66"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85"/>
        </w:trPr>
        <w:tc>
          <w:tcPr>
            <w:tcW w:w="14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w:t>
            </w:r>
          </w:p>
        </w:tc>
        <w:tc>
          <w:tcPr>
            <w:tcW w:w="3600" w:type="dxa"/>
            <w:vAlign w:val="bottom"/>
            <w:gridSpan w:val="4"/>
          </w:tcPr>
          <w:p>
            <w:pPr>
              <w:ind w:left="460"/>
              <w:spacing w:after="0" w:line="185" w:lineRule="exact"/>
              <w:rPr>
                <w:sz w:val="20"/>
                <w:szCs w:val="20"/>
                <w:color w:val="auto"/>
              </w:rPr>
            </w:pPr>
            <w:r>
              <w:rPr>
                <w:rFonts w:ascii="Times New Roman" w:cs="Times New Roman" w:eastAsia="Times New Roman" w:hAnsi="Times New Roman"/>
                <w:sz w:val="18"/>
                <w:szCs w:val="18"/>
                <w:color w:val="auto"/>
              </w:rPr>
              <w:t>​ ​ for the company to (a) purchase and</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maintain insurance against such</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liability; (b) provide a “qualifying</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party indemnity” (being​</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an</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indemnity against liability incurred by</w:t>
            </w:r>
          </w:p>
        </w:tc>
      </w:tr>
      <w:tr>
        <w:trPr>
          <w:trHeight w:val="216"/>
        </w:trPr>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director to a person other than the</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or an associated company or</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criminal proceedings in which he is</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convicted); and (c) provide a</w:t>
            </w:r>
          </w:p>
        </w:tc>
        <w:tc>
          <w:tcPr>
            <w:tcW w:w="660" w:type="dxa"/>
            <w:vAlign w:val="bottom"/>
          </w:tcPr>
          <w:p>
            <w:pPr>
              <w:spacing w:after="0"/>
              <w:rPr>
                <w:sz w:val="19"/>
                <w:szCs w:val="19"/>
                <w:color w:val="auto"/>
              </w:rPr>
            </w:pP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“qualifying pension scheme</w:t>
            </w:r>
          </w:p>
        </w:tc>
        <w:tc>
          <w:tcPr>
            <w:tcW w:w="660" w:type="dxa"/>
            <w:vAlign w:val="bottom"/>
          </w:tcPr>
          <w:p>
            <w:pPr>
              <w:spacing w:after="0"/>
              <w:rPr>
                <w:sz w:val="19"/>
                <w:szCs w:val="19"/>
                <w:color w:val="auto"/>
              </w:rPr>
            </w:pP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indemnity” (being​</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 indemnity</w:t>
            </w:r>
          </w:p>
        </w:tc>
      </w:tr>
      <w:tr>
        <w:trPr>
          <w:trHeight w:val="216"/>
        </w:trPr>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 liability incurred in</w:t>
            </w:r>
          </w:p>
        </w:tc>
        <w:tc>
          <w:tcPr>
            <w:tcW w:w="660" w:type="dxa"/>
            <w:vAlign w:val="bottom"/>
          </w:tcPr>
          <w:p>
            <w:pPr>
              <w:spacing w:after="0"/>
              <w:rPr>
                <w:sz w:val="18"/>
                <w:szCs w:val="18"/>
                <w:color w:val="auto"/>
              </w:rPr>
            </w:pP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connection with the company’s</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activities as trustee of an occupational</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pension plan).</w:t>
            </w: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Voting Rights</w:t>
            </w:r>
          </w:p>
        </w:tc>
        <w:tc>
          <w:tcPr>
            <w:tcW w:w="36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 ​ Under English law, unless a poll is</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demanded by the shareholders of a</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or is required by the</w:t>
            </w:r>
          </w:p>
        </w:tc>
        <w:tc>
          <w:tcPr>
            <w:tcW w:w="660" w:type="dxa"/>
            <w:vAlign w:val="bottom"/>
          </w:tcPr>
          <w:p>
            <w:pPr>
              <w:spacing w:after="0"/>
              <w:rPr>
                <w:sz w:val="19"/>
                <w:szCs w:val="19"/>
                <w:color w:val="auto"/>
              </w:rPr>
            </w:pP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meeting or the</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company’s articles of association,</w:t>
            </w:r>
          </w:p>
        </w:tc>
      </w:tr>
      <w:tr>
        <w:trPr>
          <w:trHeight w:val="216"/>
        </w:trPr>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shall vote on all</w:t>
            </w:r>
          </w:p>
        </w:tc>
        <w:tc>
          <w:tcPr>
            <w:tcW w:w="660" w:type="dxa"/>
            <w:vAlign w:val="bottom"/>
          </w:tcPr>
          <w:p>
            <w:pPr>
              <w:spacing w:after="0"/>
              <w:rPr>
                <w:sz w:val="18"/>
                <w:szCs w:val="18"/>
                <w:color w:val="auto"/>
              </w:rPr>
            </w:pP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resolutions on a show of hands. Under</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Companies Act 2006, a poll may</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 demanded by (a) not fewer than</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five shareholders having the right to</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vote on the resolution; (b) any</w:t>
            </w:r>
          </w:p>
        </w:tc>
      </w:tr>
      <w:tr>
        <w:trPr>
          <w:trHeight w:val="216"/>
        </w:trPr>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representing not less</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than 10% of the total voting rights of</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the shareholders having the right to</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vote on the resolution (excluding any</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voting rights attaching to treasury</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or (c) any shareholder(s)</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holding shares in the company</w:t>
            </w:r>
          </w:p>
        </w:tc>
      </w:tr>
      <w:tr>
        <w:trPr>
          <w:trHeight w:val="216"/>
        </w:trPr>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conferring a right to vote on the</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resolution (excluding any voting</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rights attaching to treasury shares)</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being shares on which an aggregate</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 has been paid up equal to not less</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than 10% of the total sum paid up on</w:t>
            </w:r>
          </w:p>
        </w:tc>
      </w:tr>
      <w:tr>
        <w:trPr>
          <w:trHeight w:val="216"/>
        </w:trPr>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the shares conferring that right. A</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company’s articles of association may</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provide more extensive rights for</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to call a poll.</w:t>
            </w:r>
          </w:p>
        </w:tc>
        <w:tc>
          <w:tcPr>
            <w:tcW w:w="660" w:type="dxa"/>
            <w:vAlign w:val="bottom"/>
          </w:tcPr>
          <w:p>
            <w:pPr>
              <w:spacing w:after="0"/>
              <w:rPr>
                <w:sz w:val="19"/>
                <w:szCs w:val="19"/>
                <w:color w:val="auto"/>
              </w:rPr>
            </w:pPr>
          </w:p>
        </w:tc>
      </w:tr>
      <w:tr>
        <w:trPr>
          <w:trHeight w:val="23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 ​ Under English law, an ordinary</w:t>
            </w:r>
          </w:p>
        </w:tc>
      </w:tr>
      <w:tr>
        <w:trPr>
          <w:trHeight w:val="229"/>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resolution is passed on a show of</w:t>
            </w:r>
          </w:p>
        </w:tc>
      </w:tr>
      <w:tr>
        <w:trPr>
          <w:trHeight w:val="230"/>
        </w:trPr>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hands if it is approved by a simple</w:t>
            </w:r>
          </w:p>
        </w:tc>
      </w:tr>
      <w:tr>
        <w:trPr>
          <w:trHeight w:val="234"/>
        </w:trPr>
        <w:tc>
          <w:tcPr>
            <w:tcW w:w="1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majority (more than 50%) of the votes</w:t>
            </w:r>
          </w:p>
        </w:tc>
      </w:tr>
    </w:tbl>
    <w:p>
      <w:pPr>
        <w:ind w:left="3420"/>
        <w:spacing w:after="0"/>
        <w:rPr>
          <w:sz w:val="20"/>
          <w:szCs w:val="20"/>
          <w:color w:val="auto"/>
        </w:rPr>
      </w:pPr>
      <w:r>
        <w:rPr>
          <w:rFonts w:ascii="Times New Roman" w:cs="Times New Roman" w:eastAsia="Times New Roman" w:hAnsi="Times New Roman"/>
          <w:sz w:val="18"/>
          <w:szCs w:val="18"/>
          <w:color w:val="auto"/>
        </w:rPr>
        <w:t>cast by shareholders present (in</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person or by proxy) and entitled to</w:t>
      </w: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31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 ​   director derives an improper</w:t>
            </w:r>
          </w:p>
        </w:tc>
        <w:tc>
          <w:tcPr>
            <w:tcW w:w="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20" w:type="dxa"/>
            <w:vAlign w:val="bottom"/>
          </w:tcPr>
          <w:p>
            <w:pPr>
              <w:spacing w:after="0"/>
              <w:rPr>
                <w:sz w:val="20"/>
                <w:szCs w:val="20"/>
                <w:color w:val="auto"/>
              </w:rPr>
            </w:pPr>
          </w:p>
        </w:tc>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personal benefit.</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color w:val="auto"/>
        </w:rPr>
        <w:t>​ ​ Delaware law provides that, unless</w:t>
        <w:tab/>
        <w:t>​</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otherwise provided in the certificate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of incorporation, each stockholder is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entitled to one vote for each share of</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capital stock held by such</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2">
            <w:col w:w="6340" w:space="0"/>
            <w:col w:w="353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w:t>
            </w:r>
          </w:p>
        </w:tc>
        <w:tc>
          <w:tcPr>
            <w:tcW w:w="280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78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18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 ​</w:t>
            </w:r>
          </w:p>
        </w:tc>
        <w:tc>
          <w:tcPr>
            <w:tcW w:w="292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vote. If a poll is demanded, an</w:t>
            </w:r>
          </w:p>
        </w:tc>
        <w:tc>
          <w:tcPr>
            <w:tcW w:w="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2780" w:type="dxa"/>
            <w:vAlign w:val="bottom"/>
            <w:tcBorders>
              <w:top w:val="single" w:sz="8" w:color="auto"/>
            </w:tcBorders>
          </w:tcPr>
          <w:p>
            <w:pPr>
              <w:spacing w:after="0"/>
              <w:rPr>
                <w:sz w:val="17"/>
                <w:szCs w:val="17"/>
                <w:color w:val="auto"/>
              </w:rPr>
            </w:pPr>
          </w:p>
        </w:tc>
        <w:tc>
          <w:tcPr>
            <w:tcW w:w="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resolution is passed if it is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by holders representing a</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simple majority of the total voting</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shareholders present, in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 or by proxy, who, being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entitled to vote, vote on the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Special resolutions require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affirmative vote of not less than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75% of the votes cast by shareholders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in person or by proxy, at the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Shareholder Vote on</w:t>
            </w:r>
          </w:p>
        </w:tc>
        <w:tc>
          <w:tcPr>
            <w:tcW w:w="63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 ​ The Companies Act 2006 provides for ​ ​ Generally, under Delaware law, unless ​</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Certain Transactions</w:t>
            </w: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schemes of arrangement, which are</w:t>
            </w:r>
          </w:p>
        </w:tc>
        <w:tc>
          <w:tcPr>
            <w:tcW w:w="2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certificate of incorporation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arrangements or compromises</w:t>
            </w:r>
          </w:p>
        </w:tc>
        <w:tc>
          <w:tcPr>
            <w:tcW w:w="2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provides for the vote of a larger</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a company and any class of</w:t>
            </w:r>
          </w:p>
        </w:tc>
        <w:tc>
          <w:tcPr>
            <w:tcW w:w="2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portion of the stock, completion of 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or creditors and used in</w:t>
            </w:r>
          </w:p>
        </w:tc>
        <w:tc>
          <w:tcPr>
            <w:tcW w:w="2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consolidation, sale, lease 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types of reconstructions,</w:t>
            </w:r>
          </w:p>
        </w:tc>
        <w:tc>
          <w:tcPr>
            <w:tcW w:w="2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of all or substantially all of</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amalgamations, capital</w:t>
            </w:r>
          </w:p>
        </w:tc>
        <w:tc>
          <w:tcPr>
            <w:tcW w:w="2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corporation’s assets or dissolution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reorganizations or takeovers. These</w:t>
            </w:r>
          </w:p>
        </w:tc>
        <w:tc>
          <w:tcPr>
            <w:tcW w:w="2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arrangements require:</w:t>
            </w:r>
          </w:p>
        </w:tc>
        <w:tc>
          <w:tcPr>
            <w:tcW w:w="220" w:type="dxa"/>
            <w:vAlign w:val="bottom"/>
          </w:tcPr>
          <w:p>
            <w:pPr>
              <w:spacing w:after="0"/>
              <w:rPr>
                <w:sz w:val="20"/>
                <w:szCs w:val="2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the approval of the board of</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the approval at a shareholders’ or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and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creditors’ meeting convened by</w:t>
            </w:r>
          </w:p>
        </w:tc>
        <w:tc>
          <w:tcPr>
            <w:tcW w:w="220" w:type="dxa"/>
            <w:vAlign w:val="bottom"/>
          </w:tcPr>
          <w:p>
            <w:pPr>
              <w:spacing w:after="0"/>
              <w:rPr>
                <w:sz w:val="19"/>
                <w:szCs w:val="19"/>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approval by the vote of the holders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order of the court, of a majority in</w:t>
            </w: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of a majority of the outstanding</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number of shareholders or creditors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stock or, if the certificate of</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representing 75% in value of the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incorporation provides for more or</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capital held by, or debt owed to, the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less than one vote per share, a</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class of shareholders or creditors,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1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majority of the votes of the</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or class thereof present and voting,</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outstanding stock of a corporation</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either in person or by proxy;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entitled to vote on the matter.</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the approval of the court.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Standard of Conduct for</w:t>
            </w:r>
          </w:p>
        </w:tc>
        <w:tc>
          <w:tcPr>
            <w:tcW w:w="32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Under English law, a director owes</w:t>
            </w: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Delaware law does not contain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various statutory and fiduciary duties</w:t>
            </w:r>
          </w:p>
        </w:tc>
        <w:tc>
          <w:tcPr>
            <w:tcW w:w="2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specific provisions setting forth the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the company, including:</w:t>
            </w:r>
          </w:p>
        </w:tc>
        <w:tc>
          <w:tcPr>
            <w:tcW w:w="2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standard of conduct of a director. The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to act in the way he considers, in</w:t>
            </w:r>
          </w:p>
        </w:tc>
        <w:tc>
          <w:tcPr>
            <w:tcW w:w="2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scope of the fiduciary duties of</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directors is generally determined by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good faith, would be most likely to</w:t>
            </w:r>
          </w:p>
        </w:tc>
        <w:tc>
          <w:tcPr>
            <w:tcW w:w="220" w:type="dxa"/>
            <w:vAlign w:val="bottom"/>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courts of the State of Delaware. In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promote the success of the company</w:t>
            </w:r>
          </w:p>
        </w:tc>
        <w:tc>
          <w:tcPr>
            <w:tcW w:w="220" w:type="dxa"/>
            <w:vAlign w:val="bottom"/>
          </w:tcPr>
          <w:p>
            <w:pPr>
              <w:spacing w:after="0"/>
              <w:rPr>
                <w:sz w:val="5"/>
                <w:szCs w:val="5"/>
                <w:color w:val="auto"/>
              </w:rPr>
            </w:pPr>
          </w:p>
        </w:tc>
        <w:tc>
          <w:tcPr>
            <w:tcW w:w="29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general, directors have a duty to act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for the benefit of its members as a</w:t>
            </w:r>
          </w:p>
        </w:tc>
        <w:tc>
          <w:tcPr>
            <w:tcW w:w="220" w:type="dxa"/>
            <w:vAlign w:val="bottom"/>
          </w:tcPr>
          <w:p>
            <w:pPr>
              <w:spacing w:after="0"/>
              <w:rPr>
                <w:sz w:val="5"/>
                <w:szCs w:val="5"/>
                <w:color w:val="auto"/>
              </w:rPr>
            </w:pPr>
          </w:p>
        </w:tc>
        <w:tc>
          <w:tcPr>
            <w:tcW w:w="29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without self-interest, on a well-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1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whole;</w:t>
            </w:r>
          </w:p>
        </w:tc>
        <w:tc>
          <w:tcPr>
            <w:tcW w:w="220" w:type="dxa"/>
            <w:vAlign w:val="bottom"/>
          </w:tcPr>
          <w:p>
            <w:pPr>
              <w:spacing w:after="0"/>
              <w:rPr>
                <w:sz w:val="5"/>
                <w:szCs w:val="5"/>
                <w:color w:val="auto"/>
              </w:rPr>
            </w:pPr>
          </w:p>
        </w:tc>
        <w:tc>
          <w:tcPr>
            <w:tcW w:w="29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informed basis and in a manner they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to avoid a situation in which he has,</w:t>
            </w:r>
          </w:p>
        </w:tc>
        <w:tc>
          <w:tcPr>
            <w:tcW w:w="2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reasonably believe to be in the best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 of the stockholders.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or can have, a direct or indirect</w:t>
            </w:r>
          </w:p>
        </w:tc>
        <w:tc>
          <w:tcPr>
            <w:tcW w:w="220" w:type="dxa"/>
            <w:vAlign w:val="bottom"/>
          </w:tcPr>
          <w:p>
            <w:pPr>
              <w:spacing w:after="0"/>
              <w:rPr>
                <w:sz w:val="13"/>
                <w:szCs w:val="13"/>
                <w:color w:val="auto"/>
              </w:rPr>
            </w:pPr>
          </w:p>
        </w:tc>
        <w:tc>
          <w:tcPr>
            <w:tcW w:w="2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that conflicts, or possibly</w:t>
            </w:r>
          </w:p>
        </w:tc>
        <w:tc>
          <w:tcPr>
            <w:tcW w:w="2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of a Delaware corporation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conflicts, with the interests of the</w:t>
            </w:r>
          </w:p>
        </w:tc>
        <w:tc>
          <w:tcPr>
            <w:tcW w:w="2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owe fiduciary duties of care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w:t>
            </w:r>
          </w:p>
        </w:tc>
        <w:tc>
          <w:tcPr>
            <w:tcW w:w="220" w:type="dxa"/>
            <w:vAlign w:val="bottom"/>
          </w:tcPr>
          <w:p>
            <w:pPr>
              <w:spacing w:after="0"/>
              <w:rPr>
                <w:sz w:val="22"/>
                <w:szCs w:val="22"/>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loyalty to the corporation and to its</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to act in accordance with the</w:t>
            </w:r>
          </w:p>
        </w:tc>
        <w:tc>
          <w:tcPr>
            <w:tcW w:w="2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The duty of care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90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auto"/>
              </w:rPr>
              <w:t>generally requires that a director act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600" w:type="dxa"/>
        <w:tblCellMar>
          <w:top w:w="0" w:type="dxa"/>
          <w:left w:w="0" w:type="dxa"/>
          <w:bottom w:w="0" w:type="dxa"/>
          <w:right w:w="0" w:type="dxa"/>
        </w:tblCellMar>
      </w:tblPr>
      <w:tr>
        <w:trPr>
          <w:trHeight w:val="20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company’s constitution and only</w:t>
            </w:r>
          </w:p>
        </w:tc>
        <w:tc>
          <w:tcPr>
            <w:tcW w:w="28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in good faith, with the care that an</w:t>
            </w:r>
          </w:p>
        </w:tc>
        <w:tc>
          <w:tcPr>
            <w:tcW w:w="0" w:type="dxa"/>
            <w:vAlign w:val="bottom"/>
          </w:tcPr>
          <w:p>
            <w:pPr>
              <w:spacing w:after="0"/>
              <w:rPr>
                <w:sz w:val="1"/>
                <w:szCs w:val="1"/>
                <w:color w:val="auto"/>
              </w:rPr>
            </w:pPr>
          </w:p>
        </w:tc>
      </w:tr>
      <w:tr>
        <w:trPr>
          <w:trHeight w:val="113"/>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exercise his powers for the</w:t>
            </w:r>
          </w:p>
        </w:tc>
        <w:tc>
          <w:tcPr>
            <w:tcW w:w="2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00" w:type="dxa"/>
            <w:vAlign w:val="bottom"/>
            <w:vMerge w:val="continue"/>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purposes</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 ​</w:t>
            </w:r>
          </w:p>
        </w:tc>
        <w:tc>
          <w:tcPr>
            <w:tcW w:w="29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England and Wales</w:t>
            </w:r>
          </w:p>
        </w:tc>
      </w:tr>
      <w:tr>
        <w:trPr>
          <w:trHeight w:val="22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which they are conferred;</w:t>
            </w:r>
          </w:p>
        </w:tc>
      </w:tr>
    </w:tbl>
    <w:p>
      <w:pPr>
        <w:spacing w:after="0" w:line="125" w:lineRule="exact"/>
        <w:rPr>
          <w:sz w:val="20"/>
          <w:szCs w:val="20"/>
          <w:color w:val="auto"/>
        </w:rPr>
      </w:pPr>
    </w:p>
    <w:p>
      <w:pPr>
        <w:ind w:left="3560" w:hanging="140"/>
        <w:spacing w:after="0"/>
        <w:tabs>
          <w:tab w:leader="none" w:pos="3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independent judgment;</w:t>
      </w:r>
    </w:p>
    <w:p>
      <w:pPr>
        <w:spacing w:after="0" w:line="130" w:lineRule="exact"/>
        <w:rPr>
          <w:rFonts w:ascii="Times New Roman" w:cs="Times New Roman" w:eastAsia="Times New Roman" w:hAnsi="Times New Roman"/>
          <w:sz w:val="18"/>
          <w:szCs w:val="18"/>
          <w:color w:val="auto"/>
        </w:rPr>
      </w:pPr>
    </w:p>
    <w:p>
      <w:pPr>
        <w:ind w:left="3560" w:right="320" w:hanging="140"/>
        <w:spacing w:after="0" w:line="297" w:lineRule="auto"/>
        <w:tabs>
          <w:tab w:leader="none" w:pos="3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reasonable care, skill and diligence;</w:t>
      </w:r>
    </w:p>
    <w:p>
      <w:pPr>
        <w:spacing w:after="0" w:line="108" w:lineRule="exact"/>
        <w:rPr>
          <w:rFonts w:ascii="Times New Roman" w:cs="Times New Roman" w:eastAsia="Times New Roman" w:hAnsi="Times New Roman"/>
          <w:sz w:val="18"/>
          <w:szCs w:val="18"/>
          <w:color w:val="auto"/>
        </w:rPr>
      </w:pPr>
    </w:p>
    <w:p>
      <w:pPr>
        <w:ind w:left="3560" w:right="220" w:hanging="140"/>
        <w:spacing w:after="0" w:line="271" w:lineRule="auto"/>
        <w:tabs>
          <w:tab w:leader="none" w:pos="3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accept benefits from a third party conferred by reason of his being a director or doing, or not doing, anything as a director; and</w:t>
      </w:r>
    </w:p>
    <w:p>
      <w:pPr>
        <w:spacing w:after="0" w:line="11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 duty to declare any interest that he</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has, whether directly or indirectly, in</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 proposed or existing transaction or</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60"/>
        <w:spacing w:after="0"/>
        <w:tabs>
          <w:tab w:leader="none" w:pos="3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60"/>
        <w:spacing w:after="0"/>
        <w:tabs>
          <w:tab w:leader="none" w:pos="3180" w:val="left"/>
        </w:tabs>
        <w:rPr>
          <w:sz w:val="20"/>
          <w:szCs w:val="20"/>
          <w:color w:val="auto"/>
        </w:rPr>
      </w:pPr>
      <w:r>
        <w:rPr>
          <w:rFonts w:ascii="Times New Roman" w:cs="Times New Roman" w:eastAsia="Times New Roman" w:hAnsi="Times New Roman"/>
          <w:sz w:val="18"/>
          <w:szCs w:val="18"/>
          <w:color w:val="auto"/>
        </w:rPr>
        <w:t>Shareholder Litigation</w:t>
        <w:tab/>
        <w:t>​ ​ Under English law, generally, the</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company, rather than its shareholders,</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is the proper claimant in an action in</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respect of a wrong done to the</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company or where there is an</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irregularity in the company’s internal</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management. Notwithstanding this</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general position, the Companies Act</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2006 provides that (i) a court may</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allow a shareholder to bring a</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derivative claim (that is, an action in</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respect of and on behalf of the</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company) in respect of a cause of</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action arising from a director’s</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negligence, default, breach of duty or</w:t>
      </w: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9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5"/>
        </w:trPr>
        <w:tc>
          <w:tcPr>
            <w:tcW w:w="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ordinarily prudent person would</w:t>
            </w:r>
          </w:p>
        </w:tc>
        <w:tc>
          <w:tcPr>
            <w:tcW w:w="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exercise under similar circumstances.</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Under this duty, a director must</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inform himself of all material</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reasonably available</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regarding a significant transaction.</w:t>
            </w:r>
          </w:p>
        </w:tc>
        <w:tc>
          <w:tcPr>
            <w:tcW w:w="6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The duty of loyalty requires that a</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director act in a manner he reasonably</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believes to be in the best interests of</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the corporation. He must not use his</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corporate position for personal gain or</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advantage. In general, but subject to</w:t>
            </w:r>
          </w:p>
        </w:tc>
        <w:tc>
          <w:tcPr>
            <w:tcW w:w="6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certain exceptions, actions of a</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director are presumed to have been</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made on an informed basis, in good</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faith and in the honest belief that the</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action taken was in the best interests</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of the corporation. However, this</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presumption may be rebutted by</w:t>
            </w:r>
          </w:p>
        </w:tc>
        <w:tc>
          <w:tcPr>
            <w:tcW w:w="6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evidence of a breach of one of the</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fiduciary duties. Delaware courts have</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also imposed a heightened standard of</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conduct upon directors of a Delaware</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who take any action</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designed to defeat a threatened</w:t>
            </w:r>
          </w:p>
        </w:tc>
        <w:tc>
          <w:tcPr>
            <w:tcW w:w="6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control of the corporation.</w:t>
            </w:r>
          </w:p>
        </w:tc>
        <w:tc>
          <w:tcPr>
            <w:tcW w:w="60" w:type="dxa"/>
            <w:vAlign w:val="bottom"/>
          </w:tcPr>
          <w:p>
            <w:pPr>
              <w:spacing w:after="0"/>
              <w:rPr>
                <w:sz w:val="20"/>
                <w:szCs w:val="20"/>
                <w:color w:val="auto"/>
              </w:rPr>
            </w:pPr>
          </w:p>
        </w:tc>
      </w:tr>
      <w:tr>
        <w:trPr>
          <w:trHeight w:val="27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In addition, under Delaware law,</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when the board of directors of a</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Delaware corporation approves the</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sale or break-up of a corporation, the</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may, in certain</w:t>
            </w:r>
          </w:p>
        </w:tc>
        <w:tc>
          <w:tcPr>
            <w:tcW w:w="6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circumstances, have a duty to obtain</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the highest value reasonably available</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to the shareholders.</w:t>
            </w:r>
          </w:p>
        </w:tc>
        <w:tc>
          <w:tcPr>
            <w:tcW w:w="60" w:type="dxa"/>
            <w:vAlign w:val="bottom"/>
          </w:tcPr>
          <w:p>
            <w:pPr>
              <w:spacing w:after="0"/>
              <w:rPr>
                <w:sz w:val="19"/>
                <w:szCs w:val="19"/>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Under Delaware law, a stockholder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may initiate a derivative action to</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enforce a right of a corporation if the</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fails to enforce the right</w:t>
            </w:r>
          </w:p>
        </w:tc>
        <w:tc>
          <w:tcPr>
            <w:tcW w:w="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itself. The complaint must:</w:t>
            </w:r>
          </w:p>
        </w:tc>
        <w:tc>
          <w:tcPr>
            <w:tcW w:w="60" w:type="dxa"/>
            <w:vAlign w:val="bottom"/>
          </w:tcPr>
          <w:p>
            <w:pPr>
              <w:spacing w:after="0"/>
              <w:rPr>
                <w:sz w:val="20"/>
                <w:szCs w:val="20"/>
                <w:color w:val="auto"/>
              </w:rPr>
            </w:pPr>
          </w:p>
        </w:tc>
      </w:tr>
    </w:tbl>
    <w:p>
      <w:pPr>
        <w:spacing w:after="0" w:line="144" w:lineRule="exact"/>
        <w:rPr>
          <w:sz w:val="20"/>
          <w:szCs w:val="20"/>
          <w:color w:val="auto"/>
        </w:rPr>
      </w:pPr>
    </w:p>
    <w:p>
      <w:pPr>
        <w:ind w:left="400" w:right="639" w:hanging="179"/>
        <w:spacing w:after="0" w:line="269" w:lineRule="auto"/>
        <w:tabs>
          <w:tab w:leader="none" w:pos="380" w:val="left"/>
        </w:tabs>
        <w:rPr>
          <w:sz w:val="20"/>
          <w:szCs w:val="20"/>
          <w:color w:val="auto"/>
        </w:rPr>
      </w:pPr>
      <w:r>
        <w:rPr>
          <w:rFonts w:ascii="Times New Roman" w:cs="Times New Roman" w:eastAsia="Times New Roman" w:hAnsi="Times New Roman"/>
          <w:sz w:val="18"/>
          <w:szCs w:val="18"/>
          <w:color w:val="auto"/>
        </w:rPr>
        <w:t>•</w:t>
        <w:tab/>
        <w:t>state that the plaintiff was a stockholder at the time of the transaction of which the plaintiff complains or that the plaintiffs shares thereafter devolved on the plaintiff by operation of law; and</w:t>
      </w:r>
    </w:p>
    <w:p>
      <w:pPr>
        <w:spacing w:after="0" w:line="134" w:lineRule="exact"/>
        <w:rPr>
          <w:sz w:val="20"/>
          <w:szCs w:val="20"/>
          <w:color w:val="auto"/>
        </w:rPr>
      </w:pPr>
    </w:p>
    <w:p>
      <w:pPr>
        <w:jc w:val="both"/>
        <w:ind w:left="400" w:right="479" w:hanging="179"/>
        <w:spacing w:after="0" w:line="274" w:lineRule="auto"/>
        <w:tabs>
          <w:tab w:leader="none" w:pos="380" w:val="left"/>
        </w:tabs>
        <w:rPr>
          <w:sz w:val="20"/>
          <w:szCs w:val="20"/>
          <w:color w:val="auto"/>
        </w:rPr>
      </w:pPr>
      <w:r>
        <w:rPr>
          <w:rFonts w:ascii="Times New Roman" w:cs="Times New Roman" w:eastAsia="Times New Roman" w:hAnsi="Times New Roman"/>
          <w:sz w:val="18"/>
          <w:szCs w:val="18"/>
          <w:color w:val="auto"/>
        </w:rPr>
        <w:t>•</w:t>
        <w:tab/>
        <w:t>allege with particularity the efforts made by the plaintiff to obtain the action the plaintiff desires from the</w:t>
      </w:r>
    </w:p>
    <w:p>
      <w:pPr>
        <w:sectPr>
          <w:pgSz w:w="11900" w:h="16838" w:orient="portrait"/>
          <w:cols w:equalWidth="0" w:num="2">
            <w:col w:w="6340" w:space="0"/>
            <w:col w:w="353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 ​</w:t>
            </w:r>
          </w:p>
        </w:tc>
        <w:tc>
          <w:tcPr>
            <w:tcW w:w="29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England and Wales</w:t>
            </w:r>
          </w:p>
        </w:tc>
      </w:tr>
      <w:tr>
        <w:trPr>
          <w:trHeight w:val="2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breach of trust and (ii) a shareholder</w:t>
            </w:r>
          </w:p>
        </w:tc>
      </w:tr>
      <w:tr>
        <w:trPr>
          <w:trHeight w:val="229"/>
        </w:trPr>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may bring a claim for a court order</w:t>
            </w:r>
          </w:p>
        </w:tc>
      </w:tr>
      <w:tr>
        <w:trPr>
          <w:trHeight w:val="230"/>
        </w:trPr>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where the company’s affairs have</w:t>
            </w:r>
          </w:p>
        </w:tc>
      </w:tr>
      <w:tr>
        <w:trPr>
          <w:trHeight w:val="229"/>
        </w:trPr>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been or are being conducted in a</w:t>
            </w:r>
          </w:p>
        </w:tc>
      </w:tr>
      <w:tr>
        <w:trPr>
          <w:trHeight w:val="216"/>
        </w:trPr>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manner that is unfairly prejudicial to</w:t>
            </w:r>
          </w:p>
        </w:tc>
      </w:tr>
      <w:tr>
        <w:trPr>
          <w:trHeight w:val="234"/>
        </w:trPr>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some of its shareholders.</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4" w:type="dxa"/>
        <w:tblCellMar>
          <w:top w:w="0" w:type="dxa"/>
          <w:left w:w="0" w:type="dxa"/>
          <w:bottom w:w="0" w:type="dxa"/>
          <w:right w:w="0" w:type="dxa"/>
        </w:tblCellMar>
      </w:tblPr>
      <w:tr>
        <w:trPr>
          <w:trHeight w:val="214"/>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9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and the reasons for the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plaintiff’s failure to obtain the</w:t>
            </w:r>
          </w:p>
        </w:tc>
        <w:tc>
          <w:tcPr>
            <w:tcW w:w="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action; or</w:t>
            </w:r>
          </w:p>
        </w:tc>
        <w:tc>
          <w:tcPr>
            <w:tcW w:w="60" w:type="dxa"/>
            <w:vAlign w:val="bottom"/>
          </w:tcPr>
          <w:p>
            <w:pPr>
              <w:spacing w:after="0"/>
              <w:rPr>
                <w:sz w:val="20"/>
                <w:szCs w:val="20"/>
                <w:color w:val="auto"/>
              </w:rPr>
            </w:pPr>
          </w:p>
        </w:tc>
      </w:tr>
    </w:tbl>
    <w:p>
      <w:pPr>
        <w:spacing w:after="0" w:line="144" w:lineRule="exact"/>
        <w:rPr>
          <w:sz w:val="20"/>
          <w:szCs w:val="20"/>
          <w:color w:val="auto"/>
        </w:rPr>
      </w:pPr>
    </w:p>
    <w:p>
      <w:pPr>
        <w:ind w:left="364" w:right="499" w:hanging="148"/>
        <w:spacing w:after="0" w:line="297" w:lineRule="auto"/>
        <w:tabs>
          <w:tab w:leader="none" w:pos="3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reasons for not making the effort.</w:t>
      </w:r>
    </w:p>
    <w:p>
      <w:pPr>
        <w:spacing w:after="0" w:line="68" w:lineRule="exact"/>
        <w:rPr>
          <w:rFonts w:ascii="Times New Roman" w:cs="Times New Roman" w:eastAsia="Times New Roman" w:hAnsi="Times New Roman"/>
          <w:sz w:val="18"/>
          <w:szCs w:val="18"/>
          <w:color w:val="auto"/>
        </w:rPr>
      </w:pPr>
    </w:p>
    <w:p>
      <w:pPr>
        <w:ind w:left="224" w:right="359" w:hanging="224"/>
        <w:spacing w:after="0" w:line="275" w:lineRule="auto"/>
        <w:tabs>
          <w:tab w:leader="none" w:pos="1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6340" w:space="4294967293"/>
            <w:col w:w="3543"/>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6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our ADSs and of the material rights of owners of our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We register our ADSs with the SEC under registration statements on Form F-6, or the F-6 Registration Statements.</w:t>
      </w:r>
    </w:p>
    <w:p>
      <w:pPr>
        <w:spacing w:after="0" w:line="11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Citibank, N.A., or Citibank, has agreed to act as the depositary for our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25 Canada Square, Canary Wharf, London E14 5LB, United Kingdom.</w:t>
      </w:r>
    </w:p>
    <w:p>
      <w:pPr>
        <w:spacing w:after="0" w:line="114"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We have appointed Citibank as depositary pursuant to a deposit agreement. A copy of the deposit agreement is on file with the SEC under covers of the F-6 Registration Statements. You may obtain a copy of the deposit agreement from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Please refer to the F-6 Registration Statements when retrieving such copies.</w:t>
      </w:r>
    </w:p>
    <w:p>
      <w:pPr>
        <w:spacing w:after="0" w:line="11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eight of our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 -ordinary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1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08"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33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deposit agreement. To exercise any shareholder rights not contemplated in the deposit agreement you will, as an ADS owner, need to arrange for the cancellation of your ADSs and become a direct shareholder.</w:t>
      </w:r>
    </w:p>
    <w:p>
      <w:pPr>
        <w:spacing w:after="0" w:line="81"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DRS reflects the uncertificated (book-entry) registration of ownership of ADSs by the depositary. Under the DRS, ownership of ADSs is evidenced by periodic statements issued by the depositary to the holders of the ADSs. The DRS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an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333"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ordinary shares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deducting the applicable fees, taxes and expenses.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Cash</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Whenever we make a cash distribution for the ordinary shares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England and Wales.</w:t>
      </w:r>
    </w:p>
    <w:p>
      <w:pPr>
        <w:spacing w:after="0" w:line="11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ordinary shares on deposit.</w:t>
      </w:r>
    </w:p>
    <w:p>
      <w:pPr>
        <w:spacing w:after="0" w:line="319"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Shares</w:t>
      </w:r>
    </w:p>
    <w:p>
      <w:pPr>
        <w:spacing w:after="0" w:line="16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Whenever we make a free distribution of ordinary shares for the ordinary shares on deposit with the custodian, we will deposit the applicable number of ordinary shares with the custodian. Upon receipt of</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70" w:lineRule="auto"/>
        <w:rPr>
          <w:sz w:val="20"/>
          <w:szCs w:val="20"/>
          <w:color w:val="auto"/>
        </w:rPr>
      </w:pPr>
      <w:r>
        <w:rPr>
          <w:rFonts w:ascii="Times New Roman" w:cs="Times New Roman" w:eastAsia="Times New Roman" w:hAnsi="Times New Roman"/>
          <w:sz w:val="18"/>
          <w:szCs w:val="18"/>
          <w:color w:val="auto"/>
        </w:rPr>
        <w:t>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05" w:lineRule="exact"/>
        <w:rPr>
          <w:sz w:val="20"/>
          <w:szCs w:val="20"/>
          <w:color w:val="auto"/>
        </w:rPr>
      </w:pPr>
    </w:p>
    <w:p>
      <w:pPr>
        <w:ind w:left="1260" w:right="739" w:firstLine="360"/>
        <w:spacing w:after="0" w:line="271"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16" w:lineRule="exact"/>
        <w:rPr>
          <w:sz w:val="20"/>
          <w:szCs w:val="20"/>
          <w:color w:val="auto"/>
        </w:rPr>
      </w:pPr>
    </w:p>
    <w:p>
      <w:pPr>
        <w:ind w:left="1260" w:right="439" w:firstLine="360"/>
        <w:spacing w:after="0" w:line="272"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Rights</w:t>
      </w:r>
    </w:p>
    <w:p>
      <w:pPr>
        <w:spacing w:after="0" w:line="162" w:lineRule="exact"/>
        <w:rPr>
          <w:sz w:val="20"/>
          <w:szCs w:val="20"/>
          <w:color w:val="auto"/>
        </w:rPr>
      </w:pPr>
    </w:p>
    <w:p>
      <w:pPr>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10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represented by ADSs.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19" w:lineRule="exact"/>
        <w:rPr>
          <w:sz w:val="20"/>
          <w:szCs w:val="20"/>
          <w:color w:val="auto"/>
        </w:rPr>
      </w:pPr>
    </w:p>
    <w:p>
      <w:pPr>
        <w:ind w:left="1980" w:right="659" w:hanging="360"/>
        <w:spacing w:after="0" w:line="282"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6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144" w:lineRule="exact"/>
        <w:rPr>
          <w:sz w:val="20"/>
          <w:szCs w:val="20"/>
          <w:color w:val="auto"/>
        </w:rPr>
      </w:pPr>
    </w:p>
    <w:p>
      <w:pPr>
        <w:ind w:left="1260" w:right="779" w:firstLine="360"/>
        <w:spacing w:after="0" w:line="281"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Elective Distributions</w:t>
      </w:r>
    </w:p>
    <w:p>
      <w:pPr>
        <w:spacing w:after="0" w:line="162" w:lineRule="exact"/>
        <w:rPr>
          <w:sz w:val="20"/>
          <w:szCs w:val="20"/>
          <w:color w:val="auto"/>
        </w:rPr>
      </w:pPr>
    </w:p>
    <w:p>
      <w:pPr>
        <w:jc w:val="both"/>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05"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05" w:lineRule="exact"/>
        <w:rPr>
          <w:sz w:val="20"/>
          <w:szCs w:val="20"/>
          <w:color w:val="auto"/>
        </w:rPr>
      </w:pPr>
    </w:p>
    <w:p>
      <w:pPr>
        <w:ind w:left="1260" w:right="479" w:firstLine="360"/>
        <w:spacing w:after="0" w:line="281"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Distributions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1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9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19" w:lineRule="exact"/>
        <w:rPr>
          <w:sz w:val="20"/>
          <w:szCs w:val="20"/>
          <w:color w:val="auto"/>
        </w:rPr>
      </w:pPr>
    </w:p>
    <w:p>
      <w:pPr>
        <w:ind w:left="1980" w:right="919" w:hanging="360"/>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ask that the property not be distributed to you; or</w:t>
      </w:r>
    </w:p>
    <w:p>
      <w:pPr>
        <w:spacing w:after="0" w:line="5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or</w:t>
      </w:r>
    </w:p>
    <w:p>
      <w:pPr>
        <w:spacing w:after="0" w:line="117" w:lineRule="exact"/>
        <w:rPr>
          <w:rFonts w:ascii="Times New Roman" w:cs="Times New Roman" w:eastAsia="Times New Roman" w:hAnsi="Times New Roman"/>
          <w:sz w:val="18"/>
          <w:szCs w:val="18"/>
          <w:color w:val="auto"/>
        </w:rPr>
      </w:pPr>
    </w:p>
    <w:p>
      <w:pPr>
        <w:ind w:left="1980" w:right="1199" w:hanging="360"/>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62"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Whenever we decide to redeem any of the ordinary shares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95"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may determine.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Changes Affecting Ordinary Shares</w:t>
      </w:r>
    </w:p>
    <w:p>
      <w:pPr>
        <w:spacing w:after="0" w:line="162"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Verona.</w:t>
      </w:r>
    </w:p>
    <w:p>
      <w:pPr>
        <w:spacing w:after="0" w:line="33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Issuance of ADSs upon Deposit of Ordinary Shares</w:t>
      </w:r>
    </w:p>
    <w:p>
      <w:pPr>
        <w:spacing w:after="0" w:line="148"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82" w:lineRule="auto"/>
        <w:rPr>
          <w:sz w:val="20"/>
          <w:szCs w:val="20"/>
          <w:color w:val="auto"/>
        </w:rPr>
      </w:pPr>
      <w:r>
        <w:rPr>
          <w:rFonts w:ascii="Times New Roman" w:cs="Times New Roman" w:eastAsia="Times New Roman" w:hAnsi="Times New Roman"/>
          <w:sz w:val="18"/>
          <w:szCs w:val="18"/>
          <w:color w:val="auto"/>
        </w:rPr>
        <w:t>Your ability to deposit ordinary shares and receive ADSs may be limited by U.S. and England and Wales legal considerations applicable at the time of deposit.</w:t>
      </w:r>
    </w:p>
    <w:p>
      <w:pPr>
        <w:spacing w:after="0" w:line="81"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09"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When you make a deposit of ordinary shares, you will be responsible for transferring good and valid title to the depositary. As such, you will be deemed to represent and warrant that:</w:t>
      </w:r>
    </w:p>
    <w:p>
      <w:pPr>
        <w:spacing w:after="0" w:line="40" w:lineRule="exact"/>
        <w:rPr>
          <w:sz w:val="20"/>
          <w:szCs w:val="20"/>
          <w:color w:val="auto"/>
        </w:rPr>
      </w:pPr>
    </w:p>
    <w:p>
      <w:pPr>
        <w:ind w:left="1980" w:right="899" w:hanging="360"/>
        <w:spacing w:after="0" w:line="282"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are duly authorized, validly issued, fully paid, non-assessable and legally obtained;</w:t>
      </w:r>
    </w:p>
    <w:p>
      <w:pPr>
        <w:spacing w:after="0" w:line="40"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ordinary shares have been validly waived or exercised;</w:t>
      </w:r>
    </w:p>
    <w:p>
      <w:pPr>
        <w:spacing w:after="0" w:line="5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ordinary shares;</w:t>
      </w:r>
    </w:p>
    <w:p>
      <w:pPr>
        <w:spacing w:after="0" w:line="117"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6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have not been stripped of any rights or entitlements.</w:t>
      </w:r>
    </w:p>
    <w:p>
      <w:pPr>
        <w:spacing w:after="0" w:line="144" w:lineRule="exact"/>
        <w:rPr>
          <w:sz w:val="20"/>
          <w:szCs w:val="20"/>
          <w:color w:val="auto"/>
        </w:rPr>
      </w:pPr>
    </w:p>
    <w:p>
      <w:pPr>
        <w:jc w:val="both"/>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Combination and Split Up of ADRs</w:t>
      </w:r>
    </w:p>
    <w:p>
      <w:pPr>
        <w:spacing w:after="0" w:line="148" w:lineRule="exact"/>
        <w:rPr>
          <w:sz w:val="20"/>
          <w:szCs w:val="20"/>
          <w:color w:val="auto"/>
        </w:rPr>
      </w:pPr>
    </w:p>
    <w:p>
      <w:pPr>
        <w:jc w:val="both"/>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61" w:lineRule="exact"/>
        <w:rPr>
          <w:sz w:val="20"/>
          <w:szCs w:val="20"/>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1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11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03" w:lineRule="exact"/>
        <w:rPr>
          <w:rFonts w:ascii="Times New Roman" w:cs="Times New Roman" w:eastAsia="Times New Roman" w:hAnsi="Times New Roman"/>
          <w:sz w:val="18"/>
          <w:szCs w:val="18"/>
          <w:color w:val="auto"/>
        </w:rPr>
      </w:pPr>
    </w:p>
    <w:p>
      <w:pPr>
        <w:ind w:left="1980" w:right="65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94" w:lineRule="exact"/>
        <w:rPr>
          <w:sz w:val="20"/>
          <w:szCs w:val="20"/>
          <w:color w:val="auto"/>
        </w:rPr>
      </w:pPr>
    </w:p>
    <w:p>
      <w:pPr>
        <w:jc w:val="both"/>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Withdrawal of Ordinary Shares Upon Cancellation of ADSs</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England and Wales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1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as a result of:</w:t>
      </w:r>
    </w:p>
    <w:p>
      <w:pPr>
        <w:spacing w:after="0" w:line="54" w:lineRule="exact"/>
        <w:rPr>
          <w:sz w:val="20"/>
          <w:szCs w:val="20"/>
          <w:color w:val="auto"/>
        </w:rPr>
      </w:pPr>
    </w:p>
    <w:p>
      <w:pPr>
        <w:jc w:val="both"/>
        <w:ind w:left="1980" w:right="439" w:hanging="360"/>
        <w:spacing w:after="0" w:line="266"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6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 and/or</w:t>
      </w:r>
    </w:p>
    <w:p>
      <w:pPr>
        <w:spacing w:after="0" w:line="117" w:lineRule="exact"/>
        <w:rPr>
          <w:rFonts w:ascii="Times New Roman" w:cs="Times New Roman" w:eastAsia="Times New Roman" w:hAnsi="Times New Roman"/>
          <w:sz w:val="18"/>
          <w:szCs w:val="18"/>
          <w:color w:val="auto"/>
        </w:rPr>
      </w:pPr>
    </w:p>
    <w:p>
      <w:pPr>
        <w:ind w:left="1980" w:right="939" w:hanging="360"/>
        <w:spacing w:after="0" w:line="282"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9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 — Articles of Association” above.</w:t>
      </w:r>
    </w:p>
    <w:p>
      <w:pPr>
        <w:spacing w:after="0" w:line="9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0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it will endeavor to vote the securities (in person or by proxy) represented by the holder’s ADSs as follows:</w:t>
      </w:r>
    </w:p>
    <w:p>
      <w:pPr>
        <w:spacing w:after="0" w:line="52" w:lineRule="exact"/>
        <w:rPr>
          <w:sz w:val="20"/>
          <w:szCs w:val="20"/>
          <w:color w:val="auto"/>
        </w:rPr>
      </w:pPr>
    </w:p>
    <w:p>
      <w:pPr>
        <w:ind w:left="1980" w:right="419" w:hanging="360"/>
        <w:spacing w:after="0" w:line="267"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show of hands</w:t>
      </w:r>
      <w:r>
        <w:rPr>
          <w:rFonts w:ascii="Times New Roman" w:cs="Times New Roman" w:eastAsia="Times New Roman" w:hAnsi="Times New Roman"/>
          <w:sz w:val="18"/>
          <w:szCs w:val="18"/>
          <w:color w:val="auto"/>
        </w:rPr>
        <w:t>, the depositary will vote (or cause the custodian to vote)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held on deposit at that time in accordance with the voting instructions received from a majority of holders of ADSs who provide timely voting instructions.</w:t>
      </w:r>
    </w:p>
    <w:p>
      <w:pPr>
        <w:spacing w:after="0" w:line="65" w:lineRule="exact"/>
        <w:rPr>
          <w:rFonts w:ascii="Times New Roman" w:cs="Times New Roman" w:eastAsia="Times New Roman" w:hAnsi="Times New Roman"/>
          <w:sz w:val="18"/>
          <w:szCs w:val="18"/>
          <w:color w:val="auto"/>
        </w:rPr>
      </w:pPr>
    </w:p>
    <w:p>
      <w:pPr>
        <w:ind w:left="1980" w:right="479" w:hanging="360"/>
        <w:spacing w:after="0" w:line="276"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poll</w:t>
      </w:r>
      <w:r>
        <w:rPr>
          <w:rFonts w:ascii="Times New Roman" w:cs="Times New Roman" w:eastAsia="Times New Roman" w:hAnsi="Times New Roman"/>
          <w:sz w:val="18"/>
          <w:szCs w:val="18"/>
          <w:color w:val="auto"/>
        </w:rPr>
        <w:t>, the depositary will vote (or cause the custodian to vote)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held on deposit in accordance with the voting instructions received from the holders of ADSs.</w:t>
      </w:r>
    </w:p>
    <w:p>
      <w:pPr>
        <w:spacing w:after="0" w:line="32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as otherwise contemplated herein).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148"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ectPr>
          <w:pgSz w:w="11900" w:h="16838" w:orient="portrait"/>
          <w:cols w:equalWidth="0" w:num="1">
            <w:col w:w="9879"/>
          </w:cols>
          <w:pgMar w:left="580" w:top="97" w:right="1440" w:bottom="1440" w:gutter="0" w:footer="0" w:header="0"/>
        </w:sectPr>
      </w:pPr>
    </w:p>
    <w:p>
      <w:pPr>
        <w:ind w:left="1620"/>
        <w:spacing w:after="0"/>
        <w:tabs>
          <w:tab w:leader="none" w:pos="3720" w:val="left"/>
          <w:tab w:leader="none" w:pos="6320" w:val="left"/>
          <w:tab w:leader="none" w:pos="7680" w:val="left"/>
        </w:tabs>
        <w:rPr>
          <w:sz w:val="20"/>
          <w:szCs w:val="20"/>
          <w:color w:val="auto"/>
        </w:rPr>
      </w:pPr>
      <w:r>
        <w:rPr>
          <w:rFonts w:ascii="Times New Roman" w:cs="Times New Roman" w:eastAsia="Times New Roman" w:hAnsi="Times New Roman"/>
          <w:sz w:val="24"/>
          <w:szCs w:val="24"/>
          <w:b w:val="1"/>
          <w:bCs w:val="1"/>
          <w:color w:val="auto"/>
          <w:vertAlign w:val="subscript"/>
        </w:rPr>
        <w:t>​</w:t>
      </w:r>
      <w:r>
        <w:rPr>
          <w:sz w:val="20"/>
          <w:szCs w:val="20"/>
          <w:color w:val="auto"/>
        </w:rPr>
        <w:tab/>
      </w:r>
      <w:r>
        <w:rPr>
          <w:rFonts w:ascii="Times New Roman" w:cs="Times New Roman" w:eastAsia="Times New Roman" w:hAnsi="Times New Roman"/>
          <w:sz w:val="13"/>
          <w:szCs w:val="13"/>
          <w:b w:val="1"/>
          <w:bCs w:val="1"/>
          <w:color w:val="auto"/>
        </w:rPr>
        <w:t>Service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29210</wp:posOffset>
            </wp:positionV>
            <wp:extent cx="47491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ectPr>
          <w:pgSz w:w="11900" w:h="16838" w:orient="portrait"/>
          <w:cols w:equalWidth="0" w:num="2">
            <w:col w:w="8380" w:space="720"/>
            <w:col w:w="779"/>
          </w:cols>
          <w:pgMar w:left="580" w:top="97" w:right="1440" w:bottom="1440" w:gutter="0" w:footer="0" w:header="0"/>
          <w:type w:val="continuous"/>
        </w:sectPr>
      </w:pPr>
    </w:p>
    <w:p>
      <w:pPr>
        <w:ind w:left="1620"/>
        <w:spacing w:after="0" w:line="249" w:lineRule="auto"/>
        <w:rPr>
          <w:sz w:val="20"/>
          <w:szCs w:val="20"/>
          <w:color w:val="auto"/>
        </w:rPr>
      </w:pPr>
      <w:r>
        <w:rPr>
          <w:rFonts w:ascii="Times New Roman" w:cs="Times New Roman" w:eastAsia="Times New Roman" w:hAnsi="Times New Roman"/>
          <w:sz w:val="18"/>
          <w:szCs w:val="18"/>
          <w:color w:val="auto"/>
        </w:rPr>
        <w:t>​Issuance of ADSs (e.g., an issuance of ADS upon a deposit of ordinary shares or upon a change in the ADS(s)-to-ordinary shares ratio), excluding ADS issuances as a result of distributions of ordinary shares ​</w:t>
      </w:r>
    </w:p>
    <w:p>
      <w:pPr>
        <w:spacing w:after="0" w:line="206" w:lineRule="exact"/>
        <w:rPr>
          <w:sz w:val="20"/>
          <w:szCs w:val="20"/>
          <w:color w:val="auto"/>
        </w:rPr>
      </w:pPr>
    </w:p>
    <w:p>
      <w:pPr>
        <w:jc w:val="both"/>
        <w:ind w:left="1620" w:right="500"/>
        <w:spacing w:after="0" w:line="262" w:lineRule="auto"/>
        <w:rPr>
          <w:sz w:val="20"/>
          <w:szCs w:val="20"/>
          <w:color w:val="auto"/>
        </w:rPr>
      </w:pPr>
      <w:r>
        <w:rPr>
          <w:rFonts w:ascii="Times New Roman" w:cs="Times New Roman" w:eastAsia="Times New Roman" w:hAnsi="Times New Roman"/>
          <w:sz w:val="18"/>
          <w:szCs w:val="18"/>
          <w:color w:val="auto"/>
        </w:rPr>
        <w:t>Cancellation of ADSs (e.g., a cancellation of ADSs for delivery of deposited property or upon a change in the ADS(s)-to-ordinary shares ratio)</w:t>
      </w:r>
    </w:p>
    <w:p>
      <w:pPr>
        <w:spacing w:after="0" w:line="20" w:lineRule="exact"/>
        <w:rPr>
          <w:sz w:val="20"/>
          <w:szCs w:val="20"/>
          <w:color w:val="auto"/>
        </w:rPr>
      </w:pPr>
      <w:r>
        <w:rPr>
          <w:sz w:val="20"/>
          <w:szCs w:val="20"/>
          <w:color w:val="auto"/>
        </w:rPr>
        <w:br w:type="column"/>
      </w:r>
    </w:p>
    <w:p>
      <w:pPr>
        <w:ind w:left="109" w:hanging="109"/>
        <w:spacing w:after="0"/>
        <w:tabs>
          <w:tab w:leader="none" w:pos="1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Up to $0.05 per ADS issued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2" w:lineRule="exact"/>
        <w:rPr>
          <w:rFonts w:ascii="Times New Roman" w:cs="Times New Roman" w:eastAsia="Times New Roman" w:hAnsi="Times New Roman"/>
          <w:sz w:val="18"/>
          <w:szCs w:val="18"/>
          <w:color w:val="auto"/>
        </w:rPr>
      </w:pPr>
    </w:p>
    <w:p>
      <w:pPr>
        <w:ind w:left="109" w:hanging="109"/>
        <w:spacing w:after="0"/>
        <w:tabs>
          <w:tab w:leader="none" w:pos="109"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Up to $0.05 per ADS cancelled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825" w:lineRule="exact"/>
        <w:rPr>
          <w:sz w:val="20"/>
          <w:szCs w:val="20"/>
          <w:color w:val="auto"/>
        </w:rPr>
      </w:pPr>
    </w:p>
    <w:p>
      <w:pPr>
        <w:sectPr>
          <w:pgSz w:w="11900" w:h="16838" w:orient="portrait"/>
          <w:cols w:equalWidth="0" w:num="3">
            <w:col w:w="6260" w:space="31"/>
            <w:col w:w="2569" w:space="240"/>
            <w:col w:w="779"/>
          </w:cols>
          <w:pgMar w:left="580" w:top="97" w:right="1440" w:bottom="1440" w:gutter="0" w:footer="0" w:header="0"/>
          <w:type w:val="continuous"/>
        </w:sectPr>
      </w:pPr>
    </w:p>
    <w:p>
      <w:pPr>
        <w:spacing w:after="0" w:line="1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620"/>
        <w:spacing w:after="0"/>
        <w:tabs>
          <w:tab w:leader="none" w:pos="3720" w:val="left"/>
          <w:tab w:leader="none" w:pos="6320" w:val="left"/>
          <w:tab w:leader="none" w:pos="768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Service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29210</wp:posOffset>
            </wp:positionV>
            <wp:extent cx="47491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ectPr>
          <w:pgSz w:w="11900" w:h="16838" w:orient="portrait"/>
          <w:cols w:equalWidth="0" w:num="2">
            <w:col w:w="8380" w:space="720"/>
            <w:col w:w="77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​Distribution of cash dividends or other cash distributions</w:t>
      </w:r>
    </w:p>
    <w:p>
      <w:pPr>
        <w:spacing w:after="0" w:line="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(e.g., upon a sale of rights and other entitlements)</w:t>
      </w:r>
    </w:p>
    <w:p>
      <w:pPr>
        <w:spacing w:after="0" w:line="4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Distribution​ of ADSs pursuant to (i) stock dividends or other</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free stock distributions, or (ii) exercise of rights to purchase</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additional ADSs</w:t>
      </w:r>
    </w:p>
    <w:p>
      <w:pPr>
        <w:ind w:left="1620"/>
        <w:spacing w:after="0" w:line="184" w:lineRule="auto"/>
        <w:rPr>
          <w:sz w:val="20"/>
          <w:szCs w:val="20"/>
          <w:color w:val="auto"/>
        </w:rPr>
      </w:pPr>
      <w:r>
        <w:rPr>
          <w:rFonts w:ascii="Times New Roman" w:cs="Times New Roman" w:eastAsia="Times New Roman" w:hAnsi="Times New Roman"/>
          <w:sz w:val="18"/>
          <w:szCs w:val="18"/>
          <w:color w:val="auto"/>
        </w:rPr>
        <w:t>​</w:t>
      </w:r>
    </w:p>
    <w:p>
      <w:pPr>
        <w:ind w:left="1620" w:right="540"/>
        <w:spacing w:after="0"/>
        <w:rPr>
          <w:sz w:val="20"/>
          <w:szCs w:val="20"/>
          <w:color w:val="auto"/>
        </w:rPr>
      </w:pPr>
      <w:r>
        <w:rPr>
          <w:rFonts w:ascii="Times New Roman" w:cs="Times New Roman" w:eastAsia="Times New Roman" w:hAnsi="Times New Roman"/>
          <w:sz w:val="18"/>
          <w:szCs w:val="18"/>
          <w:color w:val="auto"/>
        </w:rPr>
        <w:t>Distribution of securities other than ADSs or rights to purchase additional ADSs (e.g., upon a spin-off) ​</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ADS Services</w:t>
      </w:r>
    </w:p>
    <w:p>
      <w:pPr>
        <w:spacing w:after="0" w:line="20" w:lineRule="exact"/>
        <w:rPr>
          <w:sz w:val="20"/>
          <w:szCs w:val="20"/>
          <w:color w:val="auto"/>
        </w:rPr>
      </w:pPr>
      <w:r>
        <w:rPr>
          <w:sz w:val="20"/>
          <w:szCs w:val="20"/>
          <w:color w:val="auto"/>
        </w:rPr>
        <w:br w:type="column"/>
      </w:r>
    </w:p>
    <w:p>
      <w:pPr>
        <w:ind w:left="109" w:hanging="109"/>
        <w:spacing w:after="0"/>
        <w:tabs>
          <w:tab w:leader="none" w:pos="1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Up to $0.05 per ADS held</w:t>
      </w:r>
    </w:p>
    <w:p>
      <w:pPr>
        <w:spacing w:after="0" w:line="257" w:lineRule="exact"/>
        <w:rPr>
          <w:rFonts w:ascii="Times New Roman" w:cs="Times New Roman" w:eastAsia="Times New Roman" w:hAnsi="Times New Roman"/>
          <w:sz w:val="18"/>
          <w:szCs w:val="18"/>
          <w:color w:val="auto"/>
        </w:rPr>
      </w:pPr>
    </w:p>
    <w:p>
      <w:pPr>
        <w:ind w:left="109" w:hanging="109"/>
        <w:spacing w:after="0"/>
        <w:tabs>
          <w:tab w:leader="none" w:pos="1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Up to $0.05 per ADS held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09" w:hanging="109"/>
        <w:spacing w:after="0"/>
        <w:tabs>
          <w:tab w:leader="none" w:pos="109"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Up to $0.05 per ADS held</w:t>
      </w:r>
    </w:p>
    <w:p>
      <w:pPr>
        <w:spacing w:after="0" w:line="180" w:lineRule="exact"/>
        <w:rPr>
          <w:rFonts w:ascii="Times New Roman" w:cs="Times New Roman" w:eastAsia="Times New Roman" w:hAnsi="Times New Roman"/>
          <w:sz w:val="36"/>
          <w:szCs w:val="36"/>
          <w:color w:val="auto"/>
          <w:vertAlign w:val="superscript"/>
        </w:rPr>
      </w:pPr>
    </w:p>
    <w:p>
      <w:pPr>
        <w:ind w:left="209" w:hanging="209"/>
        <w:spacing w:after="0"/>
        <w:tabs>
          <w:tab w:leader="none" w:pos="101"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Up to $0.05 per ADS held on the applicable record date(s) established by the 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818" w:lineRule="exact"/>
        <w:rPr>
          <w:sz w:val="20"/>
          <w:szCs w:val="20"/>
          <w:color w:val="auto"/>
        </w:rPr>
      </w:pPr>
    </w:p>
    <w:p>
      <w:pPr>
        <w:sectPr>
          <w:pgSz w:w="11900" w:h="16838" w:orient="portrait"/>
          <w:cols w:equalWidth="0" w:num="3">
            <w:col w:w="6220" w:space="71"/>
            <w:col w:w="2709" w:space="100"/>
            <w:col w:w="77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17" w:lineRule="exact"/>
        <w:rPr>
          <w:sz w:val="20"/>
          <w:szCs w:val="20"/>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17" w:lineRule="exact"/>
        <w:rPr>
          <w:rFonts w:ascii="Times New Roman" w:cs="Times New Roman" w:eastAsia="Times New Roman" w:hAnsi="Times New Roman"/>
          <w:sz w:val="18"/>
          <w:szCs w:val="18"/>
          <w:color w:val="auto"/>
        </w:rPr>
      </w:pPr>
    </w:p>
    <w:p>
      <w:pPr>
        <w:ind w:left="1980" w:right="459" w:hanging="360"/>
        <w:spacing w:after="0" w:line="263"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29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1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in the conversion of foreign currency;</w:t>
      </w:r>
    </w:p>
    <w:p>
      <w:pPr>
        <w:spacing w:after="0" w:line="117" w:lineRule="exact"/>
        <w:rPr>
          <w:rFonts w:ascii="Times New Roman" w:cs="Times New Roman" w:eastAsia="Times New Roman" w:hAnsi="Times New Roman"/>
          <w:sz w:val="18"/>
          <w:szCs w:val="18"/>
          <w:color w:val="auto"/>
        </w:rPr>
      </w:pPr>
    </w:p>
    <w:p>
      <w:pPr>
        <w:jc w:val="both"/>
        <w:ind w:left="1980" w:right="739" w:hanging="360"/>
        <w:spacing w:after="0" w:line="266"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67"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the custodian, or any nominee in connection with the servicing or delivery of deposited property.</w:t>
      </w:r>
    </w:p>
    <w:p>
      <w:pPr>
        <w:spacing w:after="0" w:line="9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1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any applicable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99"/>
        <w:spacing w:after="0" w:line="282" w:lineRule="auto"/>
        <w:rPr>
          <w:sz w:val="20"/>
          <w:szCs w:val="20"/>
          <w:color w:val="auto"/>
        </w:rPr>
      </w:pPr>
      <w:r>
        <w:rPr>
          <w:rFonts w:ascii="Times New Roman" w:cs="Times New Roman" w:eastAsia="Times New Roman" w:hAnsi="Times New Roman"/>
          <w:sz w:val="18"/>
          <w:szCs w:val="18"/>
          <w:color w:val="auto"/>
        </w:rPr>
        <w:t>charged in respect of the ADR program or otherwise, upon such terms and conditions as we and the depositary agree from time to time.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of 1933, as amended, or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24" w:lineRule="exact"/>
        <w:rPr>
          <w:sz w:val="20"/>
          <w:szCs w:val="20"/>
          <w:color w:val="auto"/>
        </w:rPr>
      </w:pPr>
    </w:p>
    <w:p>
      <w:pPr>
        <w:ind w:left="1260" w:right="719" w:firstLine="360"/>
        <w:spacing w:after="0" w:line="263"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319"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20"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48"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0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Transmission of Notices, Reports and Proxy Soliciting Material</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Liabilities</w:t>
      </w:r>
    </w:p>
    <w:p>
      <w:pPr>
        <w:spacing w:after="0" w:line="162"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deposit agreement limits our obligations and the depositary’s obligations to you. Please note the following:</w:t>
      </w:r>
    </w:p>
    <w:p>
      <w:pPr>
        <w:spacing w:after="0" w:line="54" w:lineRule="exact"/>
        <w:rPr>
          <w:sz w:val="20"/>
          <w:szCs w:val="20"/>
          <w:color w:val="auto"/>
        </w:rPr>
      </w:pPr>
    </w:p>
    <w:p>
      <w:pPr>
        <w:ind w:left="1980" w:right="91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are obligated only to take the actions specifically stated in the deposit agreement without negligence or bad faith.</w:t>
      </w:r>
    </w:p>
    <w:p>
      <w:pPr>
        <w:spacing w:after="0" w:line="53" w:lineRule="exact"/>
        <w:rPr>
          <w:rFonts w:ascii="Times New Roman" w:cs="Times New Roman" w:eastAsia="Times New Roman" w:hAnsi="Times New Roman"/>
          <w:sz w:val="18"/>
          <w:szCs w:val="18"/>
          <w:color w:val="auto"/>
        </w:rPr>
      </w:pPr>
    </w:p>
    <w:p>
      <w:pPr>
        <w:ind w:left="1980" w:right="699" w:hanging="360"/>
        <w:spacing w:after="0" w:line="266"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81" w:lineRule="exact"/>
        <w:rPr>
          <w:rFonts w:ascii="Times New Roman" w:cs="Times New Roman" w:eastAsia="Times New Roman" w:hAnsi="Times New Roman"/>
          <w:sz w:val="18"/>
          <w:szCs w:val="18"/>
          <w:color w:val="auto"/>
        </w:rPr>
      </w:pPr>
    </w:p>
    <w:p>
      <w:pPr>
        <w:ind w:left="1980" w:right="479" w:hanging="360"/>
        <w:spacing w:after="0" w:line="255"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80"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obligated to perform any act that is inconsistent with the terms of the deposit agreement.</w:t>
      </w:r>
    </w:p>
    <w:p>
      <w:pPr>
        <w:spacing w:after="0" w:line="53" w:lineRule="exact"/>
        <w:rPr>
          <w:rFonts w:ascii="Times New Roman" w:cs="Times New Roman" w:eastAsia="Times New Roman" w:hAnsi="Times New Roman"/>
          <w:sz w:val="18"/>
          <w:szCs w:val="18"/>
          <w:color w:val="auto"/>
        </w:rPr>
      </w:pPr>
    </w:p>
    <w:p>
      <w:pPr>
        <w:ind w:left="1980" w:right="479" w:hanging="360"/>
        <w:spacing w:after="0" w:line="256"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92" w:lineRule="exact"/>
        <w:rPr>
          <w:rFonts w:ascii="Times New Roman" w:cs="Times New Roman" w:eastAsia="Times New Roman" w:hAnsi="Times New Roman"/>
          <w:sz w:val="18"/>
          <w:szCs w:val="18"/>
          <w:color w:val="auto"/>
        </w:rPr>
      </w:pPr>
    </w:p>
    <w:p>
      <w:pPr>
        <w:jc w:val="both"/>
        <w:ind w:left="1980" w:right="639" w:hanging="360"/>
        <w:spacing w:after="0" w:line="266"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67" w:lineRule="exact"/>
        <w:rPr>
          <w:rFonts w:ascii="Times New Roman" w:cs="Times New Roman" w:eastAsia="Times New Roman" w:hAnsi="Times New Roman"/>
          <w:sz w:val="18"/>
          <w:szCs w:val="18"/>
          <w:color w:val="auto"/>
        </w:rPr>
      </w:pPr>
    </w:p>
    <w:p>
      <w:pPr>
        <w:ind w:left="1980" w:right="459" w:hanging="360"/>
        <w:spacing w:after="0" w:line="261"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71" w:lineRule="exact"/>
        <w:rPr>
          <w:rFonts w:ascii="Times New Roman" w:cs="Times New Roman" w:eastAsia="Times New Roman" w:hAnsi="Times New Roman"/>
          <w:sz w:val="18"/>
          <w:szCs w:val="18"/>
          <w:color w:val="auto"/>
        </w:rPr>
      </w:pPr>
    </w:p>
    <w:p>
      <w:pPr>
        <w:ind w:left="1980" w:right="459" w:hanging="360"/>
        <w:spacing w:after="0" w:line="266"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67" w:lineRule="exact"/>
        <w:rPr>
          <w:rFonts w:ascii="Times New Roman" w:cs="Times New Roman" w:eastAsia="Times New Roman" w:hAnsi="Times New Roman"/>
          <w:sz w:val="18"/>
          <w:szCs w:val="18"/>
          <w:color w:val="auto"/>
        </w:rPr>
      </w:pPr>
    </w:p>
    <w:p>
      <w:pPr>
        <w:ind w:left="1980" w:right="81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may rely without any liability upon any written notice, request or other document believed to be genuine and to have been signed or presented by the proper parties.</w:t>
      </w:r>
    </w:p>
    <w:p>
      <w:pPr>
        <w:spacing w:after="0" w:line="53" w:lineRule="exact"/>
        <w:rPr>
          <w:rFonts w:ascii="Times New Roman" w:cs="Times New Roman" w:eastAsia="Times New Roman" w:hAnsi="Times New Roman"/>
          <w:sz w:val="18"/>
          <w:szCs w:val="18"/>
          <w:color w:val="auto"/>
        </w:rPr>
      </w:pPr>
    </w:p>
    <w:p>
      <w:pPr>
        <w:ind w:left="1980" w:right="71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consequential or punitive damages for any breach of the terms of the deposit agreement.</w:t>
      </w:r>
    </w:p>
    <w:p>
      <w:pPr>
        <w:spacing w:after="0" w:line="5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Pre-Release Transactions</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deposit agreement, the depositary may issue to broker/​ 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ordinary shares on deposit in the aggregate) and imposes a number of conditions on such transactions (e.g., the need to receive collateral, the type of collateral required, the representations required from brokers, etc.). The depositary may retain the compensation received from the pre-release transactions.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16"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Currency Conversion</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12"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68" w:lineRule="exact"/>
        <w:rPr>
          <w:sz w:val="20"/>
          <w:szCs w:val="20"/>
          <w:color w:val="auto"/>
        </w:rPr>
      </w:pPr>
    </w:p>
    <w:p>
      <w:pPr>
        <w:ind w:left="1980" w:right="679" w:hanging="360"/>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5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11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Law/Waiver of Jury Trial</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9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WAIVE YOUR RIGHT TO TRIAL BY JURY IN ANY LEGAL PROCEEDING ARISING OUT OF THE DEPOSIT AGREEMENT OR THE ADRs AGAINST US AND/OR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99"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20"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As used in this section only, “Verona,” “we,” “our” or “us” refer to Verona Pharma, plc, excluding our subsidiary, unless expressly stated or the context otherwise requires.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02" w:lineRule="exact"/>
        <w:rPr>
          <w:sz w:val="20"/>
          <w:szCs w:val="20"/>
          <w:color w:val="auto"/>
        </w:rPr>
      </w:pPr>
    </w:p>
    <w:p>
      <w:pPr>
        <w:jc w:val="both"/>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308" w:lineRule="exact"/>
        <w:rPr>
          <w:sz w:val="20"/>
          <w:szCs w:val="20"/>
          <w:color w:val="auto"/>
        </w:rPr>
      </w:pPr>
    </w:p>
    <w:p>
      <w:pPr>
        <w:ind w:left="1980" w:hanging="360"/>
        <w:spacing w:after="0"/>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17" w:lineRule="exact"/>
        <w:rPr>
          <w:rFonts w:ascii="Times New Roman" w:cs="Times New Roman" w:eastAsia="Times New Roman" w:hAnsi="Times New Roman"/>
          <w:sz w:val="18"/>
          <w:szCs w:val="18"/>
          <w:color w:val="auto"/>
        </w:rPr>
      </w:pPr>
    </w:p>
    <w:p>
      <w:pPr>
        <w:ind w:left="1980" w:right="719" w:hanging="360"/>
        <w:spacing w:after="0" w:line="282"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5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980" w:right="599" w:hanging="360"/>
        <w:spacing w:after="0" w:line="258"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5" w:lineRule="exact"/>
        <w:rPr>
          <w:rFonts w:ascii="Times New Roman" w:cs="Times New Roman" w:eastAsia="Times New Roman" w:hAnsi="Times New Roman"/>
          <w:sz w:val="18"/>
          <w:szCs w:val="18"/>
          <w:color w:val="auto"/>
        </w:rPr>
      </w:pPr>
    </w:p>
    <w:p>
      <w:pPr>
        <w:ind w:left="1980" w:right="679" w:hanging="360"/>
        <w:spacing w:after="0" w:line="261"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1"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hanging="360"/>
        <w:spacing w:after="0" w:line="261"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ind w:left="1980" w:right="459" w:hanging="360"/>
        <w:spacing w:after="0" w:line="275"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268" w:lineRule="exact"/>
        <w:rPr>
          <w:rFonts w:ascii="Times New Roman" w:cs="Times New Roman" w:eastAsia="Times New Roman" w:hAnsi="Times New Roman"/>
          <w:sz w:val="18"/>
          <w:szCs w:val="18"/>
          <w:color w:val="auto"/>
        </w:rPr>
      </w:pPr>
    </w:p>
    <w:p>
      <w:pPr>
        <w:ind w:left="1980" w:right="919" w:hanging="360"/>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40" w:lineRule="exact"/>
        <w:rPr>
          <w:rFonts w:ascii="Times New Roman" w:cs="Times New Roman" w:eastAsia="Times New Roman" w:hAnsi="Times New Roman"/>
          <w:sz w:val="18"/>
          <w:szCs w:val="18"/>
          <w:color w:val="auto"/>
        </w:rPr>
      </w:pPr>
    </w:p>
    <w:p>
      <w:pPr>
        <w:ind w:left="1980" w:right="559" w:hanging="360"/>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40"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40" w:lineRule="exact"/>
        <w:rPr>
          <w:rFonts w:ascii="Times New Roman" w:cs="Times New Roman" w:eastAsia="Times New Roman" w:hAnsi="Times New Roman"/>
          <w:sz w:val="18"/>
          <w:szCs w:val="18"/>
          <w:color w:val="auto"/>
        </w:rPr>
      </w:pPr>
    </w:p>
    <w:p>
      <w:pPr>
        <w:ind w:left="1980" w:right="719" w:hanging="360"/>
        <w:spacing w:after="0" w:line="266"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54" w:lineRule="exact"/>
        <w:rPr>
          <w:rFonts w:ascii="Times New Roman" w:cs="Times New Roman" w:eastAsia="Times New Roman" w:hAnsi="Times New Roman"/>
          <w:sz w:val="18"/>
          <w:szCs w:val="18"/>
          <w:color w:val="auto"/>
        </w:rPr>
      </w:pPr>
    </w:p>
    <w:p>
      <w:pPr>
        <w:ind w:left="1980" w:right="799" w:hanging="360"/>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53" w:lineRule="exact"/>
        <w:rPr>
          <w:rFonts w:ascii="Times New Roman" w:cs="Times New Roman" w:eastAsia="Times New Roman" w:hAnsi="Times New Roman"/>
          <w:sz w:val="18"/>
          <w:szCs w:val="18"/>
          <w:color w:val="auto"/>
        </w:rPr>
      </w:pPr>
    </w:p>
    <w:p>
      <w:pPr>
        <w:ind w:left="1980" w:right="479" w:hanging="360"/>
        <w:spacing w:after="0" w:line="266"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54" w:lineRule="exact"/>
        <w:rPr>
          <w:rFonts w:ascii="Times New Roman" w:cs="Times New Roman" w:eastAsia="Times New Roman" w:hAnsi="Times New Roman"/>
          <w:sz w:val="18"/>
          <w:szCs w:val="18"/>
          <w:color w:val="auto"/>
        </w:rPr>
      </w:pPr>
    </w:p>
    <w:p>
      <w:pPr>
        <w:ind w:left="1980" w:right="659" w:hanging="360"/>
        <w:spacing w:after="0" w:line="261"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5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03" w:lineRule="exact"/>
        <w:rPr>
          <w:rFonts w:ascii="Times New Roman" w:cs="Times New Roman" w:eastAsia="Times New Roman" w:hAnsi="Times New Roman"/>
          <w:sz w:val="18"/>
          <w:szCs w:val="18"/>
          <w:color w:val="auto"/>
        </w:rPr>
      </w:pPr>
    </w:p>
    <w:p>
      <w:pPr>
        <w:ind w:left="1980" w:right="679" w:hanging="360"/>
        <w:spacing w:after="0" w:line="266"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54" w:lineRule="exact"/>
        <w:rPr>
          <w:rFonts w:ascii="Times New Roman" w:cs="Times New Roman" w:eastAsia="Times New Roman" w:hAnsi="Times New Roman"/>
          <w:sz w:val="18"/>
          <w:szCs w:val="18"/>
          <w:color w:val="auto"/>
        </w:rPr>
      </w:pPr>
    </w:p>
    <w:p>
      <w:pPr>
        <w:ind w:left="1980" w:right="979" w:hanging="360"/>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40" w:lineRule="exact"/>
        <w:rPr>
          <w:rFonts w:ascii="Times New Roman" w:cs="Times New Roman" w:eastAsia="Times New Roman" w:hAnsi="Times New Roman"/>
          <w:sz w:val="18"/>
          <w:szCs w:val="18"/>
          <w:color w:val="auto"/>
        </w:rPr>
      </w:pPr>
    </w:p>
    <w:p>
      <w:pPr>
        <w:ind w:left="1980" w:right="559" w:hanging="360"/>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40" w:lineRule="exact"/>
        <w:rPr>
          <w:rFonts w:ascii="Times New Roman" w:cs="Times New Roman" w:eastAsia="Times New Roman" w:hAnsi="Times New Roman"/>
          <w:sz w:val="18"/>
          <w:szCs w:val="18"/>
          <w:color w:val="auto"/>
        </w:rPr>
      </w:pPr>
    </w:p>
    <w:p>
      <w:pPr>
        <w:ind w:left="1980" w:right="439" w:hanging="360"/>
        <w:spacing w:after="0" w:line="261"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58" w:lineRule="exact"/>
        <w:rPr>
          <w:rFonts w:ascii="Times New Roman" w:cs="Times New Roman" w:eastAsia="Times New Roman" w:hAnsi="Times New Roman"/>
          <w:sz w:val="18"/>
          <w:szCs w:val="18"/>
          <w:color w:val="auto"/>
        </w:rPr>
      </w:pPr>
    </w:p>
    <w:p>
      <w:pPr>
        <w:ind w:left="1980" w:right="459" w:hanging="360"/>
        <w:spacing w:after="0" w:line="266"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54"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9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1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auto"/>
        </w:rPr>
        <w:t>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21"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32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1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4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54" w:lineRule="exact"/>
        <w:rPr>
          <w:sz w:val="20"/>
          <w:szCs w:val="20"/>
          <w:color w:val="auto"/>
        </w:rPr>
      </w:pPr>
    </w:p>
    <w:p>
      <w:pPr>
        <w:ind w:left="1980" w:right="739" w:hanging="360"/>
        <w:spacing w:after="0" w:line="266"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Verona) is a corporation organized and validly existing under the laws a U.K. jurisdiction or a U.S.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980" w:right="939" w:hanging="360"/>
        <w:spacing w:after="0" w:line="282"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94"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Notwithstanding the above, our subsidiary may consolidate with, merge into or transfer all or part of its properties to us. (Section 5.1)</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17" w:lineRule="exact"/>
        <w:rPr>
          <w:sz w:val="20"/>
          <w:szCs w:val="20"/>
          <w:color w:val="auto"/>
        </w:rPr>
      </w:pPr>
    </w:p>
    <w:p>
      <w:pPr>
        <w:ind w:left="1980" w:right="439" w:hanging="360"/>
        <w:spacing w:after="0" w:line="261"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5"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17" w:lineRule="exact"/>
        <w:rPr>
          <w:rFonts w:ascii="Times New Roman" w:cs="Times New Roman" w:eastAsia="Times New Roman" w:hAnsi="Times New Roman"/>
          <w:sz w:val="18"/>
          <w:szCs w:val="18"/>
          <w:color w:val="auto"/>
        </w:rPr>
      </w:pPr>
    </w:p>
    <w:p>
      <w:pPr>
        <w:ind w:left="1980" w:right="479" w:hanging="360"/>
        <w:spacing w:after="0" w:line="256"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Verona and the trustee receive written notice from the holders of not less than 25% in principal amount of the outstanding debt securities of that series as provided in the indenture;</w:t>
      </w:r>
    </w:p>
    <w:p>
      <w:pPr>
        <w:spacing w:after="0" w:line="79"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Verona;</w:t>
      </w:r>
    </w:p>
    <w:p>
      <w:pPr>
        <w:spacing w:after="0" w:line="117"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9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subsidiary outstanding from time to time.</w:t>
      </w:r>
    </w:p>
    <w:p>
      <w:pPr>
        <w:spacing w:after="0" w:line="116"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99"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6" w:lineRule="exact"/>
        <w:rPr>
          <w:sz w:val="20"/>
          <w:szCs w:val="20"/>
          <w:color w:val="auto"/>
        </w:rPr>
      </w:pPr>
    </w:p>
    <w:p>
      <w:pPr>
        <w:jc w:val="both"/>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w:t>
      </w:r>
    </w:p>
    <w:p>
      <w:pPr>
        <w:spacing w:after="0" w:line="1" w:lineRule="exact"/>
        <w:rPr>
          <w:sz w:val="20"/>
          <w:szCs w:val="20"/>
          <w:color w:val="auto"/>
        </w:rPr>
      </w:pPr>
    </w:p>
    <w:p>
      <w:pPr>
        <w:ind w:left="1260" w:right="579"/>
        <w:spacing w:after="0" w:line="253" w:lineRule="auto"/>
        <w:rPr>
          <w:sz w:val="20"/>
          <w:szCs w:val="20"/>
          <w:color w:val="auto"/>
        </w:rPr>
      </w:pPr>
      <w:r>
        <w:rPr>
          <w:rFonts w:ascii="Times New Roman" w:cs="Times New Roman" w:eastAsia="Times New Roman" w:hAnsi="Times New Roman"/>
          <w:sz w:val="18"/>
          <w:szCs w:val="18"/>
          <w:color w:val="auto"/>
        </w:rPr>
        <w:t>(Section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81"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9" w:lineRule="exact"/>
        <w:rPr>
          <w:sz w:val="20"/>
          <w:szCs w:val="20"/>
          <w:color w:val="auto"/>
        </w:rPr>
      </w:pPr>
    </w:p>
    <w:p>
      <w:pPr>
        <w:ind w:left="1980" w:right="479" w:hanging="360"/>
        <w:spacing w:after="0" w:line="282"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980" w:right="559" w:hanging="360"/>
        <w:spacing w:after="0" w:line="257"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336"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22"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48" w:lineRule="exact"/>
        <w:rPr>
          <w:sz w:val="20"/>
          <w:szCs w:val="20"/>
          <w:color w:val="auto"/>
        </w:rPr>
      </w:pPr>
    </w:p>
    <w:p>
      <w:pPr>
        <w:ind w:left="1260" w:right="539" w:firstLine="360"/>
        <w:spacing w:after="0" w:line="297"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55" w:lineRule="exact"/>
        <w:rPr>
          <w:sz w:val="20"/>
          <w:szCs w:val="20"/>
          <w:color w:val="auto"/>
        </w:rPr>
      </w:pPr>
    </w:p>
    <w:p>
      <w:pPr>
        <w:ind w:left="1980" w:hanging="360"/>
        <w:spacing w:after="0"/>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980" w:right="819" w:hanging="360"/>
        <w:spacing w:after="0" w:line="282" w:lineRule="auto"/>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6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1980" w:right="879" w:hanging="360"/>
        <w:spacing w:after="0" w:line="282" w:lineRule="auto"/>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6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1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53"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81" w:lineRule="exact"/>
        <w:rPr>
          <w:rFonts w:ascii="Times New Roman" w:cs="Times New Roman" w:eastAsia="Times New Roman" w:hAnsi="Times New Roman"/>
          <w:sz w:val="18"/>
          <w:szCs w:val="18"/>
          <w:color w:val="auto"/>
        </w:rPr>
      </w:pPr>
    </w:p>
    <w:p>
      <w:pPr>
        <w:ind w:left="1980" w:right="859" w:hanging="360"/>
        <w:spacing w:after="0" w:line="282" w:lineRule="auto"/>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(Section 9.1)</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69" w:lineRule="exact"/>
        <w:rPr>
          <w:sz w:val="20"/>
          <w:szCs w:val="20"/>
          <w:color w:val="auto"/>
        </w:rPr>
      </w:pPr>
    </w:p>
    <w:p>
      <w:pPr>
        <w:ind w:left="1980" w:right="499" w:hanging="360"/>
        <w:spacing w:after="0" w:line="282"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53" w:lineRule="exact"/>
        <w:rPr>
          <w:rFonts w:ascii="Times New Roman" w:cs="Times New Roman" w:eastAsia="Times New Roman" w:hAnsi="Times New Roman"/>
          <w:sz w:val="18"/>
          <w:szCs w:val="18"/>
          <w:color w:val="auto"/>
        </w:rPr>
      </w:pPr>
    </w:p>
    <w:p>
      <w:pPr>
        <w:ind w:left="1980" w:right="759" w:hanging="360"/>
        <w:spacing w:after="0" w:line="282"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53" w:lineRule="exact"/>
        <w:rPr>
          <w:rFonts w:ascii="Times New Roman" w:cs="Times New Roman" w:eastAsia="Times New Roman" w:hAnsi="Times New Roman"/>
          <w:sz w:val="18"/>
          <w:szCs w:val="18"/>
          <w:color w:val="auto"/>
        </w:rPr>
      </w:pPr>
    </w:p>
    <w:p>
      <w:pPr>
        <w:ind w:left="1980" w:right="539" w:hanging="360"/>
        <w:spacing w:after="0" w:line="266"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03" w:lineRule="exact"/>
        <w:rPr>
          <w:rFonts w:ascii="Times New Roman" w:cs="Times New Roman" w:eastAsia="Times New Roman" w:hAnsi="Times New Roman"/>
          <w:sz w:val="18"/>
          <w:szCs w:val="18"/>
          <w:color w:val="auto"/>
        </w:rPr>
      </w:pPr>
    </w:p>
    <w:p>
      <w:pPr>
        <w:ind w:left="1980" w:right="559" w:hanging="360"/>
        <w:spacing w:after="0" w:line="261"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1"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53" w:lineRule="exact"/>
        <w:rPr>
          <w:rFonts w:ascii="Times New Roman" w:cs="Times New Roman" w:eastAsia="Times New Roman" w:hAnsi="Times New Roman"/>
          <w:sz w:val="18"/>
          <w:szCs w:val="18"/>
          <w:color w:val="auto"/>
        </w:rPr>
      </w:pPr>
    </w:p>
    <w:p>
      <w:pPr>
        <w:ind w:left="1980" w:right="439" w:hanging="360"/>
        <w:spacing w:after="0" w:line="261"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5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pacing w:after="0" w:line="15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331"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00" w:lineRule="exact"/>
        <w:rPr>
          <w:sz w:val="20"/>
          <w:szCs w:val="20"/>
          <w:color w:val="auto"/>
        </w:rPr>
      </w:pPr>
    </w:p>
    <w:p>
      <w:pPr>
        <w:ind w:left="1260" w:right="8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applicable series of debt securities, upon compliance with certain conditions:</w:t>
      </w:r>
    </w:p>
    <w:p>
      <w:pPr>
        <w:spacing w:after="0" w:line="53" w:lineRule="exact"/>
        <w:rPr>
          <w:sz w:val="20"/>
          <w:szCs w:val="20"/>
          <w:color w:val="auto"/>
        </w:rPr>
      </w:pPr>
    </w:p>
    <w:p>
      <w:pPr>
        <w:ind w:left="1980" w:right="439" w:hanging="360"/>
        <w:spacing w:after="0" w:line="266" w:lineRule="auto"/>
        <w:tabs>
          <w:tab w:leader="none" w:pos="1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7"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04" w:lineRule="exact"/>
        <w:rPr>
          <w:sz w:val="20"/>
          <w:szCs w:val="20"/>
          <w:color w:val="auto"/>
        </w:rPr>
      </w:pPr>
    </w:p>
    <w:p>
      <w:pPr>
        <w:ind w:left="1980" w:right="419" w:hanging="360"/>
        <w:spacing w:after="0" w:line="254" w:lineRule="auto"/>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Times New Roman" w:cs="Times New Roman" w:eastAsia="Times New Roman" w:hAnsi="Times New Roman"/>
          <w:sz w:val="18"/>
          <w:szCs w:val="18"/>
          <w:color w:val="auto"/>
        </w:rPr>
      </w:pPr>
    </w:p>
    <w:p>
      <w:pPr>
        <w:ind w:left="1980" w:right="439" w:hanging="360"/>
        <w:spacing w:after="0" w:line="258" w:lineRule="auto"/>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81"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61" w:lineRule="auto"/>
        <w:rPr>
          <w:sz w:val="20"/>
          <w:szCs w:val="20"/>
          <w:color w:val="auto"/>
        </w:rPr>
      </w:pPr>
      <w:r>
        <w:rPr>
          <w:rFonts w:ascii="Times New Roman" w:cs="Times New Roman" w:eastAsia="Times New Roman" w:hAnsi="Times New Roman"/>
          <w:sz w:val="18"/>
          <w:szCs w:val="18"/>
          <w:color w:val="auto"/>
        </w:rPr>
        <w:t>(by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DESCRIPTION OF OTHER SECURITIES</w:t>
      </w:r>
    </w:p>
    <w:p>
      <w:pPr>
        <w:spacing w:after="0" w:line="162"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 description of any depositary shares, warrants, or units issued by us that may be offered and sold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17" w:lineRule="exact"/>
        <w:rPr>
          <w:sz w:val="20"/>
          <w:szCs w:val="20"/>
          <w:color w:val="auto"/>
        </w:rPr>
      </w:pPr>
    </w:p>
    <w:p>
      <w:pPr>
        <w:ind w:left="1980" w:hanging="360"/>
        <w:spacing w:after="0"/>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0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1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1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0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15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21"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329"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0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0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0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34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34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9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08"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54" w:lineRule="exact"/>
        <w:rPr>
          <w:sz w:val="20"/>
          <w:szCs w:val="20"/>
          <w:color w:val="auto"/>
        </w:rPr>
      </w:pPr>
    </w:p>
    <w:p>
      <w:pPr>
        <w:ind w:left="1980" w:right="459" w:hanging="360"/>
        <w:spacing w:after="0" w:line="258" w:lineRule="auto"/>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79" w:hanging="360"/>
        <w:spacing w:after="0" w:line="282" w:lineRule="auto"/>
        <w:tabs>
          <w:tab w:leader="none" w:pos="1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5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158"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1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1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10"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1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 depositaries.</w:t>
      </w:r>
    </w:p>
    <w:p>
      <w:pPr>
        <w:spacing w:after="0" w:line="126"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sell the offered securities from time to time:</w:t>
      </w:r>
    </w:p>
    <w:p>
      <w:pPr>
        <w:spacing w:after="0" w:line="117" w:lineRule="exact"/>
        <w:rPr>
          <w:sz w:val="20"/>
          <w:szCs w:val="20"/>
          <w:color w:val="auto"/>
        </w:rPr>
      </w:pPr>
    </w:p>
    <w:p>
      <w:pPr>
        <w:ind w:left="1980" w:hanging="360"/>
        <w:spacing w:after="0"/>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1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1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or</w:t>
      </w:r>
    </w:p>
    <w:p>
      <w:pPr>
        <w:spacing w:after="0" w:line="11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15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59" w:firstLine="360"/>
        <w:spacing w:after="0" w:line="263"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Verona Pharma plc.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138430</wp:posOffset>
            </wp:positionV>
            <wp:extent cx="1688465" cy="651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940"/>
        <w:spacing w:after="0"/>
        <w:rPr>
          <w:sz w:val="20"/>
          <w:szCs w:val="20"/>
          <w:color w:val="auto"/>
        </w:rPr>
      </w:pPr>
      <w:r>
        <w:rPr>
          <w:rFonts w:ascii="Arial" w:cs="Arial" w:eastAsia="Arial" w:hAnsi="Arial"/>
          <w:sz w:val="29"/>
          <w:szCs w:val="29"/>
          <w:b w:val="1"/>
          <w:bCs w:val="1"/>
          <w:color w:val="auto"/>
        </w:rPr>
        <w:t>Up to $200,000,000</w:t>
      </w:r>
    </w:p>
    <w:p>
      <w:pPr>
        <w:spacing w:after="0" w:line="139" w:lineRule="exact"/>
        <w:rPr>
          <w:sz w:val="20"/>
          <w:szCs w:val="20"/>
          <w:color w:val="auto"/>
        </w:rPr>
      </w:pPr>
    </w:p>
    <w:p>
      <w:pPr>
        <w:ind w:left="4080"/>
        <w:spacing w:after="0"/>
        <w:rPr>
          <w:sz w:val="20"/>
          <w:szCs w:val="20"/>
          <w:color w:val="auto"/>
        </w:rPr>
      </w:pPr>
      <w:r>
        <w:rPr>
          <w:rFonts w:ascii="Arial" w:cs="Arial" w:eastAsia="Arial" w:hAnsi="Arial"/>
          <w:sz w:val="29"/>
          <w:szCs w:val="29"/>
          <w:b w:val="1"/>
          <w:bCs w:val="1"/>
          <w:color w:val="auto"/>
        </w:rPr>
        <w:t>Ordinary Shares</w:t>
      </w:r>
    </w:p>
    <w:p>
      <w:pPr>
        <w:spacing w:after="0" w:line="21" w:lineRule="exact"/>
        <w:rPr>
          <w:sz w:val="20"/>
          <w:szCs w:val="20"/>
          <w:color w:val="auto"/>
        </w:rPr>
      </w:pPr>
    </w:p>
    <w:p>
      <w:pPr>
        <w:ind w:left="1920"/>
        <w:spacing w:after="0"/>
        <w:rPr>
          <w:sz w:val="20"/>
          <w:szCs w:val="20"/>
          <w:color w:val="auto"/>
        </w:rPr>
      </w:pPr>
      <w:r>
        <w:rPr>
          <w:rFonts w:ascii="Arial" w:cs="Arial" w:eastAsia="Arial" w:hAnsi="Arial"/>
          <w:sz w:val="29"/>
          <w:szCs w:val="29"/>
          <w:b w:val="1"/>
          <w:bCs w:val="1"/>
          <w:color w:val="auto"/>
        </w:rPr>
        <w:t>(represented by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151130</wp:posOffset>
            </wp:positionV>
            <wp:extent cx="12344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60" w:right="499"/>
        <w:spacing w:after="0" w:line="248" w:lineRule="auto"/>
        <w:rPr>
          <w:sz w:val="20"/>
          <w:szCs w:val="20"/>
          <w:color w:val="auto"/>
        </w:rPr>
      </w:pPr>
      <w:r>
        <w:rPr>
          <w:rFonts w:ascii="Arial" w:cs="Arial" w:eastAsia="Arial" w:hAnsi="Arial"/>
          <w:sz w:val="17"/>
          <w:szCs w:val="17"/>
          <w:color w:val="auto"/>
        </w:rPr>
        <w:t>We previously entered into an Open Market Sale Agreement</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with Jefferies LLC, or Jefferies, dated March 19, 2021, as amended, relating to the sale of American Depositary Shares, or ADSs, each representing eight ordinary shares, nominal value £0.05, offered by this prospectus supplement. In accordance with the terms of the sales agreement, under this prospectus supplement we may offer and sell ADSs having an aggregate offering price of up to $200,000,000 from time to time through Jefferies, acting as our agent.</w:t>
      </w:r>
    </w:p>
    <w:p>
      <w:pPr>
        <w:spacing w:after="0" w:line="120" w:lineRule="exact"/>
        <w:rPr>
          <w:sz w:val="20"/>
          <w:szCs w:val="20"/>
          <w:color w:val="auto"/>
        </w:rPr>
      </w:pPr>
    </w:p>
    <w:p>
      <w:pPr>
        <w:ind w:left="1260" w:right="639"/>
        <w:spacing w:after="0" w:line="274" w:lineRule="auto"/>
        <w:rPr>
          <w:sz w:val="20"/>
          <w:szCs w:val="20"/>
          <w:color w:val="auto"/>
        </w:rPr>
      </w:pPr>
      <w:r>
        <w:rPr>
          <w:rFonts w:ascii="Arial" w:cs="Arial" w:eastAsia="Arial" w:hAnsi="Arial"/>
          <w:sz w:val="17"/>
          <w:szCs w:val="17"/>
          <w:color w:val="auto"/>
        </w:rPr>
        <w:t>Our ADSs, each representing eight ordinary shares, are listed on the Nasdaq Global Market under the symbol “VRNA.” On March 6, 2023, the last reported sale price of our ADSs on the Nasdaq Global Market was $22.45 per ADS.</w:t>
      </w:r>
    </w:p>
    <w:p>
      <w:pPr>
        <w:spacing w:after="0" w:line="100" w:lineRule="exact"/>
        <w:rPr>
          <w:sz w:val="20"/>
          <w:szCs w:val="20"/>
          <w:color w:val="auto"/>
        </w:rPr>
      </w:pPr>
    </w:p>
    <w:p>
      <w:pPr>
        <w:ind w:left="1260" w:right="499"/>
        <w:spacing w:after="0" w:line="261" w:lineRule="auto"/>
        <w:rPr>
          <w:sz w:val="20"/>
          <w:szCs w:val="20"/>
          <w:color w:val="auto"/>
        </w:rPr>
      </w:pPr>
      <w:r>
        <w:rPr>
          <w:rFonts w:ascii="Arial" w:cs="Arial" w:eastAsia="Arial" w:hAnsi="Arial"/>
          <w:sz w:val="17"/>
          <w:szCs w:val="17"/>
          <w:color w:val="auto"/>
        </w:rPr>
        <w:t>Sales of our ADSs, if any, under this prospectus supplement will be made by any method permitted that is deemed an “at the market offering” as defined in Rule 415(a)(4) under the Securities Act of 1933, as amended, or the Securities Act. Jefferies is not required to sell any specific amount, but will act as our sales agent using commercially reasonable efforts consistent with its normal trading and sales practices. There is no arrangement for funds to be received in any escrow, trust or similar arrangement.</w:t>
      </w:r>
    </w:p>
    <w:p>
      <w:pPr>
        <w:spacing w:after="0" w:line="112" w:lineRule="exact"/>
        <w:rPr>
          <w:sz w:val="20"/>
          <w:szCs w:val="20"/>
          <w:color w:val="auto"/>
        </w:rPr>
      </w:pPr>
    </w:p>
    <w:p>
      <w:pPr>
        <w:ind w:left="1260" w:right="459"/>
        <w:spacing w:after="0" w:line="260" w:lineRule="auto"/>
        <w:rPr>
          <w:sz w:val="20"/>
          <w:szCs w:val="20"/>
          <w:color w:val="auto"/>
        </w:rPr>
      </w:pPr>
      <w:r>
        <w:rPr>
          <w:rFonts w:ascii="Arial" w:cs="Arial" w:eastAsia="Arial" w:hAnsi="Arial"/>
          <w:sz w:val="17"/>
          <w:szCs w:val="17"/>
          <w:color w:val="auto"/>
        </w:rPr>
        <w:t xml:space="preserve">Jefferies will be entitled to compensation at a commission rate of up to 3.0% of the gross sales price per ADS sold under the sales agreement. In connection with the sale of the ADSs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See “Plan of Distribution” beginning on page </w:t>
      </w:r>
      <w:r>
        <w:rPr>
          <w:rFonts w:ascii="Arial" w:cs="Arial" w:eastAsia="Arial" w:hAnsi="Arial"/>
          <w:sz w:val="17"/>
          <w:szCs w:val="17"/>
          <w:u w:val="single" w:color="auto"/>
          <w:color w:val="0000EE"/>
        </w:rPr>
        <w:t>S-12</w:t>
      </w:r>
      <w:r>
        <w:rPr>
          <w:rFonts w:ascii="Arial" w:cs="Arial" w:eastAsia="Arial" w:hAnsi="Arial"/>
          <w:sz w:val="17"/>
          <w:szCs w:val="17"/>
          <w:color w:val="auto"/>
        </w:rPr>
        <w:t xml:space="preserve"> for additional information regarding the compensation to be paid to 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204470</wp:posOffset>
            </wp:positionV>
            <wp:extent cx="12344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60" w:right="499"/>
        <w:spacing w:after="0" w:line="270" w:lineRule="auto"/>
        <w:rPr>
          <w:sz w:val="20"/>
          <w:szCs w:val="20"/>
          <w:color w:val="auto"/>
        </w:rPr>
      </w:pPr>
      <w:r>
        <w:rPr>
          <w:rFonts w:ascii="Arial" w:cs="Arial" w:eastAsia="Arial" w:hAnsi="Arial"/>
          <w:sz w:val="17"/>
          <w:szCs w:val="17"/>
          <w:b w:val="1"/>
          <w:bCs w:val="1"/>
          <w:color w:val="auto"/>
        </w:rPr>
        <w:t xml:space="preserve">INVESTING IN OUR SECURITIES INVOLVES RISKS. SEE THE “RISK FACTORS” ON PAGE </w:t>
      </w:r>
      <w:r>
        <w:rPr>
          <w:rFonts w:ascii="Arial" w:cs="Arial" w:eastAsia="Arial" w:hAnsi="Arial"/>
          <w:sz w:val="17"/>
          <w:szCs w:val="17"/>
          <w:b w:val="1"/>
          <w:bCs w:val="1"/>
          <w:u w:val="single" w:color="auto"/>
          <w:color w:val="0000EE"/>
        </w:rPr>
        <w:t>S-5</w:t>
      </w:r>
      <w:r>
        <w:rPr>
          <w:rFonts w:ascii="Arial" w:cs="Arial" w:eastAsia="Arial" w:hAnsi="Arial"/>
          <w:sz w:val="17"/>
          <w:szCs w:val="17"/>
          <w:b w:val="1"/>
          <w:bCs w:val="1"/>
          <w:color w:val="0000EE"/>
        </w:rPr>
        <w:t xml:space="preserve"> </w:t>
      </w:r>
      <w:r>
        <w:rPr>
          <w:rFonts w:ascii="Arial" w:cs="Arial" w:eastAsia="Arial" w:hAnsi="Arial"/>
          <w:sz w:val="17"/>
          <w:szCs w:val="17"/>
          <w:b w:val="1"/>
          <w:bCs w:val="1"/>
          <w:color w:val="000000"/>
        </w:rPr>
        <w:t>OF THIS PROSPECTUS SUPPLEMENT AND IN THE DOCUMENTS INCORPORATED BY</w:t>
      </w:r>
      <w:r>
        <w:rPr>
          <w:rFonts w:ascii="Arial" w:cs="Arial" w:eastAsia="Arial" w:hAnsi="Arial"/>
          <w:sz w:val="17"/>
          <w:szCs w:val="17"/>
          <w:b w:val="1"/>
          <w:bCs w:val="1"/>
          <w:color w:val="0000EE"/>
        </w:rPr>
        <w:t xml:space="preserve"> </w:t>
      </w:r>
      <w:r>
        <w:rPr>
          <w:rFonts w:ascii="Arial" w:cs="Arial" w:eastAsia="Arial" w:hAnsi="Arial"/>
          <w:sz w:val="17"/>
          <w:szCs w:val="17"/>
          <w:b w:val="1"/>
          <w:bCs w:val="1"/>
          <w:color w:val="000000"/>
        </w:rPr>
        <w:t>REFERENCE IN THIS PROSPECTUS SUPPLEMENT CONCERNING FACTORS YOU SHOULD CONSIDER BEFORE INVESTING IN OUR SECURITIES.</w:t>
      </w:r>
    </w:p>
    <w:p>
      <w:pPr>
        <w:spacing w:after="0" w:line="92" w:lineRule="exact"/>
        <w:rPr>
          <w:sz w:val="20"/>
          <w:szCs w:val="20"/>
          <w:color w:val="auto"/>
        </w:rPr>
      </w:pPr>
    </w:p>
    <w:p>
      <w:pPr>
        <w:ind w:left="1260" w:right="439"/>
        <w:spacing w:after="0" w:line="270" w:lineRule="auto"/>
        <w:rPr>
          <w:sz w:val="20"/>
          <w:szCs w:val="20"/>
          <w:color w:val="auto"/>
        </w:rPr>
      </w:pPr>
      <w:r>
        <w:rPr>
          <w:rFonts w:ascii="Arial" w:cs="Arial" w:eastAsia="Arial" w:hAnsi="Arial"/>
          <w:sz w:val="17"/>
          <w:szCs w:val="17"/>
          <w:b w:val="1"/>
          <w:bCs w:val="1"/>
          <w:color w:val="auto"/>
        </w:rPr>
        <w:t>Neither the Securities and Exchange Commission, or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193040</wp:posOffset>
            </wp:positionV>
            <wp:extent cx="1234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700"/>
        <w:spacing w:after="0"/>
        <w:rPr>
          <w:sz w:val="20"/>
          <w:szCs w:val="20"/>
          <w:color w:val="auto"/>
        </w:rPr>
      </w:pPr>
      <w:r>
        <w:rPr>
          <w:rFonts w:ascii="Arial" w:cs="Arial" w:eastAsia="Arial" w:hAnsi="Arial"/>
          <w:sz w:val="29"/>
          <w:szCs w:val="29"/>
          <w:b w:val="1"/>
          <w:bCs w:val="1"/>
          <w:color w:val="auto"/>
        </w:rPr>
        <w:t>Jefferies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The date of this prospectus supplement is March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254635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138430</wp:posOffset>
            </wp:positionV>
            <wp:extent cx="5212080" cy="248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5212080" cy="248920"/>
                    </a:xfrm>
                    <a:prstGeom prst="rect">
                      <a:avLst/>
                    </a:prstGeom>
                    <a:noFill/>
                  </pic:spPr>
                </pic:pic>
              </a:graphicData>
            </a:graphic>
          </wp:anchor>
        </w:drawing>
      </w: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ABOUT</w:t>
      </w:r>
      <w:r>
        <w:rPr>
          <w:rFonts w:ascii="Arial" w:cs="Arial" w:eastAsia="Arial" w:hAnsi="Arial"/>
          <w:sz w:val="17"/>
          <w:szCs w:val="17"/>
          <w:color w:val="000000"/>
        </w:rPr>
        <w:t>​</w:t>
      </w:r>
      <w:r>
        <w:rPr>
          <w:rFonts w:ascii="Arial" w:cs="Arial" w:eastAsia="Arial" w:hAnsi="Arial"/>
          <w:sz w:val="17"/>
          <w:szCs w:val="17"/>
          <w:color w:val="0000EE"/>
        </w:rPr>
        <w:t xml:space="preserve"> THIS PROSPECTUS SUPPLEMENT</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5"/>
          <w:szCs w:val="15"/>
          <w:color w:val="0000EE"/>
        </w:rPr>
        <w:t>WHERE</w:t>
      </w:r>
      <w:r>
        <w:rPr>
          <w:rFonts w:ascii="Arial" w:cs="Arial" w:eastAsia="Arial" w:hAnsi="Arial"/>
          <w:sz w:val="15"/>
          <w:szCs w:val="15"/>
          <w:color w:val="000000"/>
        </w:rPr>
        <w:t>​</w:t>
      </w:r>
      <w:r>
        <w:rPr>
          <w:rFonts w:ascii="Arial" w:cs="Arial" w:eastAsia="Arial" w:hAnsi="Arial"/>
          <w:sz w:val="15"/>
          <w:szCs w:val="15"/>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39312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39312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THE</w:t>
      </w:r>
      <w:r>
        <w:rPr>
          <w:rFonts w:ascii="Arial" w:cs="Arial" w:eastAsia="Arial" w:hAnsi="Arial"/>
          <w:sz w:val="17"/>
          <w:szCs w:val="17"/>
          <w:color w:val="000000"/>
        </w:rPr>
        <w:t>​</w:t>
      </w:r>
      <w:r>
        <w:rPr>
          <w:rFonts w:ascii="Arial" w:cs="Arial" w:eastAsia="Arial" w:hAnsi="Arial"/>
          <w:sz w:val="17"/>
          <w:szCs w:val="17"/>
          <w:color w:val="0000EE"/>
        </w:rPr>
        <w:t xml:space="preserve"> COMPANY</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THE</w:t>
      </w:r>
      <w:r>
        <w:rPr>
          <w:rFonts w:ascii="Arial" w:cs="Arial" w:eastAsia="Arial" w:hAnsi="Arial"/>
          <w:sz w:val="17"/>
          <w:szCs w:val="17"/>
          <w:color w:val="000000"/>
        </w:rPr>
        <w:t>​</w:t>
      </w:r>
      <w:r>
        <w:rPr>
          <w:rFonts w:ascii="Arial" w:cs="Arial" w:eastAsia="Arial" w:hAnsi="Arial"/>
          <w:sz w:val="17"/>
          <w:szCs w:val="17"/>
          <w:color w:val="0000EE"/>
        </w:rPr>
        <w:t xml:space="preserv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7581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581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RISK</w:t>
      </w:r>
      <w:r>
        <w:rPr>
          <w:rFonts w:ascii="Arial" w:cs="Arial" w:eastAsia="Arial" w:hAnsi="Arial"/>
          <w:sz w:val="17"/>
          <w:szCs w:val="17"/>
          <w:color w:val="000000"/>
        </w:rPr>
        <w:t>​</w:t>
      </w:r>
      <w:r>
        <w:rPr>
          <w:rFonts w:ascii="Arial" w:cs="Arial" w:eastAsia="Arial" w:hAnsi="Arial"/>
          <w:sz w:val="17"/>
          <w:szCs w:val="17"/>
          <w:color w:val="0000EE"/>
        </w:rPr>
        <w:t xml:space="preserve"> FACTORS</w:t>
      </w:r>
    </w:p>
    <w:p>
      <w:pPr>
        <w:spacing w:after="0" w:line="61" w:lineRule="exact"/>
        <w:rPr>
          <w:sz w:val="20"/>
          <w:szCs w:val="20"/>
          <w:color w:val="auto"/>
        </w:rPr>
      </w:pPr>
    </w:p>
    <w:p>
      <w:pPr>
        <w:ind w:left="1260" w:right="1600"/>
        <w:spacing w:after="0" w:line="314" w:lineRule="auto"/>
        <w:rPr>
          <w:sz w:val="20"/>
          <w:szCs w:val="20"/>
          <w:color w:val="auto"/>
        </w:rPr>
      </w:pPr>
      <w:r>
        <w:rPr>
          <w:rFonts w:ascii="Arial" w:cs="Arial" w:eastAsia="Arial" w:hAnsi="Arial"/>
          <w:sz w:val="17"/>
          <w:szCs w:val="17"/>
          <w:color w:val="0000EE"/>
        </w:rPr>
        <w:t>CAUTIONARY</w:t>
      </w:r>
      <w:r>
        <w:rPr>
          <w:rFonts w:ascii="Arial" w:cs="Arial" w:eastAsia="Arial" w:hAnsi="Arial"/>
          <w:sz w:val="17"/>
          <w:szCs w:val="17"/>
          <w:color w:val="000000"/>
        </w:rPr>
        <w:t>​</w:t>
      </w:r>
      <w:r>
        <w:rPr>
          <w:rFonts w:ascii="Arial" w:cs="Arial" w:eastAsia="Arial" w:hAnsi="Arial"/>
          <w:sz w:val="17"/>
          <w:szCs w:val="17"/>
          <w:color w:val="0000EE"/>
        </w:rPr>
        <w:t xml:space="preserve"> NOTE REGARDING FORWARD-LOOKING STATEMENTS USE</w:t>
      </w:r>
      <w:r>
        <w:rPr>
          <w:rFonts w:ascii="Arial" w:cs="Arial" w:eastAsia="Arial" w:hAnsi="Arial"/>
          <w:sz w:val="17"/>
          <w:szCs w:val="17"/>
          <w:color w:val="000000"/>
        </w:rPr>
        <w:t>​</w:t>
      </w:r>
      <w:r>
        <w:rPr>
          <w:rFonts w:ascii="Arial" w:cs="Arial" w:eastAsia="Arial" w:hAnsi="Arial"/>
          <w:sz w:val="17"/>
          <w:szCs w:val="17"/>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-207010</wp:posOffset>
            </wp:positionV>
            <wp:extent cx="33718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3718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-172720</wp:posOffset>
            </wp:positionV>
            <wp:extent cx="521208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0000EE"/>
        </w:rPr>
        <w:t>DIVIDEND</w:t>
      </w:r>
      <w:r>
        <w:rPr>
          <w:rFonts w:ascii="Arial" w:cs="Arial" w:eastAsia="Arial" w:hAnsi="Arial"/>
          <w:sz w:val="17"/>
          <w:szCs w:val="17"/>
          <w:color w:val="000000"/>
        </w:rPr>
        <w:t>​</w:t>
      </w:r>
      <w:r>
        <w:rPr>
          <w:rFonts w:ascii="Arial" w:cs="Arial" w:eastAsia="Arial" w:hAnsi="Arial"/>
          <w:sz w:val="17"/>
          <w:szCs w:val="17"/>
          <w:color w:val="0000EE"/>
        </w:rPr>
        <w:t xml:space="preserv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-6350</wp:posOffset>
            </wp:positionV>
            <wp:extent cx="8845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884555" cy="889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DILUTION</w:t>
      </w:r>
      <w:r>
        <w:rPr>
          <w:rFonts w:ascii="Arial" w:cs="Arial" w:eastAsia="Arial" w:hAnsi="Arial"/>
          <w:sz w:val="17"/>
          <w:szCs w:val="17"/>
          <w:color w:val="000000"/>
        </w:rPr>
        <w:t>​</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PLAN</w:t>
      </w:r>
      <w:r>
        <w:rPr>
          <w:rFonts w:ascii="Arial" w:cs="Arial" w:eastAsia="Arial" w:hAnsi="Arial"/>
          <w:sz w:val="17"/>
          <w:szCs w:val="17"/>
          <w:color w:val="000000"/>
        </w:rPr>
        <w:t>​</w:t>
      </w:r>
      <w:r>
        <w:rPr>
          <w:rFonts w:ascii="Arial" w:cs="Arial" w:eastAsia="Arial" w:hAnsi="Arial"/>
          <w:sz w:val="17"/>
          <w:szCs w:val="17"/>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11772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177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LEGAL</w:t>
      </w:r>
      <w:r>
        <w:rPr>
          <w:rFonts w:ascii="Arial" w:cs="Arial" w:eastAsia="Arial" w:hAnsi="Arial"/>
          <w:sz w:val="17"/>
          <w:szCs w:val="17"/>
          <w:color w:val="000000"/>
        </w:rPr>
        <w:t>​</w:t>
      </w:r>
      <w:r>
        <w:rPr>
          <w:rFonts w:ascii="Arial" w:cs="Arial" w:eastAsia="Arial" w:hAnsi="Arial"/>
          <w:sz w:val="17"/>
          <w:szCs w:val="17"/>
          <w:color w:val="0000EE"/>
        </w:rPr>
        <w:t xml:space="preserve"> MATTERS</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EXPERTS</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S-1</w:t>
      </w:r>
      <w:r>
        <w:rPr>
          <w:rFonts w:ascii="Arial" w:cs="Arial" w:eastAsia="Arial" w:hAnsi="Arial"/>
          <w:sz w:val="17"/>
          <w:szCs w:val="17"/>
          <w:color w:val="auto"/>
        </w:rPr>
        <w: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S-3</w:t>
      </w:r>
      <w:r>
        <w:rPr>
          <w:rFonts w:ascii="Arial" w:cs="Arial" w:eastAsia="Arial" w:hAnsi="Arial"/>
          <w:sz w:val="17"/>
          <w:szCs w:val="17"/>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S-4</w:t>
      </w:r>
      <w:r>
        <w:rPr>
          <w:rFonts w:ascii="Arial" w:cs="Arial" w:eastAsia="Arial" w:hAnsi="Arial"/>
          <w:sz w:val="17"/>
          <w:szCs w:val="17"/>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S-5</w:t>
      </w:r>
      <w:r>
        <w:rPr>
          <w:rFonts w:ascii="Arial" w:cs="Arial" w:eastAsia="Arial" w:hAnsi="Arial"/>
          <w:sz w:val="17"/>
          <w:szCs w:val="17"/>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S-5</w:t>
      </w:r>
      <w:r>
        <w:rPr>
          <w:rFonts w:ascii="Arial" w:cs="Arial" w:eastAsia="Arial" w:hAnsi="Arial"/>
          <w:sz w:val="17"/>
          <w:szCs w:val="17"/>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S-8</w:t>
      </w:r>
      <w:r>
        <w:rPr>
          <w:rFonts w:ascii="Arial" w:cs="Arial" w:eastAsia="Arial" w:hAnsi="Arial"/>
          <w:sz w:val="17"/>
          <w:szCs w:val="17"/>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S-9</w:t>
      </w:r>
      <w:r>
        <w:rPr>
          <w:rFonts w:ascii="Arial" w:cs="Arial" w:eastAsia="Arial" w:hAnsi="Arial"/>
          <w:sz w:val="17"/>
          <w:szCs w:val="17"/>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u w:val="single" w:color="auto"/>
          <w:color w:val="0000EE"/>
        </w:rPr>
        <w:t>S-10</w:t>
      </w:r>
      <w:r>
        <w:rPr>
          <w:rFonts w:ascii="Arial" w:cs="Arial" w:eastAsia="Arial" w:hAnsi="Arial"/>
          <w:sz w:val="17"/>
          <w:szCs w:val="17"/>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S-11</w:t>
      </w:r>
      <w:r>
        <w:rPr>
          <w:rFonts w:ascii="Arial" w:cs="Arial" w:eastAsia="Arial" w:hAnsi="Arial"/>
          <w:sz w:val="17"/>
          <w:szCs w:val="17"/>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u w:val="single" w:color="auto"/>
          <w:color w:val="0000EE"/>
        </w:rPr>
        <w:t>S-12</w:t>
      </w:r>
      <w:r>
        <w:rPr>
          <w:rFonts w:ascii="Arial" w:cs="Arial" w:eastAsia="Arial" w:hAnsi="Arial"/>
          <w:sz w:val="17"/>
          <w:szCs w:val="17"/>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u w:val="single" w:color="auto"/>
          <w:color w:val="0000EE"/>
        </w:rPr>
        <w:t>S-13</w:t>
      </w:r>
      <w:r>
        <w:rPr>
          <w:rFonts w:ascii="Arial" w:cs="Arial" w:eastAsia="Arial" w:hAnsi="Arial"/>
          <w:sz w:val="17"/>
          <w:szCs w:val="17"/>
          <w:color w:val="auto"/>
        </w:rPr>
        <w:t>​</w:t>
      </w:r>
    </w:p>
    <w:p>
      <w:pPr>
        <w:spacing w:after="0" w:line="61" w:lineRule="exact"/>
        <w:rPr>
          <w:sz w:val="20"/>
          <w:szCs w:val="20"/>
          <w:color w:val="auto"/>
        </w:rPr>
      </w:pPr>
    </w:p>
    <w:p>
      <w:pPr>
        <w:ind w:left="240" w:hanging="77"/>
        <w:spacing w:after="0"/>
        <w:tabs>
          <w:tab w:leader="none" w:pos="240"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0000EE"/>
        </w:rPr>
        <w:t>S-13</w:t>
      </w:r>
    </w:p>
    <w:p>
      <w:pPr>
        <w:spacing w:after="0" w:line="29" w:lineRule="exact"/>
        <w:rPr>
          <w:rFonts w:ascii="Arial" w:cs="Arial" w:eastAsia="Arial" w:hAnsi="Arial"/>
          <w:sz w:val="17"/>
          <w:szCs w:val="17"/>
          <w:color w:val="auto"/>
        </w:rPr>
      </w:pPr>
    </w:p>
    <w:p>
      <w:pPr>
        <w:ind w:left="100" w:hanging="99"/>
        <w:spacing w:after="0"/>
        <w:tabs>
          <w:tab w:leader="none" w:pos="1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w:t>
      </w:r>
    </w:p>
    <w:p>
      <w:pPr>
        <w:sectPr>
          <w:pgSz w:w="11900" w:h="16838" w:orient="portrait"/>
          <w:cols w:equalWidth="0" w:num="2">
            <w:col w:w="8180" w:space="720"/>
            <w:col w:w="9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ABOUT THIS PROSPECTUS SUPPLEMENT</w:t>
      </w:r>
    </w:p>
    <w:p>
      <w:pPr>
        <w:spacing w:after="0" w:line="343" w:lineRule="exact"/>
        <w:rPr>
          <w:sz w:val="20"/>
          <w:szCs w:val="20"/>
          <w:color w:val="auto"/>
        </w:rPr>
      </w:pPr>
    </w:p>
    <w:p>
      <w:pPr>
        <w:ind w:left="1260" w:right="439"/>
        <w:spacing w:after="0" w:line="260" w:lineRule="auto"/>
        <w:rPr>
          <w:sz w:val="20"/>
          <w:szCs w:val="20"/>
          <w:color w:val="auto"/>
        </w:rPr>
      </w:pPr>
      <w:r>
        <w:rPr>
          <w:rFonts w:ascii="Arial" w:cs="Arial" w:eastAsia="Arial" w:hAnsi="Arial"/>
          <w:sz w:val="17"/>
          <w:szCs w:val="17"/>
          <w:color w:val="auto"/>
        </w:rPr>
        <w:t>This prospectus supplement is part of an automatic shelf registration statement that we filed with the SEC as a “well-known seasoned issuer” as defined in Rule 405 under the Securities Act using a “shelf” registration process, and relates to the offering of our ADSs, each representing eight ordinary shares. Before buying any of the ADSs that we are offering, we urge you to carefully read this prospectus supplement, the accompanying base prospectus and all of the information incorporated by reference herein and therein, as well as the additional information described under the heading “Where You Can Find More Information; Incorporation by Reference.”</w:t>
      </w:r>
    </w:p>
    <w:p>
      <w:pPr>
        <w:spacing w:after="0" w:line="124" w:lineRule="exact"/>
        <w:rPr>
          <w:sz w:val="20"/>
          <w:szCs w:val="20"/>
          <w:color w:val="auto"/>
        </w:rPr>
      </w:pPr>
    </w:p>
    <w:p>
      <w:pPr>
        <w:ind w:left="1260" w:right="439"/>
        <w:spacing w:after="0" w:line="267" w:lineRule="auto"/>
        <w:rPr>
          <w:sz w:val="20"/>
          <w:szCs w:val="20"/>
          <w:color w:val="auto"/>
        </w:rPr>
      </w:pPr>
      <w:r>
        <w:rPr>
          <w:rFonts w:ascii="Arial" w:cs="Arial" w:eastAsia="Arial" w:hAnsi="Arial"/>
          <w:sz w:val="17"/>
          <w:szCs w:val="17"/>
          <w:color w:val="auto"/>
        </w:rPr>
        <w:t>We provide information to you about this offering of our ordinary shares, represented by American Depositary Shares,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 Any statement so modified or superseded will not be deemed, except as so modified or superseded, to constitute a part of this prospectus.</w:t>
      </w:r>
    </w:p>
    <w:p>
      <w:pPr>
        <w:spacing w:after="0" w:line="115"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supplement, the accompanying base prospectus and any free writing prospectus that we may authorize for use in connection with this offering. We have not, and Jefferies has not, authorized anyone to provide you with different information. If anyone provides you with different or inconsistent information, you should not rely on it. We take no responsibility for, and can provide no assurance as to the reliability of, any other information that others may give you. We are not, and Jefferies is not, making an offer to sell these securities in any jurisdiction where the offer or sale is not permitted or in which the person making that offer or solicitation is not qualified to do so or to anyone to whom it is unlawful to make an offer or solicitation.</w:t>
      </w:r>
    </w:p>
    <w:p>
      <w:pPr>
        <w:spacing w:after="0" w:line="117" w:lineRule="exact"/>
        <w:rPr>
          <w:sz w:val="20"/>
          <w:szCs w:val="20"/>
          <w:color w:val="auto"/>
        </w:rPr>
      </w:pPr>
    </w:p>
    <w:p>
      <w:pPr>
        <w:ind w:left="1260" w:right="439"/>
        <w:spacing w:after="0" w:line="271" w:lineRule="auto"/>
        <w:rPr>
          <w:sz w:val="20"/>
          <w:szCs w:val="20"/>
          <w:color w:val="auto"/>
        </w:rPr>
      </w:pPr>
      <w:r>
        <w:rPr>
          <w:rFonts w:ascii="Arial" w:cs="Arial" w:eastAsia="Arial" w:hAnsi="Arial"/>
          <w:sz w:val="17"/>
          <w:szCs w:val="17"/>
          <w:color w:val="auto"/>
        </w:rPr>
        <w:t>You should assume that the information appearing in this prospectus supplement, the accompanying base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This prospectus supplement incorporates by reference market data and industry statistics and forecasts that are based on independent industry publications and other publicly available information.</w:t>
      </w:r>
    </w:p>
    <w:p>
      <w:pPr>
        <w:spacing w:after="0" w:line="115"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color w:val="auto"/>
        </w:rPr>
        <w:t>In addition, the market and industry data and forecasts that may be included or incorporated by reference in this prospectus supplement or any applicable free writing prospectus may involve estimates, assumptions and other risks and uncertainties and are subject to change based on various factors, including those discussed under the heading “Risk Factors” contained in this prospectus supplement and any applicable free writing prospectus, and under similar headings in other documents that are incorporated by reference into this prospectus supplement. Accordingly, investors should not place undue reliance on this information. You should read this prospectus supplement, the accompanying base prospectus, the documents incorporated by reference herein and therein and any free writing prospectus that we have authorized for use in connection with this offering, in their entirety before making an investment decision.</w:t>
      </w:r>
    </w:p>
    <w:p>
      <w:pPr>
        <w:spacing w:after="0" w:line="107" w:lineRule="exact"/>
        <w:rPr>
          <w:sz w:val="20"/>
          <w:szCs w:val="20"/>
          <w:color w:val="auto"/>
        </w:rPr>
      </w:pPr>
    </w:p>
    <w:p>
      <w:pPr>
        <w:ind w:left="1260" w:right="419"/>
        <w:spacing w:after="0" w:line="283" w:lineRule="auto"/>
        <w:rPr>
          <w:sz w:val="20"/>
          <w:szCs w:val="20"/>
          <w:color w:val="auto"/>
        </w:rPr>
      </w:pPr>
      <w:r>
        <w:rPr>
          <w:rFonts w:ascii="Arial" w:cs="Arial" w:eastAsia="Arial" w:hAnsi="Arial"/>
          <w:sz w:val="17"/>
          <w:szCs w:val="17"/>
          <w:color w:val="auto"/>
        </w:rPr>
        <w:t>When we refer to “Verona,” “we,” “our,” “us” and the “Company” in this prospectus supplement, we mean Verona Pharma plc and its consolidated subsidiaries, unless otherwise specified. When we refer to “you,” we mean the potential holders of the applicable series of securities.</w:t>
      </w:r>
    </w:p>
    <w:p>
      <w:pPr>
        <w:spacing w:after="0" w:line="105" w:lineRule="exact"/>
        <w:rPr>
          <w:sz w:val="20"/>
          <w:szCs w:val="20"/>
          <w:color w:val="auto"/>
        </w:rPr>
      </w:pPr>
    </w:p>
    <w:p>
      <w:pPr>
        <w:ind w:left="1260" w:right="439"/>
        <w:spacing w:after="0" w:line="277" w:lineRule="auto"/>
        <w:rPr>
          <w:sz w:val="20"/>
          <w:szCs w:val="20"/>
          <w:color w:val="auto"/>
        </w:rPr>
      </w:pPr>
      <w:r>
        <w:rPr>
          <w:rFonts w:ascii="Arial" w:cs="Arial" w:eastAsia="Arial" w:hAnsi="Arial"/>
          <w:sz w:val="17"/>
          <w:szCs w:val="17"/>
          <w:color w:val="auto"/>
        </w:rPr>
        <w:t>Solely for convenience, any trademarks, service marks, logos and trade names referred to in this prospectus are without the ® and ™ symbols, but such references are not intended to indicate, in any way, that we will not assert, to the fullest extent under applicable law, our rights. This prospectus may contain additional trademarks, service marks and trade names of others, which are the property of their respective owners. All</w:t>
      </w:r>
    </w:p>
    <w:p>
      <w:pPr>
        <w:sectPr>
          <w:pgSz w:w="11900" w:h="16838" w:orient="portrait"/>
          <w:cols w:equalWidth="0" w:num="1">
            <w:col w:w="9879"/>
          </w:cols>
          <w:pgMar w:left="580" w:top="97" w:right="1440" w:bottom="1440" w:gutter="0" w:footer="0" w:header="0"/>
        </w:sectPr>
      </w:pPr>
    </w:p>
    <w:p>
      <w:pPr>
        <w:spacing w:after="0" w:line="388"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59"/>
        <w:spacing w:after="0" w:line="277" w:lineRule="auto"/>
        <w:rPr>
          <w:sz w:val="20"/>
          <w:szCs w:val="20"/>
          <w:color w:val="auto"/>
        </w:rPr>
      </w:pPr>
      <w:r>
        <w:rPr>
          <w:rFonts w:ascii="Arial" w:cs="Arial" w:eastAsia="Arial" w:hAnsi="Arial"/>
          <w:sz w:val="17"/>
          <w:szCs w:val="17"/>
          <w:color w:val="auto"/>
        </w:rPr>
        <w:t>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8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Available Information</w:t>
      </w:r>
    </w:p>
    <w:p>
      <w:pPr>
        <w:spacing w:after="0" w:line="61" w:lineRule="exact"/>
        <w:rPr>
          <w:sz w:val="20"/>
          <w:szCs w:val="20"/>
          <w:color w:val="auto"/>
        </w:rPr>
      </w:pPr>
    </w:p>
    <w:p>
      <w:pPr>
        <w:ind w:left="1260" w:right="479"/>
        <w:spacing w:after="0" w:line="283" w:lineRule="auto"/>
        <w:rPr>
          <w:sz w:val="20"/>
          <w:szCs w:val="20"/>
          <w:color w:val="auto"/>
        </w:rPr>
      </w:pPr>
      <w:r>
        <w:rPr>
          <w:rFonts w:ascii="Arial" w:cs="Arial" w:eastAsia="Arial" w:hAnsi="Arial"/>
          <w:sz w:val="17"/>
          <w:szCs w:val="17"/>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05" w:lineRule="exact"/>
        <w:rPr>
          <w:sz w:val="20"/>
          <w:szCs w:val="20"/>
          <w:color w:val="auto"/>
        </w:rPr>
      </w:pPr>
    </w:p>
    <w:p>
      <w:pPr>
        <w:ind w:left="1260" w:right="899"/>
        <w:spacing w:after="0" w:line="301"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www.veronapharma.com</w:t>
      </w:r>
      <w:r>
        <w:rPr>
          <w:rFonts w:ascii="Arial" w:cs="Arial" w:eastAsia="Arial" w:hAnsi="Arial"/>
          <w:sz w:val="17"/>
          <w:szCs w:val="17"/>
          <w:color w:val="auto"/>
        </w:rPr>
        <w:t>. The information on our website, however, is not, and should not be deemed to be, a part of this prospectus supplement.</w:t>
      </w:r>
    </w:p>
    <w:p>
      <w:pPr>
        <w:spacing w:after="0" w:line="77"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This prospectus supplement and the accompanying base prospectus are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Statements in this prospectus supplement or the accompanying base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Incorporation by Reference</w:t>
      </w:r>
    </w:p>
    <w:p>
      <w:pPr>
        <w:spacing w:after="0" w:line="61" w:lineRule="exact"/>
        <w:rPr>
          <w:sz w:val="20"/>
          <w:szCs w:val="20"/>
          <w:color w:val="auto"/>
        </w:rPr>
      </w:pPr>
    </w:p>
    <w:p>
      <w:pPr>
        <w:ind w:left="1260" w:right="519"/>
        <w:spacing w:after="0" w:line="270" w:lineRule="auto"/>
        <w:rPr>
          <w:sz w:val="20"/>
          <w:szCs w:val="20"/>
          <w:color w:val="auto"/>
        </w:rPr>
      </w:pPr>
      <w:r>
        <w:rPr>
          <w:rFonts w:ascii="Arial" w:cs="Arial" w:eastAsia="Arial" w:hAnsi="Arial"/>
          <w:sz w:val="17"/>
          <w:szCs w:val="17"/>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spacing w:after="0" w:line="117" w:lineRule="exact"/>
        <w:rPr>
          <w:sz w:val="20"/>
          <w:szCs w:val="20"/>
          <w:color w:val="auto"/>
        </w:rPr>
      </w:pPr>
    </w:p>
    <w:p>
      <w:pPr>
        <w:ind w:left="1260" w:right="599"/>
        <w:spacing w:after="0" w:line="301" w:lineRule="auto"/>
        <w:rPr>
          <w:sz w:val="20"/>
          <w:szCs w:val="20"/>
          <w:color w:val="auto"/>
        </w:rPr>
      </w:pPr>
      <w:r>
        <w:rPr>
          <w:rFonts w:ascii="Arial" w:cs="Arial" w:eastAsia="Arial" w:hAnsi="Arial"/>
          <w:sz w:val="17"/>
          <w:szCs w:val="17"/>
          <w:color w:val="auto"/>
        </w:rPr>
        <w:t>This prospectus supplement incorporates by reference the documents set forth below that have previously been filed with the SEC:</w:t>
      </w:r>
    </w:p>
    <w:p>
      <w:pPr>
        <w:spacing w:after="0" w:line="9" w:lineRule="exact"/>
        <w:rPr>
          <w:sz w:val="20"/>
          <w:szCs w:val="20"/>
          <w:color w:val="auto"/>
        </w:rPr>
      </w:pPr>
    </w:p>
    <w:p>
      <w:pPr>
        <w:ind w:left="1840" w:right="859" w:hanging="220"/>
        <w:spacing w:after="0" w:line="301" w:lineRule="auto"/>
        <w:tabs>
          <w:tab w:leader="none" w:pos="18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Our </w:t>
      </w:r>
      <w:hyperlink r:id="rId32">
        <w:r>
          <w:rPr>
            <w:rFonts w:ascii="Arial" w:cs="Arial" w:eastAsia="Arial" w:hAnsi="Arial"/>
            <w:sz w:val="17"/>
            <w:szCs w:val="17"/>
            <w:u w:val="single" w:color="auto"/>
            <w:color w:val="0000EE"/>
          </w:rPr>
          <w:t>Annual Report on Form 10-K for the year ended December 31, 2022</w:t>
        </w:r>
      </w:hyperlink>
      <w:r>
        <w:rPr>
          <w:rFonts w:ascii="Arial" w:cs="Arial" w:eastAsia="Arial" w:hAnsi="Arial"/>
          <w:sz w:val="17"/>
          <w:szCs w:val="17"/>
          <w:color w:val="auto"/>
        </w:rPr>
        <w:t>, filed with the SEC on March 7, 2023.</w:t>
      </w:r>
    </w:p>
    <w:p>
      <w:pPr>
        <w:spacing w:after="0" w:line="22" w:lineRule="exact"/>
        <w:rPr>
          <w:rFonts w:ascii="Arial" w:cs="Arial" w:eastAsia="Arial" w:hAnsi="Arial"/>
          <w:sz w:val="17"/>
          <w:szCs w:val="17"/>
          <w:color w:val="auto"/>
        </w:rPr>
      </w:pPr>
    </w:p>
    <w:p>
      <w:pPr>
        <w:ind w:left="1840" w:right="459" w:hanging="220"/>
        <w:spacing w:after="0" w:line="301" w:lineRule="auto"/>
        <w:tabs>
          <w:tab w:leader="none" w:pos="1840" w:val="left"/>
        </w:tabs>
        <w:numPr>
          <w:ilvl w:val="0"/>
          <w:numId w:val="40"/>
        </w:numPr>
        <w:rPr>
          <w:rFonts w:ascii="Arial" w:cs="Arial" w:eastAsia="Arial" w:hAnsi="Arial"/>
          <w:sz w:val="17"/>
          <w:szCs w:val="17"/>
          <w:color w:val="0000EE"/>
        </w:rPr>
      </w:pPr>
      <w:r>
        <w:rPr>
          <w:rFonts w:ascii="Arial" w:cs="Arial" w:eastAsia="Arial" w:hAnsi="Arial"/>
          <w:sz w:val="17"/>
          <w:szCs w:val="17"/>
          <w:color w:val="auto"/>
        </w:rPr>
        <w:t xml:space="preserve">The information specifically incorporated by reference into our Annual Report on Form 10-K from our </w:t>
      </w:r>
      <w:hyperlink r:id="rId33">
        <w:r>
          <w:rPr>
            <w:rFonts w:ascii="Arial" w:cs="Arial" w:eastAsia="Arial" w:hAnsi="Arial"/>
            <w:sz w:val="17"/>
            <w:szCs w:val="17"/>
            <w:u w:val="single" w:color="auto"/>
            <w:color w:val="0000EE"/>
          </w:rPr>
          <w:t>Definitive Proxy Statement on Schedule 14A, filed with the SEC on March 22, 2022</w:t>
        </w:r>
      </w:hyperlink>
      <w:r>
        <w:rPr>
          <w:rFonts w:ascii="Arial" w:cs="Arial" w:eastAsia="Arial" w:hAnsi="Arial"/>
          <w:sz w:val="17"/>
          <w:szCs w:val="17"/>
          <w:color w:val="000000"/>
        </w:rPr>
        <w:t>.</w:t>
      </w:r>
    </w:p>
    <w:p>
      <w:pPr>
        <w:spacing w:after="0" w:line="9" w:lineRule="exact"/>
        <w:rPr>
          <w:rFonts w:ascii="Arial" w:cs="Arial" w:eastAsia="Arial" w:hAnsi="Arial"/>
          <w:sz w:val="17"/>
          <w:szCs w:val="17"/>
          <w:color w:val="0000EE"/>
        </w:rPr>
      </w:pPr>
    </w:p>
    <w:p>
      <w:pPr>
        <w:ind w:left="1840" w:right="499" w:hanging="220"/>
        <w:spacing w:after="0" w:line="283" w:lineRule="auto"/>
        <w:tabs>
          <w:tab w:leader="none" w:pos="1840" w:val="left"/>
        </w:tabs>
        <w:numPr>
          <w:ilvl w:val="0"/>
          <w:numId w:val="40"/>
        </w:numPr>
        <w:rPr>
          <w:rFonts w:ascii="Arial" w:cs="Arial" w:eastAsia="Arial" w:hAnsi="Arial"/>
          <w:sz w:val="17"/>
          <w:szCs w:val="17"/>
          <w:u w:val="single" w:color="auto"/>
          <w:color w:val="0000EE"/>
        </w:rPr>
      </w:pPr>
      <w:hyperlink r:id="rId34">
        <w:r>
          <w:rPr>
            <w:rFonts w:ascii="Arial" w:cs="Arial" w:eastAsia="Arial" w:hAnsi="Arial"/>
            <w:sz w:val="17"/>
            <w:szCs w:val="17"/>
            <w:u w:val="single" w:color="auto"/>
            <w:color w:val="0000EE"/>
          </w:rPr>
          <w:t>The description of our ordinary shares contained in our registration statement on Form 8-A filed with</w:t>
        </w:r>
      </w:hyperlink>
      <w:r>
        <w:rPr>
          <w:rFonts w:ascii="Arial" w:cs="Arial" w:eastAsia="Arial" w:hAnsi="Arial"/>
          <w:sz w:val="17"/>
          <w:szCs w:val="17"/>
          <w:u w:val="single" w:color="auto"/>
          <w:color w:val="0000EE"/>
        </w:rPr>
        <w:t xml:space="preserve"> </w:t>
      </w:r>
      <w:hyperlink r:id="rId34">
        <w:r>
          <w:rPr>
            <w:rFonts w:ascii="Arial" w:cs="Arial" w:eastAsia="Arial" w:hAnsi="Arial"/>
            <w:sz w:val="17"/>
            <w:szCs w:val="17"/>
            <w:u w:val="single" w:color="auto"/>
            <w:color w:val="0000EE"/>
          </w:rPr>
          <w:t>the SEC on April 19, 2017, including any amendments or reports filed for the purpose of updating</w:t>
        </w:r>
      </w:hyperlink>
      <w:r>
        <w:rPr>
          <w:rFonts w:ascii="Arial" w:cs="Arial" w:eastAsia="Arial" w:hAnsi="Arial"/>
          <w:sz w:val="17"/>
          <w:szCs w:val="17"/>
          <w:u w:val="single" w:color="auto"/>
          <w:color w:val="0000EE"/>
        </w:rPr>
        <w:t xml:space="preserve"> </w:t>
      </w:r>
      <w:hyperlink r:id="rId34">
        <w:r>
          <w:rPr>
            <w:rFonts w:ascii="Arial" w:cs="Arial" w:eastAsia="Arial" w:hAnsi="Arial"/>
            <w:sz w:val="17"/>
            <w:szCs w:val="17"/>
            <w:u w:val="single" w:color="auto"/>
            <w:color w:val="0000EE"/>
          </w:rPr>
          <w:t>such description.</w:t>
        </w:r>
      </w:hyperlink>
    </w:p>
    <w:p>
      <w:pPr>
        <w:spacing w:after="0" w:line="105" w:lineRule="exact"/>
        <w:rPr>
          <w:rFonts w:ascii="Arial" w:cs="Arial" w:eastAsia="Arial" w:hAnsi="Arial"/>
          <w:sz w:val="17"/>
          <w:szCs w:val="17"/>
          <w:u w:val="single" w:color="auto"/>
          <w:color w:val="0000EE"/>
        </w:rPr>
      </w:pPr>
    </w:p>
    <w:p>
      <w:pPr>
        <w:ind w:left="1260" w:right="479"/>
        <w:spacing w:after="0" w:line="274"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but excluding any information furnished to, rather than filed with, the SEC, will also be incorporated by reference in this prospectus supplement and deemed to be part of this prospectus supplement from the date of the filing of such reports and documents.</w:t>
      </w:r>
    </w:p>
    <w:p>
      <w:pPr>
        <w:spacing w:after="0" w:line="99" w:lineRule="exact"/>
        <w:rPr>
          <w:rFonts w:ascii="Arial" w:cs="Arial" w:eastAsia="Arial" w:hAnsi="Arial"/>
          <w:sz w:val="17"/>
          <w:szCs w:val="17"/>
          <w:u w:val="single" w:color="auto"/>
          <w:color w:val="0000EE"/>
        </w:rPr>
      </w:pPr>
    </w:p>
    <w:p>
      <w:pPr>
        <w:ind w:left="1260" w:right="1199"/>
        <w:spacing w:after="0" w:line="301" w:lineRule="auto"/>
        <w:rPr>
          <w:sz w:val="20"/>
          <w:szCs w:val="20"/>
          <w:color w:val="auto"/>
        </w:rPr>
      </w:pPr>
      <w:r>
        <w:rPr>
          <w:rFonts w:ascii="Arial" w:cs="Arial" w:eastAsia="Arial" w:hAnsi="Arial"/>
          <w:sz w:val="17"/>
          <w:szCs w:val="17"/>
          <w:color w:val="auto"/>
        </w:rPr>
        <w:t>You may request a free copy of any of the documents incorporated by reference in this prospectus supplement by writing or telephoning us at the following address:</w:t>
      </w:r>
    </w:p>
    <w:p>
      <w:pPr>
        <w:spacing w:after="0" w:line="90" w:lineRule="exact"/>
        <w:rPr>
          <w:rFonts w:ascii="Arial" w:cs="Arial" w:eastAsia="Arial" w:hAnsi="Arial"/>
          <w:sz w:val="17"/>
          <w:szCs w:val="17"/>
          <w:u w:val="single" w:color="auto"/>
          <w:color w:val="0000EE"/>
        </w:rPr>
      </w:pPr>
    </w:p>
    <w:p>
      <w:pPr>
        <w:jc w:val="center"/>
        <w:ind w:right="-800"/>
        <w:spacing w:after="0"/>
        <w:rPr>
          <w:sz w:val="20"/>
          <w:szCs w:val="20"/>
          <w:color w:val="auto"/>
        </w:rPr>
      </w:pPr>
      <w:r>
        <w:rPr>
          <w:rFonts w:ascii="Arial" w:cs="Arial" w:eastAsia="Arial" w:hAnsi="Arial"/>
          <w:sz w:val="17"/>
          <w:szCs w:val="17"/>
          <w:color w:val="auto"/>
        </w:rPr>
        <w:t>Verona Pharma plc</w:t>
      </w:r>
    </w:p>
    <w:p>
      <w:pPr>
        <w:spacing w:after="0" w:line="29" w:lineRule="exact"/>
        <w:rPr>
          <w:rFonts w:ascii="Arial" w:cs="Arial" w:eastAsia="Arial" w:hAnsi="Arial"/>
          <w:sz w:val="17"/>
          <w:szCs w:val="17"/>
          <w:u w:val="single" w:color="auto"/>
          <w:color w:val="0000EE"/>
        </w:rPr>
      </w:pPr>
    </w:p>
    <w:p>
      <w:pPr>
        <w:jc w:val="center"/>
        <w:ind w:right="-800"/>
        <w:spacing w:after="0"/>
        <w:rPr>
          <w:sz w:val="20"/>
          <w:szCs w:val="20"/>
          <w:color w:val="auto"/>
        </w:rPr>
      </w:pPr>
      <w:r>
        <w:rPr>
          <w:rFonts w:ascii="Arial" w:cs="Arial" w:eastAsia="Arial" w:hAnsi="Arial"/>
          <w:sz w:val="17"/>
          <w:szCs w:val="17"/>
          <w:color w:val="auto"/>
        </w:rPr>
        <w:t>3 More London Riverside</w:t>
      </w:r>
    </w:p>
    <w:p>
      <w:pPr>
        <w:spacing w:after="0" w:line="21" w:lineRule="exact"/>
        <w:rPr>
          <w:rFonts w:ascii="Arial" w:cs="Arial" w:eastAsia="Arial" w:hAnsi="Arial"/>
          <w:sz w:val="17"/>
          <w:szCs w:val="17"/>
          <w:u w:val="single" w:color="auto"/>
          <w:color w:val="0000EE"/>
        </w:rPr>
      </w:pPr>
    </w:p>
    <w:p>
      <w:pPr>
        <w:jc w:val="center"/>
        <w:ind w:right="-800"/>
        <w:spacing w:after="0"/>
        <w:rPr>
          <w:sz w:val="20"/>
          <w:szCs w:val="20"/>
          <w:color w:val="auto"/>
        </w:rPr>
      </w:pPr>
      <w:r>
        <w:rPr>
          <w:rFonts w:ascii="Arial" w:cs="Arial" w:eastAsia="Arial" w:hAnsi="Arial"/>
          <w:sz w:val="17"/>
          <w:szCs w:val="17"/>
          <w:color w:val="auto"/>
        </w:rPr>
        <w:t>London SE1 2RE</w:t>
      </w:r>
    </w:p>
    <w:p>
      <w:pPr>
        <w:spacing w:after="0" w:line="21" w:lineRule="exact"/>
        <w:rPr>
          <w:rFonts w:ascii="Arial" w:cs="Arial" w:eastAsia="Arial" w:hAnsi="Arial"/>
          <w:sz w:val="17"/>
          <w:szCs w:val="17"/>
          <w:u w:val="single" w:color="auto"/>
          <w:color w:val="0000EE"/>
        </w:rPr>
      </w:pPr>
    </w:p>
    <w:p>
      <w:pPr>
        <w:jc w:val="center"/>
        <w:ind w:right="-800"/>
        <w:spacing w:after="0"/>
        <w:rPr>
          <w:sz w:val="20"/>
          <w:szCs w:val="20"/>
          <w:color w:val="auto"/>
        </w:rPr>
      </w:pPr>
      <w:r>
        <w:rPr>
          <w:rFonts w:ascii="Arial" w:cs="Arial" w:eastAsia="Arial" w:hAnsi="Arial"/>
          <w:sz w:val="17"/>
          <w:szCs w:val="17"/>
          <w:color w:val="auto"/>
        </w:rPr>
        <w:t>United Kingdom</w:t>
      </w:r>
    </w:p>
    <w:p>
      <w:pPr>
        <w:spacing w:after="0" w:line="21" w:lineRule="exact"/>
        <w:rPr>
          <w:rFonts w:ascii="Arial" w:cs="Arial" w:eastAsia="Arial" w:hAnsi="Arial"/>
          <w:sz w:val="17"/>
          <w:szCs w:val="17"/>
          <w:u w:val="single" w:color="auto"/>
          <w:color w:val="0000EE"/>
        </w:rPr>
      </w:pPr>
    </w:p>
    <w:p>
      <w:pPr>
        <w:ind w:left="4700"/>
        <w:spacing w:after="0"/>
        <w:rPr>
          <w:sz w:val="20"/>
          <w:szCs w:val="20"/>
          <w:color w:val="auto"/>
        </w:rPr>
      </w:pPr>
      <w:r>
        <w:rPr>
          <w:rFonts w:ascii="Arial" w:cs="Arial" w:eastAsia="Arial" w:hAnsi="Arial"/>
          <w:sz w:val="17"/>
          <w:szCs w:val="17"/>
          <w:color w:val="auto"/>
        </w:rPr>
        <w:t>+44 203 283 4200</w:t>
      </w:r>
    </w:p>
    <w:p>
      <w:pPr>
        <w:spacing w:after="0" w:line="21" w:lineRule="exact"/>
        <w:rPr>
          <w:rFonts w:ascii="Arial" w:cs="Arial" w:eastAsia="Arial" w:hAnsi="Arial"/>
          <w:sz w:val="17"/>
          <w:szCs w:val="17"/>
          <w:u w:val="single" w:color="auto"/>
          <w:color w:val="0000EE"/>
        </w:rPr>
      </w:pPr>
    </w:p>
    <w:p>
      <w:pPr>
        <w:ind w:left="4400"/>
        <w:spacing w:after="0"/>
        <w:rPr>
          <w:sz w:val="20"/>
          <w:szCs w:val="20"/>
          <w:color w:val="auto"/>
        </w:rPr>
      </w:pPr>
      <w:r>
        <w:rPr>
          <w:rFonts w:ascii="Arial" w:cs="Arial" w:eastAsia="Arial" w:hAnsi="Arial"/>
          <w:sz w:val="17"/>
          <w:szCs w:val="17"/>
          <w:color w:val="auto"/>
        </w:rPr>
        <w:t>info@veronapharma.com</w:t>
      </w:r>
    </w:p>
    <w:p>
      <w:pPr>
        <w:spacing w:after="0" w:line="160" w:lineRule="exact"/>
        <w:rPr>
          <w:rFonts w:ascii="Arial" w:cs="Arial" w:eastAsia="Arial" w:hAnsi="Arial"/>
          <w:sz w:val="17"/>
          <w:szCs w:val="17"/>
          <w:u w:val="single" w:color="auto"/>
          <w:color w:val="0000EE"/>
        </w:rPr>
      </w:pPr>
    </w:p>
    <w:p>
      <w:pPr>
        <w:ind w:left="1260" w:right="519"/>
        <w:spacing w:after="0" w:line="301"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supplement.</w:t>
      </w:r>
    </w:p>
    <w:p>
      <w:pPr>
        <w:sectPr>
          <w:pgSz w:w="11900" w:h="16838" w:orient="portrait"/>
          <w:cols w:equalWidth="0" w:num="1">
            <w:col w:w="9879"/>
          </w:cols>
          <w:pgMar w:left="580" w:top="97" w:right="1440" w:bottom="1440" w:gutter="0" w:footer="0" w:header="0"/>
        </w:sectPr>
      </w:pPr>
    </w:p>
    <w:p>
      <w:pPr>
        <w:spacing w:after="0" w:line="368" w:lineRule="exact"/>
        <w:rPr>
          <w:rFonts w:ascii="Arial" w:cs="Arial" w:eastAsia="Arial" w:hAnsi="Arial"/>
          <w:sz w:val="17"/>
          <w:szCs w:val="17"/>
          <w:u w:val="single" w:color="auto"/>
          <w:color w:val="0000EE"/>
        </w:rPr>
      </w:pPr>
    </w:p>
    <w:p>
      <w:pPr>
        <w:ind w:left="5220"/>
        <w:spacing w:after="0"/>
        <w:rPr>
          <w:sz w:val="20"/>
          <w:szCs w:val="20"/>
          <w:color w:val="auto"/>
        </w:rPr>
      </w:pPr>
      <w:r>
        <w:rPr>
          <w:rFonts w:ascii="Arial" w:cs="Arial" w:eastAsia="Arial" w:hAnsi="Arial"/>
          <w:sz w:val="15"/>
          <w:szCs w:val="15"/>
          <w:color w:val="auto"/>
        </w:rPr>
        <w:t>S-3</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67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THE COMPANY</w:t>
      </w:r>
    </w:p>
    <w:p>
      <w:pPr>
        <w:spacing w:after="0" w:line="8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Overview</w:t>
      </w:r>
    </w:p>
    <w:p>
      <w:pPr>
        <w:spacing w:after="0" w:line="61" w:lineRule="exact"/>
        <w:rPr>
          <w:sz w:val="20"/>
          <w:szCs w:val="20"/>
          <w:color w:val="auto"/>
        </w:rPr>
      </w:pPr>
    </w:p>
    <w:p>
      <w:pPr>
        <w:ind w:left="1280" w:right="499"/>
        <w:spacing w:after="0" w:line="269" w:lineRule="auto"/>
        <w:rPr>
          <w:sz w:val="20"/>
          <w:szCs w:val="20"/>
          <w:color w:val="auto"/>
        </w:rPr>
      </w:pPr>
      <w:r>
        <w:rPr>
          <w:rFonts w:ascii="Arial" w:cs="Arial" w:eastAsia="Arial" w:hAnsi="Arial"/>
          <w:sz w:val="17"/>
          <w:szCs w:val="17"/>
          <w:color w:val="auto"/>
        </w:rPr>
        <w:t>We are a clinical-stage biopharmaceutical company focused on developing and commercializing innovative therapeutics for the treatment of respiratory diseases with significant unmet medical need. Our product candidate, ensifentrine, is an investigational, potential first-in-class, inhaled, selective dual inhibitor of the enzymes phosphodiesterase 3 and 4, bronchodilator and non-steroidal anti-inflammatory activities in one compound. In the third quarter of 2020, we commenced our Phase 3 ENHANCE (Ensifentrine as a Novel inHAled Nebulized COPD thErapy) trials evaluating nebulized ensifentrine for the maintenance treatment of chronic obstructive pulmonary disease, or COPD. In August 2022, we announced positive top-line results from the ENHANCE-2 trial and, in December 2022, we announced positive top-line results from the ENHANCE-1 trial. We plan to submit a New Drug Application to the U.S. Food and Drug Administration for inhaled ensifentrine for the maintenance treatment of COPD.</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Corporate Information</w:t>
      </w:r>
    </w:p>
    <w:p>
      <w:pPr>
        <w:spacing w:after="0" w:line="61" w:lineRule="exact"/>
        <w:rPr>
          <w:sz w:val="20"/>
          <w:szCs w:val="20"/>
          <w:color w:val="auto"/>
        </w:rPr>
      </w:pPr>
    </w:p>
    <w:p>
      <w:pPr>
        <w:ind w:left="1280" w:right="519"/>
        <w:spacing w:after="0" w:line="271" w:lineRule="auto"/>
        <w:rPr>
          <w:sz w:val="20"/>
          <w:szCs w:val="20"/>
          <w:color w:val="auto"/>
        </w:rPr>
      </w:pPr>
      <w:r>
        <w:rPr>
          <w:rFonts w:ascii="Arial" w:cs="Arial" w:eastAsia="Arial" w:hAnsi="Arial"/>
          <w:sz w:val="17"/>
          <w:szCs w:val="17"/>
          <w:color w:val="auto"/>
        </w:rPr>
        <w:t>We were incorporated in February 2005 as Isis Resources plc under the laws of England and Wales. In September 2006, we acquired Rhinopharma Limited, a private company incorporated in Canada, and changed our name to Verona Pharma plc. Our principal office is located at 3 More London Riverside, London SE1 2RE, United Kingdom, and our telephone number is +(44) 203 283 4200. Our corporate website address is www.veronapharma.com. Information contained on or accessible through our website is not a part of this prospectus supplement, and the inclusion of our website address in this prospectus supplement is an inactive textual reference only.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679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ADSs offered by us</w:t>
      </w:r>
    </w:p>
    <w:p>
      <w:pPr>
        <w:spacing w:after="0" w:line="200" w:lineRule="exact"/>
        <w:rPr>
          <w:sz w:val="20"/>
          <w:szCs w:val="20"/>
          <w:color w:val="auto"/>
        </w:rPr>
      </w:pPr>
    </w:p>
    <w:p>
      <w:pPr>
        <w:spacing w:after="0" w:line="37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THE OFFERING</w:t>
      </w:r>
    </w:p>
    <w:p>
      <w:pPr>
        <w:spacing w:after="0" w:line="235" w:lineRule="exact"/>
        <w:rPr>
          <w:sz w:val="20"/>
          <w:szCs w:val="20"/>
          <w:color w:val="auto"/>
        </w:rPr>
      </w:pPr>
    </w:p>
    <w:p>
      <w:pPr>
        <w:ind w:right="979"/>
        <w:spacing w:after="0" w:line="301" w:lineRule="auto"/>
        <w:rPr>
          <w:sz w:val="20"/>
          <w:szCs w:val="20"/>
          <w:color w:val="auto"/>
        </w:rPr>
      </w:pPr>
      <w:r>
        <w:rPr>
          <w:rFonts w:ascii="Arial" w:cs="Arial" w:eastAsia="Arial" w:hAnsi="Arial"/>
          <w:sz w:val="17"/>
          <w:szCs w:val="17"/>
          <w:color w:val="auto"/>
        </w:rPr>
        <w:t>ADSs, each representing eight ordinary shares, having an aggregate offering price of up to $200,000,000.</w:t>
      </w:r>
    </w:p>
    <w:p>
      <w:pPr>
        <w:spacing w:after="0" w:line="266" w:lineRule="exact"/>
        <w:rPr>
          <w:sz w:val="20"/>
          <w:szCs w:val="20"/>
          <w:color w:val="auto"/>
        </w:rPr>
      </w:pPr>
    </w:p>
    <w:p>
      <w:pPr>
        <w:ind w:right="579"/>
        <w:spacing w:after="0" w:line="274" w:lineRule="auto"/>
        <w:rPr>
          <w:sz w:val="20"/>
          <w:szCs w:val="20"/>
          <w:color w:val="auto"/>
        </w:rPr>
      </w:pPr>
      <w:r>
        <w:rPr>
          <w:rFonts w:ascii="Arial" w:cs="Arial" w:eastAsia="Arial" w:hAnsi="Arial"/>
          <w:sz w:val="17"/>
          <w:szCs w:val="17"/>
          <w:color w:val="auto"/>
        </w:rPr>
        <w:t xml:space="preserve">“At the market offering” that may be made from time to time on The Nasdaq Global Market or other existing trading market for our securities through our agent, Jefferies LLC. See the section entitled “Plan of Distribution” on page </w:t>
      </w:r>
      <w:r>
        <w:rPr>
          <w:rFonts w:ascii="Arial" w:cs="Arial" w:eastAsia="Arial" w:hAnsi="Arial"/>
          <w:sz w:val="17"/>
          <w:szCs w:val="17"/>
          <w:u w:val="single" w:color="auto"/>
          <w:color w:val="0000EE"/>
        </w:rPr>
        <w:t>S-12</w:t>
      </w:r>
      <w:r>
        <w:rPr>
          <w:rFonts w:ascii="Arial" w:cs="Arial" w:eastAsia="Arial" w:hAnsi="Arial"/>
          <w:sz w:val="17"/>
          <w:szCs w:val="17"/>
          <w:color w:val="auto"/>
        </w:rPr>
        <w:t xml:space="preserve"> of this prospectus supplement.</w:t>
      </w:r>
    </w:p>
    <w:p>
      <w:pPr>
        <w:spacing w:after="0" w:line="288" w:lineRule="exact"/>
        <w:rPr>
          <w:sz w:val="20"/>
          <w:szCs w:val="20"/>
          <w:color w:val="auto"/>
        </w:rPr>
      </w:pPr>
    </w:p>
    <w:p>
      <w:pPr>
        <w:ind w:right="479"/>
        <w:spacing w:after="0" w:line="272" w:lineRule="auto"/>
        <w:rPr>
          <w:sz w:val="20"/>
          <w:szCs w:val="20"/>
          <w:color w:val="auto"/>
        </w:rPr>
      </w:pPr>
      <w:r>
        <w:rPr>
          <w:rFonts w:ascii="Arial" w:cs="Arial" w:eastAsia="Arial" w:hAnsi="Arial"/>
          <w:sz w:val="17"/>
          <w:szCs w:val="17"/>
          <w:color w:val="auto"/>
        </w:rPr>
        <w:t xml:space="preserve">We intend to use the net proceeds of this offering to advance the development of ensifentrine, commercial preparation activities and, if approved, the commercial launch of ensifentrine, other research and development activities, and for working capital and other general corporate purposes. See the section entitled “Use of Proceeds” on page </w:t>
      </w:r>
      <w:r>
        <w:rPr>
          <w:rFonts w:ascii="Arial" w:cs="Arial" w:eastAsia="Arial" w:hAnsi="Arial"/>
          <w:sz w:val="17"/>
          <w:szCs w:val="17"/>
          <w:u w:val="single" w:color="auto"/>
          <w:color w:val="0000EE"/>
        </w:rPr>
        <w:t>S-9</w:t>
      </w:r>
      <w:r>
        <w:rPr>
          <w:rFonts w:ascii="Arial" w:cs="Arial" w:eastAsia="Arial" w:hAnsi="Arial"/>
          <w:sz w:val="17"/>
          <w:szCs w:val="17"/>
          <w:color w:val="auto"/>
        </w:rPr>
        <w:t xml:space="preserve"> of this prospectus supplement.</w:t>
      </w:r>
    </w:p>
    <w:p>
      <w:pPr>
        <w:spacing w:after="0" w:line="291" w:lineRule="exact"/>
        <w:rPr>
          <w:sz w:val="20"/>
          <w:szCs w:val="20"/>
          <w:color w:val="auto"/>
        </w:rPr>
      </w:pPr>
    </w:p>
    <w:p>
      <w:pPr>
        <w:ind w:right="419"/>
        <w:spacing w:after="0" w:line="274" w:lineRule="auto"/>
        <w:rPr>
          <w:sz w:val="20"/>
          <w:szCs w:val="20"/>
          <w:color w:val="auto"/>
        </w:rPr>
      </w:pPr>
      <w:r>
        <w:rPr>
          <w:rFonts w:ascii="Arial" w:cs="Arial" w:eastAsia="Arial" w:hAnsi="Arial"/>
          <w:sz w:val="17"/>
          <w:szCs w:val="17"/>
          <w:color w:val="auto"/>
        </w:rPr>
        <w:t xml:space="preserve">See “Risk Factors” beginning on page </w:t>
      </w:r>
      <w:r>
        <w:rPr>
          <w:rFonts w:ascii="Arial" w:cs="Arial" w:eastAsia="Arial" w:hAnsi="Arial"/>
          <w:sz w:val="17"/>
          <w:szCs w:val="17"/>
          <w:u w:val="single" w:color="auto"/>
          <w:color w:val="0000EE"/>
        </w:rPr>
        <w:t>S-5</w:t>
      </w:r>
      <w:r>
        <w:rPr>
          <w:rFonts w:ascii="Arial" w:cs="Arial" w:eastAsia="Arial" w:hAnsi="Arial"/>
          <w:sz w:val="17"/>
          <w:szCs w:val="17"/>
          <w:color w:val="auto"/>
        </w:rPr>
        <w:t xml:space="preserve"> of this prospectus supplement and the other information included in, or incorporated by reference into, this prospectus supplement for a discussion of certain factors you should carefully consider before deciding to invest in our ADSs.</w:t>
      </w:r>
    </w:p>
    <w:p>
      <w:pPr>
        <w:spacing w:after="0" w:line="200" w:lineRule="exact"/>
        <w:rPr>
          <w:sz w:val="20"/>
          <w:szCs w:val="20"/>
          <w:color w:val="auto"/>
        </w:rPr>
      </w:pPr>
    </w:p>
    <w:p>
      <w:pPr>
        <w:sectPr>
          <w:pgSz w:w="11900" w:h="16838" w:orient="portrait"/>
          <w:cols w:equalWidth="0" w:num="2">
            <w:col w:w="3800" w:space="720"/>
            <w:col w:w="5359"/>
          </w:cols>
          <w:pgMar w:left="580" w:top="97" w:right="1440" w:bottom="1440" w:gutter="0" w:footer="0" w:header="0"/>
          <w:type w:val="continuous"/>
        </w:sectPr>
      </w:pPr>
    </w:p>
    <w:p>
      <w:pPr>
        <w:spacing w:after="0" w:line="75" w:lineRule="exact"/>
        <w:rPr>
          <w:sz w:val="20"/>
          <w:szCs w:val="20"/>
          <w:color w:val="auto"/>
        </w:rPr>
      </w:pPr>
    </w:p>
    <w:p>
      <w:pPr>
        <w:ind w:left="1280"/>
        <w:spacing w:after="0"/>
        <w:tabs>
          <w:tab w:leader="none" w:pos="4500" w:val="left"/>
        </w:tabs>
        <w:rPr>
          <w:sz w:val="20"/>
          <w:szCs w:val="20"/>
          <w:color w:val="auto"/>
        </w:rPr>
      </w:pPr>
      <w:r>
        <w:rPr>
          <w:rFonts w:ascii="Arial" w:cs="Arial" w:eastAsia="Arial" w:hAnsi="Arial"/>
          <w:sz w:val="17"/>
          <w:szCs w:val="17"/>
          <w:color w:val="auto"/>
        </w:rPr>
        <w:t>Nasdaq Global Market symbol</w:t>
      </w:r>
      <w:r>
        <w:rPr>
          <w:sz w:val="20"/>
          <w:szCs w:val="20"/>
          <w:color w:val="auto"/>
        </w:rPr>
        <w:tab/>
      </w:r>
      <w:r>
        <w:rPr>
          <w:rFonts w:ascii="Arial" w:cs="Arial" w:eastAsia="Arial" w:hAnsi="Arial"/>
          <w:sz w:val="16"/>
          <w:szCs w:val="16"/>
          <w:color w:val="auto"/>
        </w:rPr>
        <w:t>VRNA</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RISK FACTORS</w:t>
      </w:r>
    </w:p>
    <w:p>
      <w:pPr>
        <w:spacing w:after="0" w:line="345" w:lineRule="exact"/>
        <w:rPr>
          <w:sz w:val="20"/>
          <w:szCs w:val="20"/>
          <w:color w:val="auto"/>
        </w:rPr>
      </w:pPr>
    </w:p>
    <w:p>
      <w:pPr>
        <w:ind w:left="1260" w:right="439"/>
        <w:spacing w:after="0" w:line="259" w:lineRule="auto"/>
        <w:rPr>
          <w:sz w:val="20"/>
          <w:szCs w:val="20"/>
          <w:color w:val="auto"/>
        </w:rPr>
      </w:pPr>
      <w:r>
        <w:rPr>
          <w:rFonts w:ascii="Arial" w:cs="Arial" w:eastAsia="Arial" w:hAnsi="Arial"/>
          <w:sz w:val="17"/>
          <w:szCs w:val="17"/>
          <w:i w:val="1"/>
          <w:iCs w:val="1"/>
          <w:color w:val="auto"/>
        </w:rPr>
        <w:t>Investment in any securities offered pursuant to this prospectus supplement and the accompanying base prospectus involves risks. You should carefully consider the risk factors described below and in our Annual Report on Form 10-K for the fiscal year ended December 31, 2022 and the other documents incorporated by reference in this prospectus supplement.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Risks Relating to this Offering</w:t>
      </w:r>
    </w:p>
    <w:p>
      <w:pPr>
        <w:spacing w:after="0" w:line="144" w:lineRule="exact"/>
        <w:rPr>
          <w:sz w:val="20"/>
          <w:szCs w:val="20"/>
          <w:color w:val="auto"/>
        </w:rPr>
      </w:pPr>
    </w:p>
    <w:p>
      <w:pPr>
        <w:jc w:val="both"/>
        <w:ind w:left="1260" w:right="579"/>
        <w:spacing w:after="0" w:line="253" w:lineRule="auto"/>
        <w:rPr>
          <w:sz w:val="20"/>
          <w:szCs w:val="20"/>
          <w:color w:val="auto"/>
        </w:rPr>
      </w:pPr>
      <w:r>
        <w:rPr>
          <w:rFonts w:ascii="Arial" w:cs="Arial" w:eastAsia="Arial" w:hAnsi="Arial"/>
          <w:sz w:val="17"/>
          <w:szCs w:val="17"/>
          <w:i w:val="1"/>
          <w:iCs w:val="1"/>
          <w:color w:val="auto"/>
        </w:rPr>
        <w:t>If you purchase ADSs sold in this offering, you will experience immediate and substantial dilution in the net tangible book value of your ADSs. In addition, we may issue additional equity or convertible debt securities in the future, which may result in additional dilution to you.</w:t>
      </w:r>
    </w:p>
    <w:p>
      <w:pPr>
        <w:spacing w:after="0" w:line="1" w:lineRule="exact"/>
        <w:rPr>
          <w:sz w:val="20"/>
          <w:szCs w:val="20"/>
          <w:color w:val="auto"/>
        </w:rPr>
      </w:pPr>
    </w:p>
    <w:p>
      <w:pPr>
        <w:ind w:left="1260" w:right="439"/>
        <w:spacing w:after="0" w:line="258" w:lineRule="auto"/>
        <w:rPr>
          <w:sz w:val="20"/>
          <w:szCs w:val="20"/>
          <w:color w:val="auto"/>
        </w:rPr>
      </w:pPr>
      <w:r>
        <w:rPr>
          <w:rFonts w:ascii="Arial" w:cs="Arial" w:eastAsia="Arial" w:hAnsi="Arial"/>
          <w:sz w:val="17"/>
          <w:szCs w:val="17"/>
          <w:color w:val="auto"/>
        </w:rPr>
        <w:t>The price per ADS being offered may be higher than the net tangible book value per ADS prior to this offering. Assuming that an aggregate of 8,908,686 ADSs are sold at a price of $22.45 per ADS, the last reported sale price of our ADSs on The Nasdaq Global Market on March 6, 2023, for aggregate gross proceeds of approximately $200.0 million, and after deducting commissions and estimated offering expenses payable by us, new investors in this offering will incur immediate dilution of $17.62 per ADS. For a more detailed discussion of the foregoing, see the section entitled “Dilution” below. To the extent outstanding share options are exercised or restricted share units vest, there will be further dilution to new investors. In addition, to the extent we need to raise additional capital in the future and we issue additional ADSs or securities convertible or exchangeable for our ordinary shares or ADSs, our then existing shareholders may experience dilution and the new securities may have rights senior to those of our ADSs offered in this offering.</w:t>
      </w:r>
    </w:p>
    <w:p>
      <w:pPr>
        <w:spacing w:after="0" w:line="40"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We have broad discretion in the use of the net proceeds from this offering and may not use them effectively.</w:t>
      </w:r>
    </w:p>
    <w:p>
      <w:pPr>
        <w:spacing w:after="0" w:line="46" w:lineRule="exact"/>
        <w:rPr>
          <w:sz w:val="20"/>
          <w:szCs w:val="20"/>
          <w:color w:val="auto"/>
        </w:rPr>
      </w:pPr>
    </w:p>
    <w:p>
      <w:pPr>
        <w:ind w:left="1260" w:right="439"/>
        <w:spacing w:after="0" w:line="256"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 advance the development of ensifentrine, commercial preparation activities and, if approved, the commercial launch of ensifentrine, other research and development activities, and for working capital and other general corporate purposes. Failure by our management to apply these funds effectively could harm our business. Pending their use, we plan to invest the net proceeds from this offering in short- and intermediate-term, interest-bearing obligations, investment-grade instruments, certificates of deposit, direct or guaranteed obligations of the U.S. government, or money market mutual funds that invest in the listed securities. These investments may not yield a favorable return to our shareholders. If we do not invest or apply the net proceeds from this offering in ways that enhance shareholder value, we may fail to achieve expected financial results, which could cause our ADS price to decline.</w:t>
      </w:r>
    </w:p>
    <w:p>
      <w:pPr>
        <w:spacing w:after="0" w:line="54" w:lineRule="exact"/>
        <w:rPr>
          <w:sz w:val="20"/>
          <w:szCs w:val="20"/>
          <w:color w:val="auto"/>
        </w:rPr>
      </w:pPr>
    </w:p>
    <w:p>
      <w:pPr>
        <w:ind w:left="1260" w:right="499"/>
        <w:spacing w:after="0" w:line="263" w:lineRule="auto"/>
        <w:rPr>
          <w:sz w:val="20"/>
          <w:szCs w:val="20"/>
          <w:color w:val="auto"/>
        </w:rPr>
      </w:pPr>
      <w:r>
        <w:rPr>
          <w:rFonts w:ascii="Arial" w:cs="Arial" w:eastAsia="Arial" w:hAnsi="Arial"/>
          <w:sz w:val="17"/>
          <w:szCs w:val="17"/>
          <w:i w:val="1"/>
          <w:iCs w:val="1"/>
          <w:color w:val="auto"/>
        </w:rPr>
        <w:t>Future sales or issuances of our ADSs in the public markets, or the perception of such sales, could depress the trading price of our ADSs.</w:t>
      </w:r>
    </w:p>
    <w:p>
      <w:pPr>
        <w:spacing w:after="0" w:line="2" w:lineRule="exact"/>
        <w:rPr>
          <w:sz w:val="20"/>
          <w:szCs w:val="20"/>
          <w:color w:val="auto"/>
        </w:rPr>
      </w:pPr>
    </w:p>
    <w:p>
      <w:pPr>
        <w:ind w:left="1260" w:right="439"/>
        <w:spacing w:after="0" w:line="260" w:lineRule="auto"/>
        <w:rPr>
          <w:sz w:val="20"/>
          <w:szCs w:val="20"/>
          <w:color w:val="auto"/>
        </w:rPr>
      </w:pPr>
      <w:r>
        <w:rPr>
          <w:rFonts w:ascii="Arial" w:cs="Arial" w:eastAsia="Arial" w:hAnsi="Arial"/>
          <w:sz w:val="17"/>
          <w:szCs w:val="17"/>
          <w:color w:val="auto"/>
        </w:rPr>
        <w:t>The sale of a substantial number of our ADSs or other equity-related securities in the public markets, or the perception that such sales could occur, could depress the market price of our ADSs and impair our ability to raise capital through the sale of additional equity securities. Sales in the United States of our ADSs held by our directors, executive officers and affiliated shareholders are subject to restrictions. If these shareholders sell substantial amounts of ADSs in the public market, or the market perceives that such sales may occur, the market price of our ADSs and our ability to raise capital through an issue of equity securities in the future could be adversely affected.</w:t>
      </w:r>
    </w:p>
    <w:p>
      <w:pPr>
        <w:spacing w:after="0" w:line="32" w:lineRule="exact"/>
        <w:rPr>
          <w:sz w:val="20"/>
          <w:szCs w:val="20"/>
          <w:color w:val="auto"/>
        </w:rPr>
      </w:pPr>
    </w:p>
    <w:p>
      <w:pPr>
        <w:ind w:left="1260" w:right="419"/>
        <w:spacing w:after="0" w:line="273" w:lineRule="auto"/>
        <w:rPr>
          <w:sz w:val="20"/>
          <w:szCs w:val="20"/>
          <w:color w:val="auto"/>
        </w:rPr>
      </w:pPr>
      <w:r>
        <w:rPr>
          <w:rFonts w:ascii="Arial" w:cs="Arial" w:eastAsia="Arial" w:hAnsi="Arial"/>
          <w:sz w:val="17"/>
          <w:szCs w:val="17"/>
          <w:i w:val="1"/>
          <w:iCs w:val="1"/>
          <w:color w:val="auto"/>
        </w:rPr>
        <w:t xml:space="preserve">The actual number of ADSs we will issue under the sales agreement, at any one time or in total, is uncertain. </w:t>
      </w:r>
      <w:r>
        <w:rPr>
          <w:rFonts w:ascii="Arial" w:cs="Arial" w:eastAsia="Arial" w:hAnsi="Arial"/>
          <w:sz w:val="17"/>
          <w:szCs w:val="17"/>
          <w:color w:val="auto"/>
        </w:rPr>
        <w:t>Subject to certain limitations in the sales agreement and compliance with applicable law, we have the discretion to deliver a placement notice to the agent at any time throughout the term of the sales agreement. The number of ADSs that are sold by the agent after delivering a placement notice will fluctuate based on the market price of our ADSs during the sales period and limits we set with the agent. Because the price per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19"/>
        <w:spacing w:after="0" w:line="299" w:lineRule="auto"/>
        <w:rPr>
          <w:sz w:val="20"/>
          <w:szCs w:val="20"/>
          <w:color w:val="auto"/>
        </w:rPr>
      </w:pPr>
      <w:r>
        <w:rPr>
          <w:rFonts w:ascii="Arial" w:cs="Arial" w:eastAsia="Arial" w:hAnsi="Arial"/>
          <w:sz w:val="17"/>
          <w:szCs w:val="17"/>
          <w:color w:val="auto"/>
        </w:rPr>
        <w:t>ADS of each ADS sold will fluctuate based on the market price of our ADSs during the sales period, it is not possible at this stage to predict the number of ADSs that will be ultimately issued.</w:t>
      </w:r>
    </w:p>
    <w:p>
      <w:pPr>
        <w:spacing w:after="0" w:line="1" w:lineRule="exact"/>
        <w:rPr>
          <w:sz w:val="20"/>
          <w:szCs w:val="20"/>
          <w:color w:val="auto"/>
        </w:rPr>
      </w:pPr>
    </w:p>
    <w:p>
      <w:pPr>
        <w:ind w:left="1260" w:right="639"/>
        <w:spacing w:after="0" w:line="288" w:lineRule="auto"/>
        <w:rPr>
          <w:sz w:val="20"/>
          <w:szCs w:val="20"/>
          <w:color w:val="auto"/>
        </w:rPr>
      </w:pPr>
      <w:r>
        <w:rPr>
          <w:rFonts w:ascii="Arial" w:cs="Arial" w:eastAsia="Arial" w:hAnsi="Arial"/>
          <w:sz w:val="17"/>
          <w:szCs w:val="17"/>
          <w:i w:val="1"/>
          <w:iCs w:val="1"/>
          <w:color w:val="auto"/>
        </w:rPr>
        <w:t>The ADSs offered hereby will be sold in “at the market offerings,” and investors who buy ADSs at different times will likely pay different prices.</w:t>
      </w:r>
    </w:p>
    <w:p>
      <w:pPr>
        <w:spacing w:after="0" w:line="1" w:lineRule="exact"/>
        <w:rPr>
          <w:sz w:val="20"/>
          <w:szCs w:val="20"/>
          <w:color w:val="auto"/>
        </w:rPr>
      </w:pPr>
    </w:p>
    <w:p>
      <w:pPr>
        <w:ind w:left="1260" w:right="419"/>
        <w:spacing w:after="0" w:line="274" w:lineRule="auto"/>
        <w:rPr>
          <w:sz w:val="20"/>
          <w:szCs w:val="20"/>
          <w:color w:val="auto"/>
        </w:rPr>
      </w:pPr>
      <w:r>
        <w:rPr>
          <w:rFonts w:ascii="Arial" w:cs="Arial" w:eastAsia="Arial" w:hAnsi="Arial"/>
          <w:sz w:val="17"/>
          <w:szCs w:val="17"/>
          <w:color w:val="auto"/>
        </w:rPr>
        <w:t>Investors who purchase ADSs in this offering at different times will likely pay different prices, and so may experience different outcomes in their investment results. We will have discretion, subject to market demand, to vary the timing, prices, and numbers of ADSs sold, and there is no minimum or maximum sales price. Investors may experience a decline in the value of their ADSs as a result of ADS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57" w:lineRule="exact"/>
        <w:rPr>
          <w:sz w:val="20"/>
          <w:szCs w:val="20"/>
          <w:color w:val="auto"/>
        </w:rPr>
      </w:pPr>
    </w:p>
    <w:p>
      <w:pPr>
        <w:ind w:left="1260" w:right="439"/>
        <w:spacing w:after="0" w:line="266" w:lineRule="auto"/>
        <w:rPr>
          <w:sz w:val="20"/>
          <w:szCs w:val="20"/>
          <w:color w:val="auto"/>
        </w:rPr>
      </w:pPr>
      <w:r>
        <w:rPr>
          <w:rFonts w:ascii="Arial" w:cs="Arial" w:eastAsia="Arial" w:hAnsi="Arial"/>
          <w:sz w:val="17"/>
          <w:szCs w:val="17"/>
          <w:color w:val="auto"/>
        </w:rPr>
        <w:t>This prospectus supplement, the accompanying base prospectus and the documents incorporated by reference herein and therein and any free writing prospectus that we have authorized for use in connection with this offering may contain forward-looking statements. All statements other than statements of historical facts contained in this prospectus supplement, the accompanying base prospectus and the documents incorporated by reference herein and therein and any free writing prospectus, including without limitation statements regarding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potential regulatory approvals and commercialization, research and development costs, timing and likelihood of success, potential collaborations, our estimates regarding expenses, future revenues, capital requirements, debt service obligations and our need for additional financing, the funding we expect to become available under our credit facility the sufficiency of our cash and cash equivalents to fund operations, and our intended use of proceeds from this offering, are forward-looking statements. We intend the forward-looking statements contained in this prospectus supplement to be covered by the safe harbor provisions for forward-looking statements contained in Section 27A of the Securities Act and Section 21E of the Exchange Act. These statements involve known and unknown risks, uncertainties and other important factors that may cause our actual results, performance or achievements to be materially different from any future results, performance or achievements expressed or implied by the forward looking statements. This prospectus supplement, the accompanying base prospectus and the documents incorporated by reference herein and therein and any free writing prospectus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19" w:lineRule="exact"/>
        <w:rPr>
          <w:sz w:val="20"/>
          <w:szCs w:val="20"/>
          <w:color w:val="auto"/>
        </w:rPr>
      </w:pPr>
    </w:p>
    <w:p>
      <w:pPr>
        <w:ind w:left="1260" w:right="459"/>
        <w:spacing w:after="0" w:line="267"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supplement, the accompanying base prospectus and the documents incorporated by reference herein and therein and any free writing prospectus are only predictions. We have based these forward-looking statements largely on our expectations and projections about future events and financial trends that we believe may affect our business, financial condition and results of operations. These forward-looking statements speak only as of the respective dates of this prospectus supplement, the accompanying base prospectus and the documents incorporated by reference herein and therein and any free writing prospectus, as applicable, and are subject to a number of risks, uncertainties and assumptions, including those described under “Risk Factors” in this prospectus supplement and in documents incorporated by reference herein.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supplement, the accompanying base prospectus and the documents incorporated by reference herein and therein and any free writing prospectus,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USE OF PROCEEDS</w:t>
      </w:r>
    </w:p>
    <w:p>
      <w:pPr>
        <w:spacing w:after="0" w:line="357" w:lineRule="exact"/>
        <w:rPr>
          <w:sz w:val="20"/>
          <w:szCs w:val="20"/>
          <w:color w:val="auto"/>
        </w:rPr>
      </w:pPr>
    </w:p>
    <w:p>
      <w:pPr>
        <w:jc w:val="both"/>
        <w:ind w:left="1260" w:right="459"/>
        <w:spacing w:after="0" w:line="283" w:lineRule="auto"/>
        <w:rPr>
          <w:sz w:val="20"/>
          <w:szCs w:val="20"/>
          <w:color w:val="auto"/>
        </w:rPr>
      </w:pPr>
      <w:r>
        <w:rPr>
          <w:rFonts w:ascii="Arial" w:cs="Arial" w:eastAsia="Arial" w:hAnsi="Arial"/>
          <w:sz w:val="17"/>
          <w:szCs w:val="17"/>
          <w:color w:val="auto"/>
        </w:rPr>
        <w:t>We may issue and sell our ADSs having aggregate gross sales proceeds of up to $200.0 million from time to time. Because there is no minimum offering amount required as a condition to close this offering, the actual total public offering amount, commissions and proceeds to us, if any, are not determinable at this time.</w:t>
      </w:r>
    </w:p>
    <w:p>
      <w:pPr>
        <w:spacing w:after="0" w:line="92" w:lineRule="exact"/>
        <w:rPr>
          <w:sz w:val="20"/>
          <w:szCs w:val="20"/>
          <w:color w:val="auto"/>
        </w:rPr>
      </w:pPr>
    </w:p>
    <w:p>
      <w:pPr>
        <w:ind w:left="1260" w:right="619"/>
        <w:spacing w:after="0" w:line="283" w:lineRule="auto"/>
        <w:rPr>
          <w:sz w:val="20"/>
          <w:szCs w:val="20"/>
          <w:color w:val="auto"/>
        </w:rPr>
      </w:pPr>
      <w:r>
        <w:rPr>
          <w:rFonts w:ascii="Arial" w:cs="Arial" w:eastAsia="Arial" w:hAnsi="Arial"/>
          <w:sz w:val="17"/>
          <w:szCs w:val="17"/>
          <w:color w:val="auto"/>
        </w:rPr>
        <w:t>We intend to use the net proceeds of this offering to advance the development of ensifentrine, commercial preparation activities and, if approved, the commercial launch of ensifentrine, other research and development activities, and for working capital and other general corporate purposes.</w:t>
      </w:r>
    </w:p>
    <w:p>
      <w:pPr>
        <w:spacing w:after="0" w:line="105" w:lineRule="exact"/>
        <w:rPr>
          <w:sz w:val="20"/>
          <w:szCs w:val="20"/>
          <w:color w:val="auto"/>
        </w:rPr>
      </w:pPr>
    </w:p>
    <w:p>
      <w:pPr>
        <w:ind w:left="1260" w:right="439"/>
        <w:spacing w:after="0" w:line="270" w:lineRule="auto"/>
        <w:rPr>
          <w:sz w:val="20"/>
          <w:szCs w:val="20"/>
          <w:color w:val="auto"/>
        </w:rPr>
      </w:pPr>
      <w:r>
        <w:rPr>
          <w:rFonts w:ascii="Arial" w:cs="Arial" w:eastAsia="Arial" w:hAnsi="Arial"/>
          <w:sz w:val="17"/>
          <w:szCs w:val="17"/>
          <w:color w:val="auto"/>
        </w:rPr>
        <w:t>The amounts and timing of our actual expenditures will depend on numerous factors, including the progress of our clinical trials and other development efforts and other factors described under “Risk Factors” in this prospectus supplement, the accompanying base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DIVIDEND POLICY</w:t>
      </w:r>
    </w:p>
    <w:p>
      <w:pPr>
        <w:spacing w:after="0" w:line="357"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color w:val="auto"/>
        </w:rPr>
        <w:t>We have never paid or declared any cash dividends on our ordinary shares or ADSs, and we do not anticipate paying any cash dividends on our ordinary shares or ADSs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 See “Description of Share Capital and Articles of Association” of the accompanying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DILUTION</w:t>
      </w:r>
    </w:p>
    <w:p>
      <w:pPr>
        <w:spacing w:after="0" w:line="357" w:lineRule="exact"/>
        <w:rPr>
          <w:sz w:val="20"/>
          <w:szCs w:val="20"/>
          <w:color w:val="auto"/>
        </w:rPr>
      </w:pPr>
    </w:p>
    <w:p>
      <w:pPr>
        <w:ind w:left="1260" w:right="559"/>
        <w:spacing w:after="0" w:line="271" w:lineRule="auto"/>
        <w:rPr>
          <w:sz w:val="20"/>
          <w:szCs w:val="20"/>
          <w:color w:val="auto"/>
        </w:rPr>
      </w:pPr>
      <w:r>
        <w:rPr>
          <w:rFonts w:ascii="Arial" w:cs="Arial" w:eastAsia="Arial" w:hAnsi="Arial"/>
          <w:sz w:val="17"/>
          <w:szCs w:val="17"/>
          <w:color w:val="auto"/>
        </w:rPr>
        <w:t>If you invest in our ADSs, your ownership interest will be diluted to the extent of the difference between the price per ADS you pay in this offering and the net tangible book value per ADS immediately after this offering. Our net tangible book value as of December 31, 2022 was $229.9 million, or approximately $3.03 per ADS based upon 606,301,054 ordinary shares outstanding. Net tangible book value per ADS is equal to our total tangible assets, less our total liabilities, divided by the total number of our ordinary shares outstanding as of December 31, 2022, multiplied by eight, which is the number of ordinary shares represented by one ADS.</w:t>
      </w:r>
    </w:p>
    <w:p>
      <w:pPr>
        <w:spacing w:after="0" w:line="102" w:lineRule="exact"/>
        <w:rPr>
          <w:sz w:val="20"/>
          <w:szCs w:val="20"/>
          <w:color w:val="auto"/>
        </w:rPr>
      </w:pPr>
    </w:p>
    <w:p>
      <w:pPr>
        <w:ind w:left="1260" w:right="439"/>
        <w:spacing w:after="0" w:line="272" w:lineRule="auto"/>
        <w:rPr>
          <w:sz w:val="20"/>
          <w:szCs w:val="20"/>
          <w:color w:val="auto"/>
        </w:rPr>
      </w:pPr>
      <w:r>
        <w:rPr>
          <w:rFonts w:ascii="Arial" w:cs="Arial" w:eastAsia="Arial" w:hAnsi="Arial"/>
          <w:sz w:val="17"/>
          <w:szCs w:val="17"/>
          <w:color w:val="auto"/>
        </w:rPr>
        <w:t>After giving effect to the sale of our ADSs in the aggregate amount of  $200.0 million at an assumed offering price of  $22.45 per ADS, the last reported sale price of our ADSs on The Nasdaq Global Market on March 6, 2023, and after deducting commissions and estimated offering expenses payable by us, our as adjusted net tangible book value as of December 31, 2022 would have been $424.3 million, or $4.83 per ADS. This represents an immediate increase in net tangible book value of  $1.80 per ADS to our existing shareholders and an immediate dilution in net tangible book value of  $17.62 per ADS to new investors in this offering.</w:t>
      </w:r>
    </w:p>
    <w:p>
      <w:pPr>
        <w:spacing w:after="0" w:line="115" w:lineRule="exact"/>
        <w:rPr>
          <w:sz w:val="20"/>
          <w:szCs w:val="20"/>
          <w:color w:val="auto"/>
        </w:rPr>
      </w:pPr>
    </w:p>
    <w:p>
      <w:pPr>
        <w:ind w:left="1260" w:right="519"/>
        <w:spacing w:after="0" w:line="271" w:lineRule="auto"/>
        <w:rPr>
          <w:sz w:val="20"/>
          <w:szCs w:val="20"/>
          <w:color w:val="auto"/>
        </w:rPr>
      </w:pPr>
      <w:r>
        <w:rPr>
          <w:rFonts w:ascii="Arial" w:cs="Arial" w:eastAsia="Arial" w:hAnsi="Arial"/>
          <w:sz w:val="17"/>
          <w:szCs w:val="17"/>
          <w:color w:val="auto"/>
        </w:rPr>
        <w:t>The following table illustrates this calculation on a per ADS basis. The as adjusted information is illustrative only and will adjust based on the actual price to the public, the actual number of ADSs sold and other terms of the offering determined at the time ADSs are sold pursuant to this prospectus supplement. The as adjusted information assumes that all of our ADSs in the aggregate amount of  $200.0 million is sold at the assumed offering price of  $22.45 per ADS, the last reported sale price of our ADSs on The Nasdaq Global Market on March 6, 2023. The ADSs sold in this offering, if any, will be sold from time to time at various prices.</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392"/>
        </w:trPr>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Assumed​</w:t>
            </w:r>
          </w:p>
        </w:tc>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public offering price per ADS</w:t>
            </w:r>
          </w:p>
        </w:tc>
        <w:tc>
          <w:tcPr>
            <w:tcW w:w="720" w:type="dxa"/>
            <w:vAlign w:val="bottom"/>
            <w:tcBorders>
              <w:top w:val="single" w:sz="8" w:color="auto"/>
            </w:tcBorders>
            <w:gridSpan w:val="3"/>
            <w:shd w:val="clear" w:color="auto" w:fill="CCEEFF"/>
          </w:tcPr>
          <w:p>
            <w:pPr>
              <w:ind w:left="60"/>
              <w:spacing w:after="0"/>
              <w:rPr>
                <w:sz w:val="20"/>
                <w:szCs w:val="20"/>
                <w:color w:val="auto"/>
              </w:rPr>
            </w:pPr>
            <w:r>
              <w:rPr>
                <w:rFonts w:ascii="Arial" w:cs="Arial" w:eastAsia="Arial" w:hAnsi="Arial"/>
                <w:sz w:val="17"/>
                <w:szCs w:val="17"/>
                <w:color w:val="auto"/>
              </w:rPr>
              <w:t>​ ​​ ​</w:t>
            </w:r>
          </w:p>
        </w:tc>
        <w:tc>
          <w:tcPr>
            <w:tcW w:w="7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 ​​$ 22.45​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00" w:type="dxa"/>
            <w:vAlign w:val="bottom"/>
            <w:gridSpan w:val="2"/>
          </w:tcPr>
          <w:p>
            <w:pPr>
              <w:spacing w:after="0"/>
              <w:rPr>
                <w:sz w:val="20"/>
                <w:szCs w:val="20"/>
                <w:color w:val="auto"/>
              </w:rPr>
            </w:pPr>
            <w:r>
              <w:rPr>
                <w:rFonts w:ascii="Arial" w:cs="Arial" w:eastAsia="Arial" w:hAnsi="Arial"/>
                <w:sz w:val="17"/>
                <w:szCs w:val="17"/>
                <w:color w:val="auto"/>
              </w:rPr>
              <w:t>​ Net tangible book value per ADS as of December 31, 2022</w:t>
            </w:r>
          </w:p>
        </w:tc>
        <w:tc>
          <w:tcPr>
            <w:tcW w:w="1120" w:type="dxa"/>
            <w:vAlign w:val="bottom"/>
            <w:gridSpan w:val="6"/>
          </w:tcPr>
          <w:p>
            <w:pPr>
              <w:ind w:left="60"/>
              <w:spacing w:after="0"/>
              <w:rPr>
                <w:sz w:val="20"/>
                <w:szCs w:val="20"/>
                <w:color w:val="auto"/>
              </w:rPr>
            </w:pPr>
            <w:r>
              <w:rPr>
                <w:rFonts w:ascii="Arial" w:cs="Arial" w:eastAsia="Arial" w:hAnsi="Arial"/>
                <w:sz w:val="17"/>
                <w:szCs w:val="17"/>
                <w:color w:val="auto"/>
              </w:rPr>
              <w:t>​ ​​$ 3.03​​ ​​ ​</w:t>
            </w:r>
          </w:p>
        </w:tc>
        <w:tc>
          <w:tcPr>
            <w:tcW w:w="3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shd w:val="clear" w:color="auto" w:fill="CCEEFF"/>
              </w:rPr>
              <w:t>​ Increase in net tangible book value per ADS attributable to the offering . . . . . . . . . . . .</w:t>
            </w:r>
          </w:p>
        </w:tc>
        <w:tc>
          <w:tcPr>
            <w:tcW w:w="1120" w:type="dxa"/>
            <w:vAlign w:val="bottom"/>
            <w:gridSpan w:val="6"/>
            <w:shd w:val="clear" w:color="auto" w:fill="CCEEFF"/>
          </w:tcPr>
          <w:p>
            <w:pPr>
              <w:ind w:left="60"/>
              <w:spacing w:after="0"/>
              <w:rPr>
                <w:sz w:val="20"/>
                <w:szCs w:val="20"/>
                <w:color w:val="auto"/>
              </w:rPr>
            </w:pPr>
            <w:r>
              <w:rPr>
                <w:rFonts w:ascii="Arial" w:cs="Arial" w:eastAsia="Arial" w:hAnsi="Arial"/>
                <w:sz w:val="17"/>
                <w:szCs w:val="17"/>
                <w:color w:val="auto"/>
              </w:rPr>
              <w:t>​ ​​ ​1.80​​ ​​ ​</w:t>
            </w:r>
          </w:p>
        </w:tc>
        <w:tc>
          <w:tcPr>
            <w:tcW w:w="38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70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00" w:type="dxa"/>
            <w:vAlign w:val="bottom"/>
            <w:gridSpan w:val="2"/>
          </w:tcPr>
          <w:p>
            <w:pPr>
              <w:spacing w:after="0" w:line="169" w:lineRule="exact"/>
              <w:rPr>
                <w:sz w:val="20"/>
                <w:szCs w:val="20"/>
                <w:color w:val="auto"/>
              </w:rPr>
            </w:pPr>
            <w:r>
              <w:rPr>
                <w:rFonts w:ascii="Arial" w:cs="Arial" w:eastAsia="Arial" w:hAnsi="Arial"/>
                <w:sz w:val="17"/>
                <w:szCs w:val="17"/>
                <w:color w:val="auto"/>
              </w:rPr>
              <w:t>As adjusted net tangible book value per ADS after giving effect to the offering</w:t>
            </w:r>
          </w:p>
        </w:tc>
        <w:tc>
          <w:tcPr>
            <w:tcW w:w="300" w:type="dxa"/>
            <w:vAlign w:val="bottom"/>
            <w:gridSpan w:val="2"/>
            <w:vMerge w:val="restart"/>
          </w:tcPr>
          <w:p>
            <w:pPr>
              <w:ind w:left="60"/>
              <w:spacing w:after="0"/>
              <w:rPr>
                <w:sz w:val="20"/>
                <w:szCs w:val="20"/>
                <w:color w:val="auto"/>
              </w:rPr>
            </w:pPr>
            <w:r>
              <w:rPr>
                <w:rFonts w:ascii="Arial" w:cs="Arial" w:eastAsia="Arial" w:hAnsi="Arial"/>
                <w:sz w:val="17"/>
                <w:szCs w:val="17"/>
                <w:color w:val="auto"/>
              </w:rPr>
              <w:t>​ ​​</w:t>
            </w:r>
          </w:p>
        </w:tc>
        <w:tc>
          <w:tcPr>
            <w:tcW w:w="42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280" w:type="dxa"/>
            <w:vAlign w:val="bottom"/>
            <w:gridSpan w:val="2"/>
            <w:vMerge w:val="restart"/>
          </w:tcPr>
          <w:p>
            <w:pPr>
              <w:spacing w:after="0"/>
              <w:rPr>
                <w:sz w:val="20"/>
                <w:szCs w:val="20"/>
                <w:color w:val="auto"/>
              </w:rPr>
            </w:pPr>
            <w:r>
              <w:rPr>
                <w:rFonts w:ascii="Arial" w:cs="Arial" w:eastAsia="Arial" w:hAnsi="Arial"/>
                <w:sz w:val="17"/>
                <w:szCs w:val="17"/>
                <w:color w:val="auto"/>
              </w:rPr>
              <w:t>​​ ​​</w:t>
            </w:r>
          </w:p>
        </w:tc>
        <w:tc>
          <w:tcPr>
            <w:tcW w:w="120" w:type="dxa"/>
            <w:vAlign w:val="bottom"/>
          </w:tcPr>
          <w:p>
            <w:pPr>
              <w:ind w:left="40"/>
              <w:spacing w:after="0" w:line="169" w:lineRule="exact"/>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4.83</w:t>
            </w:r>
          </w:p>
        </w:tc>
        <w:tc>
          <w:tcPr>
            <w:tcW w:w="0" w:type="dxa"/>
            <w:vAlign w:val="bottom"/>
          </w:tcPr>
          <w:p>
            <w:pPr>
              <w:spacing w:after="0"/>
              <w:rPr>
                <w:sz w:val="1"/>
                <w:szCs w:val="1"/>
                <w:color w:val="auto"/>
              </w:rPr>
            </w:pPr>
          </w:p>
        </w:tc>
      </w:tr>
      <w:tr>
        <w:trPr>
          <w:trHeight w:val="81"/>
        </w:trPr>
        <w:tc>
          <w:tcPr>
            <w:tcW w:w="740" w:type="dxa"/>
            <w:vAlign w:val="bottom"/>
          </w:tcPr>
          <w:p>
            <w:pPr>
              <w:spacing w:after="0" w:line="81" w:lineRule="exact"/>
              <w:rPr>
                <w:sz w:val="20"/>
                <w:szCs w:val="20"/>
                <w:color w:val="auto"/>
              </w:rPr>
            </w:pPr>
            <w:r>
              <w:rPr>
                <w:rFonts w:ascii="Arial" w:cs="Arial" w:eastAsia="Arial" w:hAnsi="Arial"/>
                <w:sz w:val="9"/>
                <w:szCs w:val="9"/>
                <w:color w:val="auto"/>
              </w:rPr>
              <w:t>​</w:t>
            </w:r>
          </w:p>
        </w:tc>
        <w:tc>
          <w:tcPr>
            <w:tcW w:w="596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83"/>
        </w:trPr>
        <w:tc>
          <w:tcPr>
            <w:tcW w:w="670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Dilution per ADS to new investors participating in the offering</w:t>
            </w:r>
          </w:p>
        </w:tc>
        <w:tc>
          <w:tcPr>
            <w:tcW w:w="300" w:type="dxa"/>
            <w:vAlign w:val="bottom"/>
            <w:tcBorders>
              <w:top w:val="single" w:sz="8" w:color="CCEEFF"/>
            </w:tcBorders>
            <w:gridSpan w:val="2"/>
            <w:vMerge w:val="restart"/>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42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$ 17.62</w:t>
            </w:r>
          </w:p>
        </w:tc>
        <w:tc>
          <w:tcPr>
            <w:tcW w:w="60" w:type="dxa"/>
            <w:vAlign w:val="bottom"/>
            <w:vMerge w:val="restart"/>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8"/>
        </w:trPr>
        <w:tc>
          <w:tcPr>
            <w:tcW w:w="74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960" w:type="dxa"/>
            <w:vAlign w:val="bottom"/>
            <w:shd w:val="clear" w:color="auto" w:fill="CCEEFF"/>
          </w:tcPr>
          <w:p>
            <w:pPr>
              <w:spacing w:after="0"/>
              <w:rPr>
                <w:sz w:val="7"/>
                <w:szCs w:val="7"/>
                <w:color w:val="auto"/>
              </w:rPr>
            </w:pPr>
          </w:p>
        </w:tc>
        <w:tc>
          <w:tcPr>
            <w:tcW w:w="300" w:type="dxa"/>
            <w:vAlign w:val="bottom"/>
            <w:gridSpan w:val="2"/>
            <w:vMerge w:val="continue"/>
            <w:shd w:val="clear" w:color="auto" w:fill="CCEEFF"/>
          </w:tcPr>
          <w:p>
            <w:pPr>
              <w:spacing w:after="0"/>
              <w:rPr>
                <w:sz w:val="7"/>
                <w:szCs w:val="7"/>
                <w:color w:val="auto"/>
              </w:rPr>
            </w:pPr>
          </w:p>
        </w:tc>
        <w:tc>
          <w:tcPr>
            <w:tcW w:w="420" w:type="dxa"/>
            <w:vAlign w:val="bottom"/>
            <w:vMerge w:val="continue"/>
            <w:shd w:val="clear" w:color="auto" w:fill="CCEEFF"/>
          </w:tcPr>
          <w:p>
            <w:pPr>
              <w:spacing w:after="0"/>
              <w:rPr>
                <w:sz w:val="7"/>
                <w:szCs w:val="7"/>
                <w:color w:val="auto"/>
              </w:rPr>
            </w:pPr>
          </w:p>
        </w:tc>
        <w:tc>
          <w:tcPr>
            <w:tcW w:w="280" w:type="dxa"/>
            <w:vAlign w:val="bottom"/>
            <w:gridSpan w:val="2"/>
            <w:shd w:val="clear" w:color="auto" w:fill="CCEEFF"/>
          </w:tcPr>
          <w:p>
            <w:pPr>
              <w:spacing w:after="0" w:line="68" w:lineRule="exact"/>
              <w:rPr>
                <w:sz w:val="20"/>
                <w:szCs w:val="20"/>
                <w:color w:val="auto"/>
              </w:rPr>
            </w:pPr>
            <w:r>
              <w:rPr>
                <w:rFonts w:ascii="Arial" w:cs="Arial" w:eastAsia="Arial" w:hAnsi="Arial"/>
                <w:sz w:val="7"/>
                <w:szCs w:val="7"/>
                <w:b w:val="1"/>
                <w:bCs w:val="1"/>
                <w:color w:val="auto"/>
              </w:rPr>
              <w:t>​</w:t>
            </w:r>
            <w:r>
              <w:rPr>
                <w:rFonts w:ascii="Arial" w:cs="Arial" w:eastAsia="Arial" w:hAnsi="Arial"/>
                <w:sz w:val="7"/>
                <w:szCs w:val="7"/>
                <w:color w:val="auto"/>
              </w:rPr>
              <w:t>​ ​​</w:t>
            </w: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740" w:type="dxa"/>
            <w:vAlign w:val="bottom"/>
            <w:tcBorders>
              <w:bottom w:val="single" w:sz="8" w:color="auto"/>
            </w:tcBorders>
          </w:tcPr>
          <w:p>
            <w:pPr>
              <w:spacing w:after="0"/>
              <w:rPr>
                <w:sz w:val="7"/>
                <w:szCs w:val="7"/>
                <w:color w:val="auto"/>
              </w:rPr>
            </w:pPr>
          </w:p>
        </w:tc>
        <w:tc>
          <w:tcPr>
            <w:tcW w:w="59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-281940</wp:posOffset>
            </wp:positionV>
            <wp:extent cx="48431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4843145" cy="8890"/>
                    </a:xfrm>
                    <a:prstGeom prst="rect">
                      <a:avLst/>
                    </a:prstGeom>
                    <a:noFill/>
                  </pic:spPr>
                </pic:pic>
              </a:graphicData>
            </a:graphic>
          </wp:anchor>
        </w:drawing>
      </w:r>
    </w:p>
    <w:p>
      <w:pPr>
        <w:spacing w:after="0" w:line="106" w:lineRule="exact"/>
        <w:rPr>
          <w:sz w:val="20"/>
          <w:szCs w:val="20"/>
          <w:color w:val="auto"/>
        </w:rPr>
      </w:pPr>
    </w:p>
    <w:p>
      <w:pPr>
        <w:ind w:left="1260" w:right="579"/>
        <w:spacing w:after="0" w:line="301" w:lineRule="auto"/>
        <w:rPr>
          <w:sz w:val="20"/>
          <w:szCs w:val="20"/>
          <w:color w:val="auto"/>
        </w:rPr>
      </w:pPr>
      <w:r>
        <w:rPr>
          <w:rFonts w:ascii="Arial" w:cs="Arial" w:eastAsia="Arial" w:hAnsi="Arial"/>
          <w:sz w:val="17"/>
          <w:szCs w:val="17"/>
          <w:color w:val="auto"/>
        </w:rPr>
        <w:t>The foregoing tables and calculations (other than historical net tangible book value calculations) are based on 606,301,054 ordinary shares outstanding as of December 31, 2022, and excludes:</w:t>
      </w:r>
    </w:p>
    <w:p>
      <w:pPr>
        <w:spacing w:after="0" w:line="9" w:lineRule="exact"/>
        <w:rPr>
          <w:sz w:val="20"/>
          <w:szCs w:val="20"/>
          <w:color w:val="auto"/>
        </w:rPr>
      </w:pPr>
    </w:p>
    <w:p>
      <w:pPr>
        <w:ind w:left="1840" w:right="1339" w:hanging="220"/>
        <w:spacing w:after="0" w:line="334" w:lineRule="auto"/>
        <w:tabs>
          <w:tab w:leader="none" w:pos="18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19,276,496 ordinary shares issuable upon the exercise of share options outstanding as of December 31, 2022, at a weighted average exercise price of  $1.22 per ordinary share;</w:t>
      </w:r>
    </w:p>
    <w:p>
      <w:pPr>
        <w:ind w:left="1840" w:right="1179" w:hanging="220"/>
        <w:spacing w:after="0" w:line="301" w:lineRule="auto"/>
        <w:tabs>
          <w:tab w:leader="none" w:pos="18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34,542,344 ordinary shares issuable upon vesting of restricted share units outstanding as of December 31, 2022; and</w:t>
      </w:r>
    </w:p>
    <w:p>
      <w:pPr>
        <w:spacing w:after="0" w:line="9" w:lineRule="exact"/>
        <w:rPr>
          <w:rFonts w:ascii="Arial" w:cs="Arial" w:eastAsia="Arial" w:hAnsi="Arial"/>
          <w:sz w:val="17"/>
          <w:szCs w:val="17"/>
          <w:color w:val="auto"/>
        </w:rPr>
      </w:pPr>
    </w:p>
    <w:p>
      <w:pPr>
        <w:jc w:val="both"/>
        <w:ind w:left="1840" w:right="679" w:hanging="220"/>
        <w:spacing w:after="0" w:line="308" w:lineRule="auto"/>
        <w:tabs>
          <w:tab w:leader="none" w:pos="18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649,064 ordinary shares reserved for future issuance under our 2017 Incentive Award Plan, or the 2017 Plan, as of December 31, 2022, and ordinary shares that may become available pursuant to provisions in the 2017 Plan that automatically increase the share reserve under the 2017 Plan.</w:t>
      </w:r>
    </w:p>
    <w:p>
      <w:pPr>
        <w:spacing w:after="0" w:line="88" w:lineRule="exact"/>
        <w:rPr>
          <w:sz w:val="20"/>
          <w:szCs w:val="20"/>
          <w:color w:val="auto"/>
        </w:rPr>
      </w:pPr>
    </w:p>
    <w:p>
      <w:pPr>
        <w:ind w:left="1260" w:right="439"/>
        <w:spacing w:after="0" w:line="283" w:lineRule="auto"/>
        <w:rPr>
          <w:sz w:val="20"/>
          <w:szCs w:val="20"/>
          <w:color w:val="auto"/>
        </w:rPr>
      </w:pPr>
      <w:r>
        <w:rPr>
          <w:rFonts w:ascii="Arial" w:cs="Arial" w:eastAsia="Arial" w:hAnsi="Arial"/>
          <w:sz w:val="17"/>
          <w:szCs w:val="17"/>
          <w:color w:val="auto"/>
        </w:rPr>
        <w:t>The foregoing table does not give effect to the exercise of any outstanding options or warrants or the vesting of any restricted share units. To the extent options are exercised, restricted share units vest, or we issue additional securities, there may be further dilution to new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PLAN OF DISTRIBUTION</w:t>
      </w:r>
    </w:p>
    <w:p>
      <w:pPr>
        <w:spacing w:after="0" w:line="357" w:lineRule="exact"/>
        <w:rPr>
          <w:sz w:val="20"/>
          <w:szCs w:val="20"/>
          <w:color w:val="auto"/>
        </w:rPr>
      </w:pPr>
    </w:p>
    <w:p>
      <w:pPr>
        <w:ind w:left="1260" w:right="439"/>
        <w:spacing w:after="0" w:line="277" w:lineRule="auto"/>
        <w:rPr>
          <w:sz w:val="20"/>
          <w:szCs w:val="20"/>
          <w:color w:val="auto"/>
        </w:rPr>
      </w:pPr>
      <w:r>
        <w:rPr>
          <w:rFonts w:ascii="Arial" w:cs="Arial" w:eastAsia="Arial" w:hAnsi="Arial"/>
          <w:sz w:val="17"/>
          <w:szCs w:val="17"/>
          <w:color w:val="auto"/>
        </w:rPr>
        <w:t>We have entered into a sales agreement with Jefferies, under which we may offer and sell up to $200.0 million of our ADSs from time to time through Jefferies acting as agent. Sales of our ADSs, if any, under this prospectus supplement and the accompanying prospectus will be made by any method that is deemed to be an “at the market offering” as defined in Rule 415(a)(4) under the Securities Act.</w:t>
      </w:r>
    </w:p>
    <w:p>
      <w:pPr>
        <w:spacing w:after="0" w:line="97" w:lineRule="exact"/>
        <w:rPr>
          <w:sz w:val="20"/>
          <w:szCs w:val="20"/>
          <w:color w:val="auto"/>
        </w:rPr>
      </w:pPr>
    </w:p>
    <w:p>
      <w:pPr>
        <w:ind w:left="1260" w:right="519"/>
        <w:spacing w:after="0" w:line="271" w:lineRule="auto"/>
        <w:rPr>
          <w:sz w:val="20"/>
          <w:szCs w:val="20"/>
          <w:color w:val="auto"/>
        </w:rPr>
      </w:pPr>
      <w:r>
        <w:rPr>
          <w:rFonts w:ascii="Arial" w:cs="Arial" w:eastAsia="Arial" w:hAnsi="Arial"/>
          <w:sz w:val="17"/>
          <w:szCs w:val="17"/>
          <w:color w:val="auto"/>
        </w:rPr>
        <w:t>Each time we wish to issue and sell ADSs under the sales agreement, we will notify Jefferies of the number of ADSs to be issued, the dates on which such sales are anticipated to be made, any limitation on the number of ADSs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ADSs up to the amount specified on such terms. The obligations of Jefferies under the sales agreement to sell our ADSs are subject to a number of conditions that we must meet.</w:t>
      </w:r>
    </w:p>
    <w:p>
      <w:pPr>
        <w:spacing w:after="0" w:line="115" w:lineRule="exact"/>
        <w:rPr>
          <w:sz w:val="20"/>
          <w:szCs w:val="20"/>
          <w:color w:val="auto"/>
        </w:rPr>
      </w:pPr>
    </w:p>
    <w:p>
      <w:pPr>
        <w:ind w:left="1260" w:right="659"/>
        <w:spacing w:after="0" w:line="274" w:lineRule="auto"/>
        <w:rPr>
          <w:sz w:val="20"/>
          <w:szCs w:val="20"/>
          <w:color w:val="auto"/>
        </w:rPr>
      </w:pPr>
      <w:r>
        <w:rPr>
          <w:rFonts w:ascii="Arial" w:cs="Arial" w:eastAsia="Arial" w:hAnsi="Arial"/>
          <w:sz w:val="17"/>
          <w:szCs w:val="17"/>
          <w:color w:val="auto"/>
        </w:rPr>
        <w:t>The settlement of sales of ADSs between us and Jefferies is generally anticipated to occur on the second trading day following the date on which the sale was made. Sales of our ADSs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13" w:lineRule="exact"/>
        <w:rPr>
          <w:sz w:val="20"/>
          <w:szCs w:val="20"/>
          <w:color w:val="auto"/>
        </w:rPr>
      </w:pPr>
    </w:p>
    <w:p>
      <w:pPr>
        <w:ind w:left="1260" w:right="479"/>
        <w:spacing w:after="0" w:line="269" w:lineRule="auto"/>
        <w:rPr>
          <w:sz w:val="20"/>
          <w:szCs w:val="20"/>
          <w:color w:val="auto"/>
        </w:rPr>
      </w:pPr>
      <w:r>
        <w:rPr>
          <w:rFonts w:ascii="Arial" w:cs="Arial" w:eastAsia="Arial" w:hAnsi="Arial"/>
          <w:sz w:val="17"/>
          <w:szCs w:val="17"/>
          <w:color w:val="auto"/>
        </w:rPr>
        <w:t>We will pay Jefferies a commission of up to 3.0% of the aggregate gross proceeds we receive from each sale of our ADSs.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$100,000, in addition to certain ongoing disbursements of its legal counsel, unless we and Jefferies otherwise agree. We estimate that the total expenses for the offering, excluding any commissions or expense reimbursement payable to Jefferies under the terms of the sales agreement, will be approximately $600,000. The remaining sale proceeds, after deducting any other transaction fees, will equal our net proceeds from the sale of such ADSs.</w:t>
      </w:r>
    </w:p>
    <w:p>
      <w:pPr>
        <w:spacing w:after="0" w:line="104" w:lineRule="exact"/>
        <w:rPr>
          <w:sz w:val="20"/>
          <w:szCs w:val="20"/>
          <w:color w:val="auto"/>
        </w:rPr>
      </w:pPr>
    </w:p>
    <w:p>
      <w:pPr>
        <w:jc w:val="both"/>
        <w:ind w:left="1260" w:right="659"/>
        <w:spacing w:after="0" w:line="283" w:lineRule="auto"/>
        <w:rPr>
          <w:sz w:val="20"/>
          <w:szCs w:val="20"/>
          <w:color w:val="auto"/>
        </w:rPr>
      </w:pPr>
      <w:r>
        <w:rPr>
          <w:rFonts w:ascii="Arial" w:cs="Arial" w:eastAsia="Arial" w:hAnsi="Arial"/>
          <w:sz w:val="17"/>
          <w:szCs w:val="17"/>
          <w:color w:val="auto"/>
        </w:rPr>
        <w:t>Jefferies will provide written confirmation to us before the open on The Nasdaq Global Market on the day following each day on which ADSs are sold under the sales agreement. Each confirmation will include the number of ADSs sold on that day, the aggregate gross proceeds of such sales and the proceeds to us.</w:t>
      </w:r>
    </w:p>
    <w:p>
      <w:pPr>
        <w:spacing w:after="0" w:line="105" w:lineRule="exact"/>
        <w:rPr>
          <w:sz w:val="20"/>
          <w:szCs w:val="20"/>
          <w:color w:val="auto"/>
        </w:rPr>
      </w:pPr>
    </w:p>
    <w:p>
      <w:pPr>
        <w:ind w:left="1260" w:right="459"/>
        <w:spacing w:after="0" w:line="274" w:lineRule="auto"/>
        <w:rPr>
          <w:sz w:val="20"/>
          <w:szCs w:val="20"/>
          <w:color w:val="auto"/>
        </w:rPr>
      </w:pPr>
      <w:r>
        <w:rPr>
          <w:rFonts w:ascii="Arial" w:cs="Arial" w:eastAsia="Arial" w:hAnsi="Arial"/>
          <w:sz w:val="17"/>
          <w:szCs w:val="17"/>
          <w:color w:val="auto"/>
        </w:rPr>
        <w:t>In connection with the sale of the ADSs on our behalf, Jefferies will be deemed to be an “underwriter” within the meaning of the Securities Act, and the compensation of Jefferies will be deemed to be underwriting commissions or discounts. We have agreed to indemnify Jefferies against certain liabilities, including civil liabilities under the Securities Act. We have also agreed to contribute to payments Jefferies may be required to make in respect of such liabilities.</w:t>
      </w:r>
    </w:p>
    <w:p>
      <w:pPr>
        <w:spacing w:after="0" w:line="113" w:lineRule="exact"/>
        <w:rPr>
          <w:sz w:val="20"/>
          <w:szCs w:val="20"/>
          <w:color w:val="auto"/>
        </w:rPr>
      </w:pPr>
    </w:p>
    <w:p>
      <w:pPr>
        <w:ind w:left="1260" w:right="479"/>
        <w:spacing w:after="0" w:line="301" w:lineRule="auto"/>
        <w:rPr>
          <w:sz w:val="20"/>
          <w:szCs w:val="20"/>
          <w:color w:val="auto"/>
        </w:rPr>
      </w:pPr>
      <w:r>
        <w:rPr>
          <w:rFonts w:ascii="Arial" w:cs="Arial" w:eastAsia="Arial" w:hAnsi="Arial"/>
          <w:sz w:val="17"/>
          <w:szCs w:val="17"/>
          <w:color w:val="auto"/>
        </w:rPr>
        <w:t>The offering of our ADSs pursuant to the sales agreement will terminate upon the earlier of  (i) the sale of all ADSs subject to the sales agreement and (ii) the termination of the sales agreement as permitted therein.</w:t>
      </w:r>
    </w:p>
    <w:p>
      <w:pPr>
        <w:spacing w:after="0" w:line="77" w:lineRule="exact"/>
        <w:rPr>
          <w:sz w:val="20"/>
          <w:szCs w:val="20"/>
          <w:color w:val="auto"/>
        </w:rPr>
      </w:pPr>
    </w:p>
    <w:p>
      <w:pPr>
        <w:jc w:val="both"/>
        <w:ind w:left="1260" w:right="419"/>
        <w:spacing w:after="0" w:line="283" w:lineRule="auto"/>
        <w:rPr>
          <w:sz w:val="20"/>
          <w:szCs w:val="20"/>
          <w:color w:val="auto"/>
        </w:rPr>
      </w:pPr>
      <w:r>
        <w:rPr>
          <w:rFonts w:ascii="Arial" w:cs="Arial" w:eastAsia="Arial" w:hAnsi="Arial"/>
          <w:sz w:val="17"/>
          <w:szCs w:val="17"/>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105" w:lineRule="exact"/>
        <w:rPr>
          <w:sz w:val="20"/>
          <w:szCs w:val="20"/>
          <w:color w:val="auto"/>
        </w:rPr>
      </w:pPr>
    </w:p>
    <w:p>
      <w:pPr>
        <w:ind w:left="1260" w:right="479"/>
        <w:spacing w:after="0" w:line="274" w:lineRule="auto"/>
        <w:rPr>
          <w:sz w:val="20"/>
          <w:szCs w:val="20"/>
          <w:color w:val="auto"/>
        </w:rPr>
      </w:pPr>
      <w:r>
        <w:rPr>
          <w:rFonts w:ascii="Arial" w:cs="Arial" w:eastAsia="Arial" w:hAnsi="Arial"/>
          <w:sz w:val="17"/>
          <w:szCs w:val="17"/>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13" w:lineRule="exact"/>
        <w:rPr>
          <w:sz w:val="20"/>
          <w:szCs w:val="20"/>
          <w:color w:val="auto"/>
        </w:rPr>
      </w:pPr>
    </w:p>
    <w:p>
      <w:pPr>
        <w:ind w:left="1260" w:right="499"/>
        <w:spacing w:after="0" w:line="283" w:lineRule="auto"/>
        <w:rPr>
          <w:sz w:val="20"/>
          <w:szCs w:val="20"/>
          <w:color w:val="auto"/>
        </w:rPr>
      </w:pPr>
      <w:r>
        <w:rPr>
          <w:rFonts w:ascii="Arial" w:cs="Arial" w:eastAsia="Arial" w:hAnsi="Arial"/>
          <w:sz w:val="17"/>
          <w:szCs w:val="17"/>
          <w:color w:val="auto"/>
        </w:rPr>
        <w:t>A prospectus supplement and the accompanying base prospectus in electronic format may be made available on a website maintained by Jefferies, and Jefferies may distribute this prospectus supplement and the accompanying base prospectus electronically.</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LEGAL MATTERS</w:t>
      </w:r>
    </w:p>
    <w:p>
      <w:pPr>
        <w:spacing w:after="0" w:line="357" w:lineRule="exact"/>
        <w:rPr>
          <w:sz w:val="20"/>
          <w:szCs w:val="20"/>
          <w:color w:val="auto"/>
        </w:rPr>
      </w:pPr>
    </w:p>
    <w:p>
      <w:pPr>
        <w:ind w:left="1260" w:right="439"/>
        <w:spacing w:after="0" w:line="283" w:lineRule="auto"/>
        <w:rPr>
          <w:sz w:val="20"/>
          <w:szCs w:val="20"/>
          <w:color w:val="auto"/>
        </w:rPr>
      </w:pPr>
      <w:r>
        <w:rPr>
          <w:rFonts w:ascii="Arial" w:cs="Arial" w:eastAsia="Arial" w:hAnsi="Arial"/>
          <w:sz w:val="17"/>
          <w:szCs w:val="17"/>
          <w:color w:val="auto"/>
        </w:rPr>
        <w:t>Latham &amp; Watkins LLP will pass upon certain legal matters relating to the issuance and sale of the securities offered hereby on behalf of Verona Pharma plc. Jefferies LLC is being represented in connection with this offering by Cooley LLP, New York, New York and Cooley (UK) LLP, London, United Kingdom.</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EXPERTS</w:t>
      </w:r>
    </w:p>
    <w:p>
      <w:pPr>
        <w:spacing w:after="0" w:line="343" w:lineRule="exact"/>
        <w:rPr>
          <w:sz w:val="20"/>
          <w:szCs w:val="20"/>
          <w:color w:val="auto"/>
        </w:rPr>
      </w:pPr>
    </w:p>
    <w:p>
      <w:pPr>
        <w:jc w:val="both"/>
        <w:ind w:left="1260" w:right="619"/>
        <w:spacing w:after="0" w:line="277" w:lineRule="auto"/>
        <w:rPr>
          <w:sz w:val="20"/>
          <w:szCs w:val="20"/>
          <w:color w:val="auto"/>
        </w:rPr>
      </w:pPr>
      <w:r>
        <w:rPr>
          <w:rFonts w:ascii="Arial" w:cs="Arial" w:eastAsia="Arial" w:hAnsi="Arial"/>
          <w:sz w:val="17"/>
          <w:szCs w:val="17"/>
          <w:color w:val="auto"/>
        </w:rPr>
        <w:t>The financial statements incorporated in this prospectus supplement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110" w:lineRule="exact"/>
        <w:rPr>
          <w:sz w:val="20"/>
          <w:szCs w:val="20"/>
          <w:color w:val="auto"/>
        </w:rPr>
      </w:pPr>
    </w:p>
    <w:p>
      <w:pPr>
        <w:ind w:left="1260" w:right="1079"/>
        <w:spacing w:after="0" w:line="301" w:lineRule="auto"/>
        <w:rPr>
          <w:sz w:val="20"/>
          <w:szCs w:val="20"/>
          <w:color w:val="auto"/>
        </w:rPr>
      </w:pPr>
      <w:r>
        <w:rPr>
          <w:rFonts w:ascii="Arial" w:cs="Arial" w:eastAsia="Arial" w:hAnsi="Arial"/>
          <w:sz w:val="17"/>
          <w:szCs w:val="17"/>
          <w:color w:val="auto"/>
        </w:rPr>
        <w:t>The registered business address of PricewaterhouseCoopers LLP is 1 Embankment Place, London, WC2N 6RH,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4"/>
          <w:szCs w:val="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52705</wp:posOffset>
            </wp:positionV>
            <wp:extent cx="52120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729615</wp:posOffset>
            </wp:positionV>
            <wp:extent cx="1688465" cy="651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40"/>
        <w:spacing w:after="0"/>
        <w:rPr>
          <w:sz w:val="20"/>
          <w:szCs w:val="20"/>
          <w:color w:val="auto"/>
        </w:rPr>
      </w:pPr>
      <w:r>
        <w:rPr>
          <w:rFonts w:ascii="Arial" w:cs="Arial" w:eastAsia="Arial" w:hAnsi="Arial"/>
          <w:sz w:val="29"/>
          <w:szCs w:val="29"/>
          <w:b w:val="1"/>
          <w:bCs w:val="1"/>
          <w:color w:val="auto"/>
        </w:rPr>
        <w:t>Up to $200,000,000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40"/>
        <w:spacing w:after="0"/>
        <w:rPr>
          <w:sz w:val="20"/>
          <w:szCs w:val="20"/>
          <w:color w:val="auto"/>
        </w:rPr>
      </w:pPr>
      <w:r>
        <w:rPr>
          <w:rFonts w:ascii="Arial" w:cs="Arial" w:eastAsia="Arial" w:hAnsi="Arial"/>
          <w:sz w:val="29"/>
          <w:szCs w:val="29"/>
          <w:b w:val="1"/>
          <w:bCs w:val="1"/>
          <w:color w:val="auto"/>
        </w:rPr>
        <w:t>Ordinary Shares</w:t>
      </w:r>
    </w:p>
    <w:p>
      <w:pPr>
        <w:spacing w:after="0" w:line="21" w:lineRule="exact"/>
        <w:rPr>
          <w:sz w:val="20"/>
          <w:szCs w:val="20"/>
          <w:color w:val="auto"/>
        </w:rPr>
      </w:pPr>
    </w:p>
    <w:p>
      <w:pPr>
        <w:jc w:val="center"/>
        <w:ind w:right="-820"/>
        <w:spacing w:after="0"/>
        <w:rPr>
          <w:sz w:val="20"/>
          <w:szCs w:val="20"/>
          <w:color w:val="auto"/>
        </w:rPr>
      </w:pPr>
      <w:r>
        <w:rPr>
          <w:rFonts w:ascii="Arial" w:cs="Arial" w:eastAsia="Arial" w:hAnsi="Arial"/>
          <w:sz w:val="29"/>
          <w:szCs w:val="29"/>
          <w:b w:val="1"/>
          <w:bCs w:val="1"/>
          <w:color w:val="auto"/>
        </w:rPr>
        <w:t>(represented by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871220</wp:posOffset>
            </wp:positionV>
            <wp:extent cx="12344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208915</wp:posOffset>
            </wp:positionV>
            <wp:extent cx="12344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700"/>
        <w:spacing w:after="0"/>
        <w:rPr>
          <w:sz w:val="20"/>
          <w:szCs w:val="20"/>
          <w:color w:val="auto"/>
        </w:rPr>
      </w:pPr>
      <w:r>
        <w:rPr>
          <w:rFonts w:ascii="Arial" w:cs="Arial" w:eastAsia="Arial" w:hAnsi="Arial"/>
          <w:sz w:val="29"/>
          <w:szCs w:val="29"/>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229870</wp:posOffset>
            </wp:positionV>
            <wp:extent cx="12344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March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678815</wp:posOffset>
            </wp:positionV>
            <wp:extent cx="52120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4"/>
          <w:szCs w:val="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605790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Other Expenses of Issuance and Distribution</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97790</wp:posOffset>
            </wp:positionV>
            <wp:extent cx="4749165"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SEC​ registration fee</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Printing​ expenses</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Accounting​ fees and expenses</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Blue​ Sky, qualification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Transfer​ agent fees and expenses</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Trustee​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Depositary​ fees and expenses</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Warrant​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Miscellaneous​</w:t>
      </w:r>
    </w:p>
    <w:p>
      <w:pPr>
        <w:ind w:left="1620"/>
        <w:spacing w:after="0" w:line="207" w:lineRule="auto"/>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34"/>
          <w:szCs w:val="34"/>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164465</wp:posOffset>
            </wp:positionV>
            <wp:extent cx="12344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06" w:hanging="106"/>
        <w:spacing w:after="0"/>
        <w:tabs>
          <w:tab w:leader="none" w:pos="10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w:t>
      </w:r>
    </w:p>
    <w:p>
      <w:pPr>
        <w:spacing w:after="0" w:line="47" w:lineRule="exact"/>
        <w:rPr>
          <w:rFonts w:ascii="Times New Roman" w:cs="Times New Roman" w:eastAsia="Times New Roman" w:hAnsi="Times New Roman"/>
          <w:sz w:val="17"/>
          <w:szCs w:val="17"/>
          <w:color w:val="auto"/>
        </w:rPr>
      </w:pPr>
    </w:p>
    <w:p>
      <w:pPr>
        <w:ind w:left="106" w:hanging="106"/>
        <w:spacing w:after="0"/>
        <w:tabs>
          <w:tab w:leader="none" w:pos="10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47" w:lineRule="exact"/>
        <w:rPr>
          <w:rFonts w:ascii="Times New Roman" w:cs="Times New Roman" w:eastAsia="Times New Roman" w:hAnsi="Times New Roman"/>
          <w:sz w:val="17"/>
          <w:szCs w:val="17"/>
          <w:color w:val="auto"/>
        </w:rPr>
      </w:pPr>
    </w:p>
    <w:p>
      <w:pPr>
        <w:ind w:left="106" w:hanging="106"/>
        <w:spacing w:after="0"/>
        <w:tabs>
          <w:tab w:leader="none" w:pos="10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47" w:lineRule="exact"/>
        <w:rPr>
          <w:rFonts w:ascii="Times New Roman" w:cs="Times New Roman" w:eastAsia="Times New Roman" w:hAnsi="Times New Roman"/>
          <w:sz w:val="17"/>
          <w:szCs w:val="17"/>
          <w:color w:val="auto"/>
        </w:rPr>
      </w:pPr>
    </w:p>
    <w:p>
      <w:pPr>
        <w:ind w:left="106" w:hanging="106"/>
        <w:spacing w:after="0"/>
        <w:tabs>
          <w:tab w:leader="none" w:pos="10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47" w:lineRule="exact"/>
        <w:rPr>
          <w:rFonts w:ascii="Times New Roman" w:cs="Times New Roman" w:eastAsia="Times New Roman" w:hAnsi="Times New Roman"/>
          <w:sz w:val="17"/>
          <w:szCs w:val="17"/>
          <w:color w:val="auto"/>
        </w:rPr>
      </w:pPr>
    </w:p>
    <w:p>
      <w:pPr>
        <w:ind w:left="106" w:hanging="106"/>
        <w:spacing w:after="0"/>
        <w:tabs>
          <w:tab w:leader="none" w:pos="10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47" w:lineRule="exact"/>
        <w:rPr>
          <w:rFonts w:ascii="Times New Roman" w:cs="Times New Roman" w:eastAsia="Times New Roman" w:hAnsi="Times New Roman"/>
          <w:sz w:val="17"/>
          <w:szCs w:val="17"/>
          <w:color w:val="auto"/>
        </w:rPr>
      </w:pPr>
    </w:p>
    <w:p>
      <w:pPr>
        <w:ind w:left="106" w:hanging="106"/>
        <w:spacing w:after="0"/>
        <w:tabs>
          <w:tab w:leader="none" w:pos="10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47" w:lineRule="exact"/>
        <w:rPr>
          <w:rFonts w:ascii="Times New Roman" w:cs="Times New Roman" w:eastAsia="Times New Roman" w:hAnsi="Times New Roman"/>
          <w:sz w:val="17"/>
          <w:szCs w:val="17"/>
          <w:color w:val="auto"/>
        </w:rPr>
      </w:pPr>
    </w:p>
    <w:p>
      <w:pPr>
        <w:ind w:left="106" w:hanging="106"/>
        <w:spacing w:after="0"/>
        <w:tabs>
          <w:tab w:leader="none" w:pos="10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47" w:lineRule="exact"/>
        <w:rPr>
          <w:rFonts w:ascii="Times New Roman" w:cs="Times New Roman" w:eastAsia="Times New Roman" w:hAnsi="Times New Roman"/>
          <w:sz w:val="17"/>
          <w:szCs w:val="17"/>
          <w:color w:val="auto"/>
        </w:rPr>
      </w:pPr>
    </w:p>
    <w:p>
      <w:pPr>
        <w:ind w:left="106" w:hanging="106"/>
        <w:spacing w:after="0"/>
        <w:tabs>
          <w:tab w:leader="none" w:pos="10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47" w:lineRule="exact"/>
        <w:rPr>
          <w:rFonts w:ascii="Times New Roman" w:cs="Times New Roman" w:eastAsia="Times New Roman" w:hAnsi="Times New Roman"/>
          <w:sz w:val="17"/>
          <w:szCs w:val="17"/>
          <w:color w:val="auto"/>
        </w:rPr>
      </w:pPr>
    </w:p>
    <w:p>
      <w:pPr>
        <w:ind w:left="106" w:hanging="106"/>
        <w:spacing w:after="0"/>
        <w:tabs>
          <w:tab w:leader="none" w:pos="10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47" w:lineRule="exact"/>
        <w:rPr>
          <w:rFonts w:ascii="Times New Roman" w:cs="Times New Roman" w:eastAsia="Times New Roman" w:hAnsi="Times New Roman"/>
          <w:sz w:val="17"/>
          <w:szCs w:val="17"/>
          <w:color w:val="auto"/>
        </w:rPr>
      </w:pPr>
    </w:p>
    <w:p>
      <w:pPr>
        <w:ind w:left="106" w:hanging="106"/>
        <w:spacing w:after="0"/>
        <w:tabs>
          <w:tab w:leader="none" w:pos="10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47" w:lineRule="exact"/>
        <w:rPr>
          <w:rFonts w:ascii="Times New Roman" w:cs="Times New Roman" w:eastAsia="Times New Roman" w:hAnsi="Times New Roman"/>
          <w:sz w:val="17"/>
          <w:szCs w:val="17"/>
          <w:color w:val="auto"/>
        </w:rPr>
      </w:pPr>
    </w:p>
    <w:p>
      <w:pPr>
        <w:ind w:left="106" w:hanging="106"/>
        <w:spacing w:after="0"/>
        <w:tabs>
          <w:tab w:leader="none" w:pos="10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47" w:lineRule="exact"/>
        <w:rPr>
          <w:rFonts w:ascii="Times New Roman" w:cs="Times New Roman" w:eastAsia="Times New Roman" w:hAnsi="Times New Roman"/>
          <w:sz w:val="17"/>
          <w:szCs w:val="17"/>
          <w:color w:val="auto"/>
        </w:rPr>
      </w:pPr>
    </w:p>
    <w:p>
      <w:pPr>
        <w:ind w:left="106" w:hanging="106"/>
        <w:spacing w:after="0"/>
        <w:tabs>
          <w:tab w:leader="none" w:pos="10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32"/>
          <w:szCs w:val="32"/>
          <w:u w:val="single" w:color="auto"/>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perscript"/>
        </w:rPr>
        <w:t>)</w:t>
      </w:r>
    </w:p>
    <w:p>
      <w:pPr>
        <w:spacing w:after="0" w:line="200" w:lineRule="exact"/>
        <w:rPr>
          <w:sz w:val="20"/>
          <w:szCs w:val="20"/>
          <w:color w:val="auto"/>
        </w:rPr>
      </w:pPr>
    </w:p>
    <w:p>
      <w:pPr>
        <w:sectPr>
          <w:pgSz w:w="11900" w:h="16838" w:orient="portrait"/>
          <w:cols w:equalWidth="0" w:num="2">
            <w:col w:w="7974" w:space="720"/>
            <w:col w:w="1185"/>
          </w:cols>
          <w:pgMar w:left="580" w:top="97" w:right="1440" w:bottom="1440" w:gutter="0" w:footer="0" w:header="0"/>
          <w:type w:val="continuous"/>
        </w:sectPr>
      </w:pPr>
    </w:p>
    <w:p>
      <w:pPr>
        <w:spacing w:after="0" w:line="106" w:lineRule="exact"/>
        <w:rPr>
          <w:sz w:val="20"/>
          <w:szCs w:val="20"/>
          <w:color w:val="auto"/>
        </w:rPr>
      </w:pPr>
    </w:p>
    <w:p>
      <w:pPr>
        <w:ind w:left="1620" w:right="659" w:hanging="360"/>
        <w:spacing w:after="0" w:line="282" w:lineRule="auto"/>
        <w:tabs>
          <w:tab w:leader="none" w:pos="16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Rules 456(b) and 457(r) under the Securities Act of 1933, as amended, the SEC registration fee will be paid at the time of any particular offering of securities under the registration statement, and is therefore not currently determinable.</w:t>
      </w:r>
    </w:p>
    <w:p>
      <w:pPr>
        <w:spacing w:after="0" w:line="26" w:lineRule="exact"/>
        <w:rPr>
          <w:rFonts w:ascii="Times New Roman" w:cs="Times New Roman" w:eastAsia="Times New Roman" w:hAnsi="Times New Roman"/>
          <w:sz w:val="14"/>
          <w:szCs w:val="14"/>
          <w:color w:val="auto"/>
        </w:rPr>
      </w:pPr>
    </w:p>
    <w:p>
      <w:pPr>
        <w:ind w:left="1620" w:right="479" w:hanging="360"/>
        <w:spacing w:after="0" w:line="261" w:lineRule="auto"/>
        <w:tabs>
          <w:tab w:leader="none" w:pos="16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3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Indemnification of Directors and Officers</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Article 40 of the Articles, adopted by Special Resolution on December 18, 2020 and filed as Exhibit 1 to the Company’s Form 6-K filed on December 30, 2020, provides that the Company may, from time to time and at its discretion, indemnify every director or other officer for any loss, cost, expense or liability incurred in connection with any negligence, default, breach of duty or breach of trust by such person in relation to the Company or such person’s execution of Company duties. This provision also allows the Company to indemnify a director or officer for any liability incurred as the result of defending any actual or threatened criminal, regulatory, or civil proceeding (except, however, that indemnity shall not apply if liability is incurred).</w:t>
      </w:r>
    </w:p>
    <w:p>
      <w:pPr>
        <w:spacing w:after="0" w:line="337"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the case of current or former members of the registrant’s board of directors, there shall be no entitlement to reimbursement as referred to above for (i) any liability incurred to the registrant or any associated company, (ii) the payment of a fine imposed in any criminal proceeding or a penalty imposed by a regulatory authority for non-compliance with any requirement of a regulatory nature, (iii) the defense of any criminal proceeding if the member of the registrant’s board of directors is convicted, (iv) the defense of any civil proceeding brought by the registrant or an associated company in which judgment is given against the director, and (v) any application for relief under the statutes of the United Kingdom and any other statutes that concern and affect the registrant as a company in which the court refuses to grant relief to the director.</w:t>
      </w:r>
    </w:p>
    <w:p>
      <w:pPr>
        <w:spacing w:after="0" w:line="327"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In addition, members of the registrant’s board of directors and its officers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11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registrant has also entered into indemnification agreements with each member of its board of directors and its executive officers. These indemnification agreements require the registrant, among other things, to indemnify its directors and executive officers with respect to any claims, actions and proceedings,</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50" w:lineRule="auto"/>
        <w:rPr>
          <w:sz w:val="20"/>
          <w:szCs w:val="20"/>
          <w:color w:val="auto"/>
        </w:rPr>
      </w:pPr>
      <w:r>
        <w:rPr>
          <w:rFonts w:ascii="Times New Roman" w:cs="Times New Roman" w:eastAsia="Times New Roman" w:hAnsi="Times New Roman"/>
          <w:sz w:val="18"/>
          <w:szCs w:val="18"/>
          <w:color w:val="auto"/>
        </w:rPr>
        <w:t>whether civil, criminal or regulatory, or, collectively the Claims, and any losses, damages, penalties, liabilities, compensation or other awards arising in connection with an such Claims, arising out of, or in connection with, his or her service as a director or executive officer, subject to certain limitations. The registrant also maintains liability insurance for its directors and executive officers.</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Item 16.</w:t>
            </w:r>
          </w:p>
        </w:tc>
        <w:tc>
          <w:tcPr>
            <w:tcW w:w="30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​NUMBER ​ ​</w:t>
            </w: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w:t>
            </w:r>
          </w:p>
        </w:tc>
        <w:tc>
          <w:tcPr>
            <w:tcW w:w="2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2"/>
        </w:trPr>
        <w:tc>
          <w:tcPr>
            <w:tcW w:w="1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ind w:left="80"/>
              <w:spacing w:after="0" w:line="182" w:lineRule="exact"/>
              <w:rPr>
                <w:sz w:val="20"/>
                <w:szCs w:val="20"/>
                <w:color w:val="auto"/>
              </w:rPr>
            </w:pPr>
            <w:r>
              <w:rPr>
                <w:rFonts w:ascii="Times New Roman" w:cs="Times New Roman" w:eastAsia="Times New Roman" w:hAnsi="Times New Roman"/>
                <w:sz w:val="17"/>
                <w:szCs w:val="17"/>
                <w:color w:val="auto"/>
              </w:rPr>
              <w:t>1.1*</w:t>
            </w:r>
          </w:p>
        </w:tc>
        <w:tc>
          <w:tcPr>
            <w:tcW w:w="160" w:type="dxa"/>
            <w:vAlign w:val="bottom"/>
            <w:vMerge w:val="continue"/>
          </w:tcPr>
          <w:p>
            <w:pPr>
              <w:spacing w:after="0"/>
              <w:rPr>
                <w:sz w:val="15"/>
                <w:szCs w:val="15"/>
                <w:color w:val="auto"/>
              </w:rPr>
            </w:pPr>
          </w:p>
        </w:tc>
        <w:tc>
          <w:tcPr>
            <w:tcW w:w="284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auto"/>
              </w:rPr>
              <w:t>Form of Underwriting Agreement.</w:t>
            </w:r>
          </w:p>
        </w:tc>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540" w:type="dxa"/>
            <w:vAlign w:val="bottom"/>
            <w:vMerge w:val="restart"/>
          </w:tcPr>
          <w:p>
            <w:pPr>
              <w:ind w:left="80"/>
              <w:spacing w:after="0" w:line="189" w:lineRule="exact"/>
              <w:rPr>
                <w:sz w:val="20"/>
                <w:szCs w:val="20"/>
                <w:color w:val="auto"/>
              </w:rPr>
            </w:pPr>
            <w:r>
              <w:rPr>
                <w:rFonts w:ascii="Times New Roman" w:cs="Times New Roman" w:eastAsia="Times New Roman" w:hAnsi="Times New Roman"/>
                <w:sz w:val="17"/>
                <w:szCs w:val="17"/>
                <w:color w:val="auto"/>
              </w:rPr>
              <w:t>1.2</w:t>
            </w:r>
          </w:p>
        </w:tc>
        <w:tc>
          <w:tcPr>
            <w:tcW w:w="230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color w:val="0000EE"/>
              </w:rPr>
              <w:t>Open Market Sale Agreement</w:t>
            </w:r>
          </w:p>
        </w:tc>
        <w:tc>
          <w:tcPr>
            <w:tcW w:w="160" w:type="dxa"/>
            <w:vAlign w:val="bottom"/>
            <w:tcBorders>
              <w:bottom w:val="single" w:sz="8" w:color="0000EE"/>
            </w:tcBorders>
          </w:tcPr>
          <w:p>
            <w:pPr>
              <w:spacing w:after="0" w:line="102" w:lineRule="exact"/>
              <w:rPr>
                <w:sz w:val="20"/>
                <w:szCs w:val="20"/>
                <w:color w:val="auto"/>
              </w:rPr>
            </w:pPr>
            <w:r>
              <w:rPr>
                <w:rFonts w:ascii="Times New Roman" w:cs="Times New Roman" w:eastAsia="Times New Roman" w:hAnsi="Times New Roman"/>
                <w:sz w:val="11"/>
                <w:szCs w:val="11"/>
                <w:color w:val="0000EE"/>
                <w:w w:val="87"/>
              </w:rPr>
              <w:t>SM</w:t>
            </w:r>
          </w:p>
        </w:tc>
        <w:tc>
          <w:tcPr>
            <w:tcW w:w="5160" w:type="dxa"/>
            <w:vAlign w:val="bottom"/>
            <w:gridSpan w:val="4"/>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0000EE"/>
              </w:rPr>
              <w:t xml:space="preserve">, dated as of March 19, 2021, between Verona Pharma plc and Jefferies </w:t>
            </w:r>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48"/>
        </w:trPr>
        <w:tc>
          <w:tcPr>
            <w:tcW w:w="10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1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ectPr>
          <w:pgSz w:w="11900" w:h="16838" w:orient="portrait"/>
          <w:cols w:equalWidth="0" w:num="1">
            <w:col w:w="9879"/>
          </w:cols>
          <w:pgMar w:left="580" w:top="97" w:right="1440" w:bottom="1440" w:gutter="0" w:footer="0" w:header="0"/>
        </w:sectPr>
      </w:pPr>
    </w:p>
    <w:p>
      <w:pPr>
        <w:ind w:left="2060"/>
        <w:spacing w:after="0"/>
        <w:rPr>
          <w:sz w:val="20"/>
          <w:szCs w:val="20"/>
          <w:color w:val="auto"/>
        </w:rPr>
      </w:pPr>
      <w:r>
        <w:rPr>
          <w:rFonts w:ascii="Times New Roman" w:cs="Times New Roman" w:eastAsia="Times New Roman" w:hAnsi="Times New Roman"/>
          <w:sz w:val="17"/>
          <w:szCs w:val="17"/>
          <w:u w:val="single" w:color="auto"/>
          <w:color w:val="0000EE"/>
        </w:rPr>
        <w:t>LLC, and as amended.</w:t>
      </w:r>
    </w:p>
    <w:p>
      <w:pPr>
        <w:spacing w:after="0" w:line="27" w:lineRule="exact"/>
        <w:rPr>
          <w:sz w:val="20"/>
          <w:szCs w:val="20"/>
          <w:color w:val="auto"/>
        </w:rPr>
      </w:pPr>
    </w:p>
    <w:p>
      <w:pPr>
        <w:ind w:left="2060" w:hanging="800"/>
        <w:spacing w:after="0" w:line="265" w:lineRule="auto"/>
        <w:tabs>
          <w:tab w:leader="none" w:pos="1434" w:val="left"/>
        </w:tabs>
        <w:numPr>
          <w:ilvl w:val="0"/>
          <w:numId w:val="44"/>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xml:space="preserve">3.1 ​ ​ </w:t>
      </w:r>
      <w:hyperlink r:id="rId137">
        <w:r>
          <w:rPr>
            <w:rFonts w:ascii="Times New Roman" w:cs="Times New Roman" w:eastAsia="Times New Roman" w:hAnsi="Times New Roman"/>
            <w:sz w:val="17"/>
            <w:szCs w:val="17"/>
            <w:u w:val="single" w:color="auto"/>
            <w:color w:val="0000EE"/>
          </w:rPr>
          <w:t>Articles of Association of Verona Pharma plc, as amended (incorporated by reference to Exhibit 1 to</w:t>
        </w:r>
      </w:hyperlink>
      <w:r>
        <w:rPr>
          <w:rFonts w:ascii="Times New Roman" w:cs="Times New Roman" w:eastAsia="Times New Roman" w:hAnsi="Times New Roman"/>
          <w:sz w:val="17"/>
          <w:szCs w:val="17"/>
          <w:color w:val="auto"/>
        </w:rPr>
        <w:t xml:space="preserve"> </w:t>
      </w:r>
      <w:hyperlink r:id="rId137">
        <w:r>
          <w:rPr>
            <w:rFonts w:ascii="Times New Roman" w:cs="Times New Roman" w:eastAsia="Times New Roman" w:hAnsi="Times New Roman"/>
            <w:sz w:val="17"/>
            <w:szCs w:val="17"/>
            <w:u w:val="single" w:color="auto"/>
            <w:color w:val="0000EE"/>
          </w:rPr>
          <w:t>the Company’s Report on Form 6-K filed on December 30, 2020 (File No. 001-38067)).</w:t>
        </w:r>
      </w:hyperlink>
    </w:p>
    <w:p>
      <w:pPr>
        <w:ind w:left="2060" w:right="100" w:hanging="800"/>
        <w:spacing w:after="0" w:line="257" w:lineRule="auto"/>
        <w:tabs>
          <w:tab w:leader="none" w:pos="1434" w:val="left"/>
        </w:tabs>
        <w:numPr>
          <w:ilvl w:val="0"/>
          <w:numId w:val="44"/>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4.1 ​ ​ </w:t>
      </w:r>
      <w:hyperlink r:id="rId138">
        <w:r>
          <w:rPr>
            <w:rFonts w:ascii="Times New Roman" w:cs="Times New Roman" w:eastAsia="Times New Roman" w:hAnsi="Times New Roman"/>
            <w:sz w:val="17"/>
            <w:szCs w:val="17"/>
            <w:u w:val="single" w:color="auto"/>
            <w:color w:val="0000EE"/>
          </w:rPr>
          <w:t>Deposit Agreement, dated as of May 2, 2017, by and among Verona Pharma plc, Citibank N.A., as</w:t>
        </w:r>
      </w:hyperlink>
      <w:r>
        <w:rPr>
          <w:rFonts w:ascii="Times New Roman" w:cs="Times New Roman" w:eastAsia="Times New Roman" w:hAnsi="Times New Roman"/>
          <w:sz w:val="17"/>
          <w:szCs w:val="17"/>
          <w:color w:val="auto"/>
        </w:rPr>
        <w:t xml:space="preserve"> </w:t>
      </w:r>
      <w:hyperlink r:id="rId138">
        <w:r>
          <w:rPr>
            <w:rFonts w:ascii="Times New Roman" w:cs="Times New Roman" w:eastAsia="Times New Roman" w:hAnsi="Times New Roman"/>
            <w:sz w:val="17"/>
            <w:szCs w:val="17"/>
            <w:u w:val="single" w:color="auto"/>
            <w:color w:val="0000EE"/>
          </w:rPr>
          <w:t>depositary, and all holders and beneficial owners of American Depositary Shares issued thereunder</w:t>
        </w:r>
      </w:hyperlink>
      <w:r>
        <w:rPr>
          <w:rFonts w:ascii="Times New Roman" w:cs="Times New Roman" w:eastAsia="Times New Roman" w:hAnsi="Times New Roman"/>
          <w:sz w:val="17"/>
          <w:szCs w:val="17"/>
          <w:u w:val="single" w:color="auto"/>
          <w:color w:val="0000EE"/>
        </w:rPr>
        <w:t xml:space="preserve"> </w:t>
      </w:r>
      <w:hyperlink r:id="rId138">
        <w:r>
          <w:rPr>
            <w:rFonts w:ascii="Times New Roman" w:cs="Times New Roman" w:eastAsia="Times New Roman" w:hAnsi="Times New Roman"/>
            <w:sz w:val="17"/>
            <w:szCs w:val="17"/>
            <w:u w:val="single" w:color="auto"/>
            <w:color w:val="0000EE"/>
          </w:rPr>
          <w:t>(incorporated by reference to Exhibit 2.1 to the Company’s Annual Report on Form 20-F filed on</w:t>
        </w:r>
      </w:hyperlink>
      <w:r>
        <w:rPr>
          <w:rFonts w:ascii="Times New Roman" w:cs="Times New Roman" w:eastAsia="Times New Roman" w:hAnsi="Times New Roman"/>
          <w:sz w:val="17"/>
          <w:szCs w:val="17"/>
          <w:u w:val="single" w:color="auto"/>
          <w:color w:val="0000EE"/>
        </w:rPr>
        <w:t xml:space="preserve"> </w:t>
      </w:r>
      <w:hyperlink r:id="rId138">
        <w:r>
          <w:rPr>
            <w:rFonts w:ascii="Times New Roman" w:cs="Times New Roman" w:eastAsia="Times New Roman" w:hAnsi="Times New Roman"/>
            <w:sz w:val="17"/>
            <w:szCs w:val="17"/>
            <w:color w:val="0000EE"/>
          </w:rPr>
          <w:t>February 27, 2018 (File No. 001-38067)).</w:t>
        </w:r>
      </w:hyperlink>
    </w:p>
    <w:p>
      <w:pPr>
        <w:spacing w:after="0" w:line="8" w:lineRule="exact"/>
        <w:rPr>
          <w:rFonts w:ascii="Times New Roman" w:cs="Times New Roman" w:eastAsia="Times New Roman" w:hAnsi="Times New Roman"/>
          <w:sz w:val="17"/>
          <w:szCs w:val="17"/>
          <w:u w:val="single" w:color="auto"/>
          <w:color w:val="0000EE"/>
        </w:rPr>
      </w:pPr>
    </w:p>
    <w:tbl>
      <w:tblPr>
        <w:tblLayout w:type="fixed"/>
        <w:tblInd w:w="1260" w:type="dxa"/>
        <w:tblCellMar>
          <w:top w:w="0" w:type="dxa"/>
          <w:left w:w="0" w:type="dxa"/>
          <w:bottom w:w="0" w:type="dxa"/>
          <w:right w:w="0" w:type="dxa"/>
        </w:tblCellMar>
      </w:tblP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0"/>
        </w:trPr>
        <w:tc>
          <w:tcPr>
            <w:tcW w:w="1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75"/>
              <w:spacing w:after="0" w:line="189" w:lineRule="exact"/>
              <w:rPr>
                <w:sz w:val="20"/>
                <w:szCs w:val="20"/>
                <w:color w:val="auto"/>
              </w:rPr>
            </w:pPr>
            <w:r>
              <w:rPr>
                <w:rFonts w:ascii="Times New Roman" w:cs="Times New Roman" w:eastAsia="Times New Roman" w:hAnsi="Times New Roman"/>
                <w:sz w:val="17"/>
                <w:szCs w:val="17"/>
                <w:color w:val="auto"/>
              </w:rPr>
              <w:t>4.2</w:t>
            </w:r>
          </w:p>
        </w:tc>
        <w:tc>
          <w:tcPr>
            <w:tcW w:w="7440" w:type="dxa"/>
            <w:vAlign w:val="bottom"/>
            <w:gridSpan w:val="10"/>
          </w:tcPr>
          <w:p>
            <w:pPr>
              <w:ind w:left="80"/>
              <w:spacing w:after="0" w:line="190" w:lineRule="exact"/>
              <w:rPr>
                <w:rFonts w:ascii="Times New Roman" w:cs="Times New Roman" w:eastAsia="Times New Roman" w:hAnsi="Times New Roman"/>
                <w:sz w:val="13"/>
                <w:szCs w:val="13"/>
                <w:color w:val="0000EE"/>
              </w:rPr>
            </w:pPr>
            <w:hyperlink r:id="rId138"/>
            <w:r>
              <w:rPr>
                <w:rFonts w:ascii="Times New Roman" w:cs="Times New Roman" w:eastAsia="Times New Roman" w:hAnsi="Times New Roman"/>
                <w:sz w:val="21"/>
                <w:szCs w:val="21"/>
                <w:color w:val="000000"/>
                <w:vertAlign w:val="superscript"/>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21"/>
                <w:szCs w:val="21"/>
                <w:color w:val="000000"/>
                <w:vertAlign w:val="superscript"/>
              </w:rPr>
              <w:t>​</w:t>
            </w:r>
            <w:r>
              <w:rPr>
                <w:rFonts w:ascii="Times New Roman" w:cs="Times New Roman" w:eastAsia="Times New Roman" w:hAnsi="Times New Roman"/>
                <w:sz w:val="13"/>
                <w:szCs w:val="13"/>
                <w:color w:val="0000EE"/>
              </w:rPr>
              <w:t xml:space="preserve"> </w:t>
            </w:r>
            <w:hyperlink r:id="rId138">
              <w:r>
                <w:rPr>
                  <w:rFonts w:ascii="Times New Roman" w:cs="Times New Roman" w:eastAsia="Times New Roman" w:hAnsi="Times New Roman"/>
                  <w:sz w:val="13"/>
                  <w:szCs w:val="13"/>
                  <w:color w:val="0000EE"/>
                </w:rPr>
                <w:t>Form of American Depositary Receipt (included in Exhibit 4.1).</w:t>
              </w:r>
            </w:hyperlink>
          </w:p>
        </w:tc>
      </w:tr>
      <w:tr>
        <w:trPr>
          <w:trHeight w:val="196"/>
        </w:trPr>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4.4</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46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Form of Indenture.</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88"/>
        </w:trPr>
        <w:tc>
          <w:tcPr>
            <w:tcW w:w="10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4.5*</w:t>
            </w:r>
          </w:p>
        </w:tc>
        <w:tc>
          <w:tcPr>
            <w:tcW w:w="240" w:type="dxa"/>
            <w:vAlign w:val="bottom"/>
          </w:tcPr>
          <w:p>
            <w:pPr>
              <w:ind w:left="80"/>
              <w:spacing w:after="0" w:line="188" w:lineRule="exact"/>
              <w:rPr>
                <w:sz w:val="20"/>
                <w:szCs w:val="20"/>
                <w:color w:val="auto"/>
              </w:rPr>
            </w:pPr>
            <w:r>
              <w:rPr>
                <w:rFonts w:ascii="Times New Roman" w:cs="Times New Roman" w:eastAsia="Times New Roman" w:hAnsi="Times New Roman"/>
                <w:sz w:val="17"/>
                <w:szCs w:val="17"/>
                <w:color w:val="auto"/>
              </w:rPr>
              <w:t>​ ​</w:t>
            </w:r>
          </w:p>
        </w:tc>
        <w:tc>
          <w:tcPr>
            <w:tcW w:w="1360" w:type="dxa"/>
            <w:vAlign w:val="bottom"/>
            <w:tcBorders>
              <w:top w:val="single" w:sz="8" w:color="0000EE"/>
            </w:tcBorders>
          </w:tcPr>
          <w:p>
            <w:pPr>
              <w:spacing w:after="0" w:line="188" w:lineRule="exact"/>
              <w:rPr>
                <w:sz w:val="20"/>
                <w:szCs w:val="20"/>
                <w:color w:val="auto"/>
              </w:rPr>
            </w:pPr>
            <w:r>
              <w:rPr>
                <w:rFonts w:ascii="Times New Roman" w:cs="Times New Roman" w:eastAsia="Times New Roman" w:hAnsi="Times New Roman"/>
                <w:sz w:val="17"/>
                <w:szCs w:val="17"/>
                <w:color w:val="auto"/>
              </w:rPr>
              <w:t>Form of Note.</w:t>
            </w:r>
          </w:p>
        </w:tc>
        <w:tc>
          <w:tcPr>
            <w:tcW w:w="3800" w:type="dxa"/>
            <w:vAlign w:val="bottom"/>
            <w:gridSpan w:val="3"/>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7440" w:type="dxa"/>
            <w:vAlign w:val="bottom"/>
            <w:gridSpan w:val="10"/>
          </w:tcPr>
          <w:p>
            <w:pPr>
              <w:ind w:left="80"/>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 xml:space="preserve"> Form of Warrant.</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7440" w:type="dxa"/>
            <w:vAlign w:val="bottom"/>
            <w:gridSpan w:val="10"/>
          </w:tcPr>
          <w:p>
            <w:pPr>
              <w:ind w:left="80"/>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 xml:space="preserve"> Form of Warrant Agreement.</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7440" w:type="dxa"/>
            <w:vAlign w:val="bottom"/>
            <w:gridSpan w:val="10"/>
          </w:tcPr>
          <w:p>
            <w:pPr>
              <w:ind w:left="80"/>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 xml:space="preserve"> Form of Unit Agreement.</w:t>
            </w:r>
          </w:p>
        </w:tc>
      </w:tr>
      <w:tr>
        <w:trPr>
          <w:trHeight w:val="224"/>
        </w:trPr>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5.1</w:t>
            </w:r>
          </w:p>
        </w:tc>
        <w:tc>
          <w:tcPr>
            <w:tcW w:w="7440" w:type="dxa"/>
            <w:vAlign w:val="bottom"/>
            <w:gridSpan w:val="10"/>
          </w:tcPr>
          <w:p>
            <w:pPr>
              <w:ind w:left="80"/>
              <w:spacing w:after="0" w:line="225" w:lineRule="exact"/>
              <w:rPr>
                <w:sz w:val="20"/>
                <w:szCs w:val="20"/>
                <w:color w:val="auto"/>
              </w:rPr>
            </w:pPr>
            <w:r>
              <w:rPr>
                <w:rFonts w:ascii="Times New Roman" w:cs="Times New Roman" w:eastAsia="Times New Roman" w:hAnsi="Times New Roman"/>
                <w:sz w:val="26"/>
                <w:szCs w:val="26"/>
                <w:color w:val="000000"/>
                <w:vertAlign w:val="superscript"/>
              </w:rPr>
              <w:t>​ ​</w:t>
            </w:r>
            <w:r>
              <w:rPr>
                <w:rFonts w:ascii="Times New Roman" w:cs="Times New Roman" w:eastAsia="Times New Roman" w:hAnsi="Times New Roman"/>
                <w:sz w:val="14"/>
                <w:szCs w:val="14"/>
                <w:color w:val="0000EE"/>
              </w:rPr>
              <w:t xml:space="preserve"> Opinion of Latham &amp; Watkins LLP, English counsel to Verona Pharma plc.</w:t>
            </w:r>
          </w:p>
        </w:tc>
      </w:tr>
      <w:tr>
        <w:trPr>
          <w:trHeight w:val="196"/>
        </w:trPr>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5.2</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53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Opinion of Latham &amp; Watkins LLP, U.S. counsel to Verona Pharma plc.</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560" w:type="dxa"/>
            <w:vAlign w:val="bottom"/>
            <w:gridSpan w:val="2"/>
          </w:tcPr>
          <w:p>
            <w:pPr>
              <w:jc w:val="right"/>
              <w:ind w:right="75"/>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 xml:space="preserve"> 23.1</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51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Consent of Latham &amp; Watkins LLP, English counsel to Verona Pharma</w:t>
            </w:r>
          </w:p>
        </w:tc>
        <w:tc>
          <w:tcPr>
            <w:tcW w:w="20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plc (included in Exhibit 5.1).</w:t>
            </w:r>
          </w:p>
        </w:tc>
      </w:tr>
      <w:tr>
        <w:trPr>
          <w:trHeight w:val="196"/>
        </w:trPr>
        <w:tc>
          <w:tcPr>
            <w:tcW w:w="560" w:type="dxa"/>
            <w:vAlign w:val="bottom"/>
            <w:gridSpan w:val="2"/>
          </w:tcPr>
          <w:p>
            <w:pPr>
              <w:jc w:val="right"/>
              <w:ind w:right="75"/>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 xml:space="preserve"> 23.2</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720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Consent of Latham &amp; Watkins LLP, U.S. counsel to Verona Pharma plc (included in Exhibit 5.2).</w:t>
            </w:r>
          </w:p>
        </w:tc>
      </w:tr>
      <w:tr>
        <w:trPr>
          <w:trHeight w:val="196"/>
        </w:trPr>
        <w:tc>
          <w:tcPr>
            <w:tcW w:w="560" w:type="dxa"/>
            <w:vAlign w:val="bottom"/>
            <w:gridSpan w:val="2"/>
          </w:tcPr>
          <w:p>
            <w:pPr>
              <w:jc w:val="right"/>
              <w:ind w:right="75"/>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 xml:space="preserve"> 23.3</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9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Consent of PricewaterhouseCoopers LLP, independent registered public accounting firm.</w:t>
            </w:r>
          </w:p>
        </w:tc>
        <w:tc>
          <w:tcPr>
            <w:tcW w:w="240" w:type="dxa"/>
            <w:vAlign w:val="bottom"/>
          </w:tcPr>
          <w:p>
            <w:pPr>
              <w:spacing w:after="0"/>
              <w:rPr>
                <w:sz w:val="17"/>
                <w:szCs w:val="17"/>
                <w:color w:val="auto"/>
              </w:rPr>
            </w:pPr>
          </w:p>
        </w:tc>
      </w:tr>
      <w:tr>
        <w:trPr>
          <w:trHeight w:val="196"/>
        </w:trPr>
        <w:tc>
          <w:tcPr>
            <w:tcW w:w="560" w:type="dxa"/>
            <w:vAlign w:val="bottom"/>
            <w:gridSpan w:val="2"/>
          </w:tcPr>
          <w:p>
            <w:pPr>
              <w:jc w:val="right"/>
              <w:ind w:right="75"/>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 xml:space="preserve"> 24.1</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54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Powers of Attorney (incorporated by reference to the signature page hereto).</w:t>
            </w:r>
          </w:p>
        </w:tc>
        <w:tc>
          <w:tcPr>
            <w:tcW w:w="900" w:type="dxa"/>
            <w:vAlign w:val="bottom"/>
            <w:tcBorders>
              <w:top w:val="single" w:sz="8" w:color="0000EE"/>
            </w:tcBorders>
          </w:tcPr>
          <w:p>
            <w:pPr>
              <w:spacing w:after="0"/>
              <w:rPr>
                <w:sz w:val="17"/>
                <w:szCs w:val="17"/>
                <w:color w:val="auto"/>
              </w:rPr>
            </w:pPr>
          </w:p>
        </w:tc>
        <w:tc>
          <w:tcPr>
            <w:tcW w:w="820" w:type="dxa"/>
            <w:vAlign w:val="bottom"/>
            <w:gridSpan w:val="2"/>
          </w:tcPr>
          <w:p>
            <w:pPr>
              <w:spacing w:after="0"/>
              <w:rPr>
                <w:sz w:val="17"/>
                <w:szCs w:val="17"/>
                <w:color w:val="auto"/>
              </w:rPr>
            </w:pPr>
          </w:p>
        </w:tc>
      </w:tr>
    </w:tbl>
    <w:p>
      <w:pPr>
        <w:spacing w:after="0" w:line="5" w:lineRule="exact"/>
        <w:rPr>
          <w:sz w:val="20"/>
          <w:szCs w:val="20"/>
          <w:color w:val="auto"/>
        </w:rPr>
      </w:pPr>
    </w:p>
    <w:p>
      <w:pPr>
        <w:ind w:left="2060" w:right="260" w:hanging="800"/>
        <w:spacing w:after="0" w:line="259" w:lineRule="auto"/>
        <w:tabs>
          <w:tab w:leader="none" w:pos="134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25.1** ​ ​ Statement of Eligibility on Form T-1 under the Trust Indenture Act of 1939, as amended, of Debt Trustee (to be filed prior to any issuance of Debt Securities).</w:t>
      </w:r>
    </w:p>
    <w:tbl>
      <w:tblPr>
        <w:tblLayout w:type="fixed"/>
        <w:tblInd w:w="1260" w:type="dxa"/>
        <w:tblCellMar>
          <w:top w:w="0" w:type="dxa"/>
          <w:left w:w="0" w:type="dxa"/>
          <w:bottom w:w="0" w:type="dxa"/>
          <w:right w:w="0" w:type="dxa"/>
        </w:tblCellMar>
      </w:tblPr>
      <w:tr>
        <w:trPr>
          <w:trHeight w:val="153"/>
        </w:trPr>
        <w:tc>
          <w:tcPr>
            <w:tcW w:w="44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ind w:left="200"/>
              <w:spacing w:after="0" w:line="154" w:lineRule="exact"/>
              <w:rPr>
                <w:sz w:val="20"/>
                <w:szCs w:val="20"/>
                <w:color w:val="auto"/>
              </w:rPr>
            </w:pPr>
            <w:r>
              <w:rPr>
                <w:rFonts w:ascii="Times New Roman" w:cs="Times New Roman" w:eastAsia="Times New Roman" w:hAnsi="Times New Roman"/>
                <w:sz w:val="17"/>
                <w:szCs w:val="17"/>
                <w:color w:val="auto"/>
              </w:rPr>
              <w:t>​ ​</w:t>
            </w: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EE"/>
              </w:rPr>
              <w:t>Filing Fee Table.</w:t>
            </w:r>
          </w:p>
        </w:tc>
        <w:tc>
          <w:tcPr>
            <w:tcW w:w="0" w:type="dxa"/>
            <w:vAlign w:val="bottom"/>
          </w:tcPr>
          <w:p>
            <w:pPr>
              <w:spacing w:after="0"/>
              <w:rPr>
                <w:sz w:val="1"/>
                <w:szCs w:val="1"/>
                <w:color w:val="auto"/>
              </w:rPr>
            </w:pPr>
          </w:p>
        </w:tc>
      </w:tr>
      <w:tr>
        <w:trPr>
          <w:trHeight w:val="59"/>
        </w:trPr>
        <w:tc>
          <w:tcPr>
            <w:tcW w:w="4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107</w:t>
            </w:r>
          </w:p>
        </w:tc>
        <w:tc>
          <w:tcPr>
            <w:tcW w:w="360" w:type="dxa"/>
            <w:vAlign w:val="bottom"/>
          </w:tcPr>
          <w:p>
            <w:pPr>
              <w:spacing w:after="0"/>
              <w:rPr>
                <w:sz w:val="4"/>
                <w:szCs w:val="4"/>
                <w:color w:val="auto"/>
              </w:rPr>
            </w:pPr>
          </w:p>
        </w:tc>
        <w:tc>
          <w:tcPr>
            <w:tcW w:w="1220" w:type="dxa"/>
            <w:vAlign w:val="bottom"/>
            <w:tcBorders>
              <w:bottom w:val="single" w:sz="8" w:color="0000EE"/>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196850</wp:posOffset>
            </wp:positionV>
            <wp:extent cx="12344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42" w:lineRule="exact"/>
        <w:rPr>
          <w:sz w:val="20"/>
          <w:szCs w:val="20"/>
          <w:color w:val="auto"/>
        </w:rPr>
      </w:pPr>
    </w:p>
    <w:p>
      <w:pPr>
        <w:sectPr>
          <w:pgSz w:w="11900" w:h="16838" w:orient="portrait"/>
          <w:cols w:equalWidth="0" w:num="2">
            <w:col w:w="9260" w:space="200"/>
            <w:col w:w="419"/>
          </w:cols>
          <w:pgMar w:left="580" w:top="97" w:right="1440" w:bottom="1440" w:gutter="0" w:footer="0" w:header="0"/>
          <w:type w:val="continuous"/>
        </w:sectPr>
      </w:pPr>
    </w:p>
    <w:p>
      <w:pPr>
        <w:spacing w:after="0" w:line="250" w:lineRule="exact"/>
        <w:rPr>
          <w:sz w:val="20"/>
          <w:szCs w:val="20"/>
          <w:color w:val="auto"/>
        </w:rPr>
      </w:pPr>
    </w:p>
    <w:p>
      <w:pPr>
        <w:jc w:val="both"/>
        <w:ind w:left="1260" w:right="1959"/>
        <w:spacing w:after="0" w:line="382" w:lineRule="auto"/>
        <w:tabs>
          <w:tab w:leader="none" w:pos="16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incorporated by reference in connection with the offering of the securities. ** To be filed in accordance with the requirements of Section 305(b)(2) of the Trust Indenture Act of 1939.</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i w:val="1"/>
          <w:iCs w:val="1"/>
          <w:color w:val="auto"/>
        </w:rPr>
        <w:t>Undertakings</w:t>
      </w:r>
    </w:p>
    <w:p>
      <w:pPr>
        <w:spacing w:after="0" w:line="148" w:lineRule="exact"/>
        <w:rPr>
          <w:sz w:val="20"/>
          <w:szCs w:val="20"/>
          <w:color w:val="auto"/>
        </w:rPr>
      </w:pPr>
    </w:p>
    <w:p>
      <w:pPr>
        <w:ind w:left="1980" w:hanging="360"/>
        <w:spacing w:after="0"/>
        <w:tabs>
          <w:tab w:leader="none" w:pos="1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620" w:right="1339" w:firstLine="360"/>
        <w:spacing w:after="0" w:line="266" w:lineRule="auto"/>
        <w:tabs>
          <w:tab w:leader="none" w:pos="234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660" w:hanging="320"/>
        <w:spacing w:after="0"/>
        <w:tabs>
          <w:tab w:leader="none" w:pos="26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57" w:lineRule="exact"/>
        <w:rPr>
          <w:rFonts w:ascii="Times New Roman" w:cs="Times New Roman" w:eastAsia="Times New Roman" w:hAnsi="Times New Roman"/>
          <w:sz w:val="18"/>
          <w:szCs w:val="18"/>
          <w:color w:val="auto"/>
        </w:rPr>
      </w:pPr>
    </w:p>
    <w:p>
      <w:pPr>
        <w:ind w:left="1980" w:right="419" w:firstLine="360"/>
        <w:spacing w:after="0" w:line="250" w:lineRule="auto"/>
        <w:tabs>
          <w:tab w:leader="none" w:pos="2717"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09" w:lineRule="exact"/>
        <w:rPr>
          <w:rFonts w:ascii="Times New Roman" w:cs="Times New Roman" w:eastAsia="Times New Roman" w:hAnsi="Times New Roman"/>
          <w:sz w:val="18"/>
          <w:szCs w:val="18"/>
          <w:color w:val="auto"/>
        </w:rPr>
      </w:pPr>
    </w:p>
    <w:p>
      <w:pPr>
        <w:ind w:left="1980" w:right="419" w:firstLine="360"/>
        <w:spacing w:after="0" w:line="258" w:lineRule="auto"/>
        <w:tabs>
          <w:tab w:leader="none" w:pos="277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0" w:lineRule="exact"/>
        <w:rPr>
          <w:sz w:val="20"/>
          <w:szCs w:val="20"/>
          <w:color w:val="auto"/>
        </w:rPr>
      </w:pPr>
    </w:p>
    <w:p>
      <w:pPr>
        <w:ind w:left="1620" w:right="539"/>
        <w:spacing w:after="0" w:line="252"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above do not apply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Commission by the registrant pursuant to section 13 or section 15(d) of</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75" w:lineRule="auto"/>
        <w:rPr>
          <w:sz w:val="20"/>
          <w:szCs w:val="20"/>
          <w:color w:val="auto"/>
        </w:rPr>
      </w:pPr>
      <w:r>
        <w:rPr>
          <w:rFonts w:ascii="Times New Roman" w:cs="Times New Roman" w:eastAsia="Times New Roman" w:hAnsi="Times New Roman"/>
          <w:sz w:val="18"/>
          <w:szCs w:val="18"/>
          <w:color w:val="auto"/>
        </w:rPr>
        <w:t>the Securities Exchange Act of 1934 that are incorporated by reference in the registration statement, or is contained in a form of prospectus filed pursuant to Rule 424(b) that is a part of the registration statement.</w:t>
      </w:r>
    </w:p>
    <w:p>
      <w:pPr>
        <w:spacing w:after="0" w:line="322" w:lineRule="exact"/>
        <w:rPr>
          <w:sz w:val="20"/>
          <w:szCs w:val="20"/>
          <w:color w:val="auto"/>
        </w:rPr>
      </w:pPr>
    </w:p>
    <w:p>
      <w:pPr>
        <w:ind w:left="1620" w:right="499" w:firstLine="360"/>
        <w:spacing w:after="0" w:line="261" w:lineRule="auto"/>
        <w:tabs>
          <w:tab w:leader="none" w:pos="23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1620" w:right="739" w:firstLine="360"/>
        <w:spacing w:after="0" w:line="282" w:lineRule="auto"/>
        <w:tabs>
          <w:tab w:leader="none" w:pos="23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81" w:lineRule="exact"/>
        <w:rPr>
          <w:sz w:val="20"/>
          <w:szCs w:val="20"/>
          <w:color w:val="auto"/>
        </w:rPr>
      </w:pPr>
    </w:p>
    <w:p>
      <w:pPr>
        <w:ind w:left="1620" w:right="1139" w:firstLine="360"/>
        <w:spacing w:after="0" w:line="282" w:lineRule="auto"/>
        <w:tabs>
          <w:tab w:leader="none" w:pos="23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94" w:lineRule="exact"/>
        <w:rPr>
          <w:rFonts w:ascii="Times New Roman" w:cs="Times New Roman" w:eastAsia="Times New Roman" w:hAnsi="Times New Roman"/>
          <w:sz w:val="18"/>
          <w:szCs w:val="18"/>
          <w:color w:val="auto"/>
        </w:rPr>
      </w:pPr>
    </w:p>
    <w:p>
      <w:pPr>
        <w:jc w:val="both"/>
        <w:ind w:left="2340" w:right="539" w:firstLine="360"/>
        <w:spacing w:after="0" w:line="266" w:lineRule="auto"/>
        <w:tabs>
          <w:tab w:leader="none" w:pos="310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Times New Roman" w:cs="Times New Roman" w:eastAsia="Times New Roman" w:hAnsi="Times New Roman"/>
          <w:sz w:val="18"/>
          <w:szCs w:val="18"/>
          <w:color w:val="auto"/>
        </w:rPr>
      </w:pPr>
    </w:p>
    <w:p>
      <w:pPr>
        <w:ind w:left="2340" w:right="439" w:firstLine="360"/>
        <w:spacing w:after="0" w:line="252" w:lineRule="auto"/>
        <w:tabs>
          <w:tab w:leader="none" w:pos="309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29"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to any purchaser in the initial distribution of the securities:</w:t>
      </w:r>
    </w:p>
    <w:p>
      <w:pPr>
        <w:spacing w:after="0" w:line="139" w:lineRule="exact"/>
        <w:rPr>
          <w:sz w:val="20"/>
          <w:szCs w:val="20"/>
          <w:color w:val="auto"/>
        </w:rPr>
      </w:pPr>
    </w:p>
    <w:p>
      <w:pPr>
        <w:ind w:left="1980" w:right="579" w:firstLine="360"/>
        <w:spacing w:after="0" w:line="258"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6" w:lineRule="exact"/>
        <w:rPr>
          <w:sz w:val="20"/>
          <w:szCs w:val="20"/>
          <w:color w:val="auto"/>
        </w:rPr>
      </w:pPr>
    </w:p>
    <w:p>
      <w:pPr>
        <w:ind w:left="1980" w:right="739" w:firstLine="360"/>
        <w:spacing w:after="0" w:line="282" w:lineRule="auto"/>
        <w:tabs>
          <w:tab w:leader="none" w:pos="26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80" w:lineRule="exact"/>
        <w:rPr>
          <w:rFonts w:ascii="Times New Roman" w:cs="Times New Roman" w:eastAsia="Times New Roman" w:hAnsi="Times New Roman"/>
          <w:sz w:val="18"/>
          <w:szCs w:val="18"/>
          <w:color w:val="auto"/>
        </w:rPr>
      </w:pPr>
    </w:p>
    <w:p>
      <w:pPr>
        <w:ind w:left="1980" w:right="919" w:firstLine="360"/>
        <w:spacing w:after="0" w:line="282" w:lineRule="auto"/>
        <w:tabs>
          <w:tab w:leader="none" w:pos="27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ind w:left="1980" w:right="559" w:firstLine="360"/>
        <w:spacing w:after="0" w:line="266" w:lineRule="auto"/>
        <w:tabs>
          <w:tab w:leader="none" w:pos="277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1980" w:right="879" w:firstLine="360"/>
        <w:spacing w:after="0" w:line="282" w:lineRule="auto"/>
        <w:tabs>
          <w:tab w:leader="none" w:pos="275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communications that is an offer in the offering made by the undersigned registrant to the purchaser.</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5" w:lineRule="auto"/>
        <w:tabs>
          <w:tab w:leader="none" w:pos="19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21" w:lineRule="exact"/>
        <w:rPr>
          <w:sz w:val="20"/>
          <w:szCs w:val="20"/>
          <w:color w:val="auto"/>
        </w:rPr>
      </w:pPr>
    </w:p>
    <w:p>
      <w:pPr>
        <w:ind w:left="1260" w:right="419" w:firstLine="360"/>
        <w:spacing w:after="0" w:line="253" w:lineRule="auto"/>
        <w:tabs>
          <w:tab w:leader="none" w:pos="19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43" w:lineRule="exact"/>
        <w:rPr>
          <w:sz w:val="20"/>
          <w:szCs w:val="20"/>
          <w:color w:val="auto"/>
        </w:rPr>
      </w:pPr>
    </w:p>
    <w:p>
      <w:pPr>
        <w:jc w:val="both"/>
        <w:ind w:left="1260" w:right="459" w:firstLine="360"/>
        <w:spacing w:after="0" w:line="266" w:lineRule="auto"/>
        <w:tabs>
          <w:tab w:leader="none" w:pos="19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London, United Kingdom, on March 7, 2023.</w:t>
      </w:r>
    </w:p>
    <w:p>
      <w:pPr>
        <w:spacing w:after="0" w:line="1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51435</wp:posOffset>
            </wp:positionV>
            <wp:extent cx="22371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1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David Zaccardelli, Pharm. 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Each of the undersigned officers and directors of the registrant hereby severally constitutes and appoints David Zaccardelli and Mark W. Hahn,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343" w:lineRule="exact"/>
        <w:rPr>
          <w:sz w:val="20"/>
          <w:szCs w:val="20"/>
          <w:color w:val="auto"/>
        </w:rPr>
      </w:pPr>
    </w:p>
    <w:p>
      <w:pPr>
        <w:ind w:left="1260" w:right="539" w:firstLine="36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jc w:val="both"/>
        <w:ind w:left="1260"/>
        <w:spacing w:after="0"/>
        <w:tabs>
          <w:tab w:leader="none" w:pos="2460" w:val="left"/>
          <w:tab w:leader="none" w:pos="4560" w:val="left"/>
          <w:tab w:leader="none" w:pos="6000" w:val="left"/>
          <w:tab w:leader="none" w:pos="7780" w:val="left"/>
          <w:tab w:leader="none" w:pos="8500" w:val="left"/>
          <w:tab w:leader="none" w:pos="9440" w:val="left"/>
        </w:tabs>
        <w:rPr>
          <w:sz w:val="20"/>
          <w:szCs w:val="20"/>
          <w:color w:val="auto"/>
        </w:rPr>
      </w:pPr>
      <w:r>
        <w:rPr>
          <w:rFonts w:ascii="Times New Roman" w:cs="Times New Roman" w:eastAsia="Times New Roman" w:hAnsi="Times New Roman"/>
          <w:sz w:val="24"/>
          <w:szCs w:val="24"/>
          <w:b w:val="1"/>
          <w:bCs w:val="1"/>
          <w:color w:val="auto"/>
          <w:vertAlign w:val="subscript"/>
        </w:rPr>
        <w:t>​</w:t>
      </w:r>
      <w:r>
        <w:rPr>
          <w:sz w:val="20"/>
          <w:szCs w:val="20"/>
          <w:color w:val="auto"/>
        </w:rPr>
        <w:tab/>
      </w:r>
      <w:r>
        <w:rPr>
          <w:rFonts w:ascii="Times New Roman" w:cs="Times New Roman" w:eastAsia="Times New Roman" w:hAnsi="Times New Roman"/>
          <w:sz w:val="13"/>
          <w:szCs w:val="13"/>
          <w:b w:val="1"/>
          <w:bCs w:val="1"/>
          <w:color w:val="auto"/>
        </w:rPr>
        <w:t>SIGNATURE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29210</wp:posOffset>
            </wp:positionV>
            <wp:extent cx="52120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8" w:lineRule="exact"/>
        <w:rPr>
          <w:sz w:val="20"/>
          <w:szCs w:val="20"/>
          <w:color w:val="auto"/>
        </w:rPr>
      </w:pPr>
    </w:p>
    <w:p>
      <w:pPr>
        <w:ind w:left="2140" w:hanging="880"/>
        <w:spacing w:after="0"/>
        <w:tabs>
          <w:tab w:leader="none" w:pos="21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52705</wp:posOffset>
            </wp:positionV>
            <wp:extent cx="20574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22"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color w:val="auto"/>
        </w:rPr>
        <w:t>David Zaccardelli, Pharm. D.</w:t>
      </w:r>
    </w:p>
    <w:p>
      <w:pPr>
        <w:spacing w:after="0" w:line="12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color w:val="auto"/>
        </w:rPr>
        <w:t>/s/ Mark W. Hahn</w:t>
      </w:r>
    </w:p>
    <w:p>
      <w:pPr>
        <w:ind w:left="1260"/>
        <w:spacing w:after="0" w:line="198" w:lineRule="auto"/>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-47625</wp:posOffset>
            </wp:positionV>
            <wp:extent cx="20574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jc w:val="center"/>
        <w:ind w:left="1840"/>
        <w:spacing w:after="0"/>
        <w:rPr>
          <w:sz w:val="20"/>
          <w:szCs w:val="20"/>
          <w:color w:val="auto"/>
        </w:rPr>
      </w:pPr>
      <w:r>
        <w:rPr>
          <w:rFonts w:ascii="Times New Roman" w:cs="Times New Roman" w:eastAsia="Times New Roman" w:hAnsi="Times New Roman"/>
          <w:sz w:val="17"/>
          <w:szCs w:val="17"/>
          <w:color w:val="auto"/>
        </w:rPr>
        <w:t>Mark W. Hahn</w:t>
      </w:r>
    </w:p>
    <w:p>
      <w:pPr>
        <w:spacing w:after="0" w:line="17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/s/ David Ebsworth</w:t>
      </w:r>
    </w:p>
    <w:p>
      <w:pPr>
        <w:ind w:left="1260"/>
        <w:spacing w:after="0" w:line="198" w:lineRule="auto"/>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-47625</wp:posOffset>
            </wp:positionV>
            <wp:extent cx="20574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jc w:val="center"/>
        <w:ind w:left="1840"/>
        <w:spacing w:after="0"/>
        <w:rPr>
          <w:sz w:val="20"/>
          <w:szCs w:val="20"/>
          <w:color w:val="auto"/>
        </w:rPr>
      </w:pPr>
      <w:r>
        <w:rPr>
          <w:rFonts w:ascii="Times New Roman" w:cs="Times New Roman" w:eastAsia="Times New Roman" w:hAnsi="Times New Roman"/>
          <w:sz w:val="17"/>
          <w:szCs w:val="17"/>
          <w:color w:val="auto"/>
        </w:rPr>
        <w:t>David Ebsworth, Ph.D.</w:t>
      </w:r>
    </w:p>
    <w:p>
      <w:pPr>
        <w:spacing w:after="0" w:line="17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/s/ James Brady</w:t>
      </w:r>
    </w:p>
    <w:p>
      <w:pPr>
        <w:ind w:left="1260"/>
        <w:spacing w:after="0" w:line="198" w:lineRule="auto"/>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-47625</wp:posOffset>
            </wp:positionV>
            <wp:extent cx="20574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jc w:val="center"/>
        <w:ind w:left="1840"/>
        <w:spacing w:after="0"/>
        <w:rPr>
          <w:sz w:val="20"/>
          <w:szCs w:val="20"/>
          <w:color w:val="auto"/>
        </w:rPr>
      </w:pPr>
      <w:r>
        <w:rPr>
          <w:rFonts w:ascii="Times New Roman" w:cs="Times New Roman" w:eastAsia="Times New Roman" w:hAnsi="Times New Roman"/>
          <w:sz w:val="17"/>
          <w:szCs w:val="17"/>
          <w:color w:val="auto"/>
        </w:rPr>
        <w:t>James Brady</w:t>
      </w:r>
    </w:p>
    <w:p>
      <w:pPr>
        <w:spacing w:after="0" w:line="17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7"/>
          <w:szCs w:val="17"/>
          <w:color w:val="auto"/>
        </w:rPr>
        <w:t>/s/ Ken Cunningham</w:t>
      </w:r>
    </w:p>
    <w:p>
      <w:pPr>
        <w:ind w:left="1260"/>
        <w:spacing w:after="0" w:line="198" w:lineRule="auto"/>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-47625</wp:posOffset>
            </wp:positionV>
            <wp:extent cx="20574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jc w:val="center"/>
        <w:ind w:left="1840"/>
        <w:spacing w:after="0"/>
        <w:rPr>
          <w:sz w:val="20"/>
          <w:szCs w:val="20"/>
          <w:color w:val="auto"/>
        </w:rPr>
      </w:pPr>
      <w:r>
        <w:rPr>
          <w:rFonts w:ascii="Times New Roman" w:cs="Times New Roman" w:eastAsia="Times New Roman" w:hAnsi="Times New Roman"/>
          <w:sz w:val="17"/>
          <w:szCs w:val="17"/>
          <w:color w:val="auto"/>
        </w:rPr>
        <w:t>Ken Cunningham, M.D.</w:t>
      </w:r>
    </w:p>
    <w:p>
      <w:pPr>
        <w:spacing w:after="0" w:line="122"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color w:val="auto"/>
        </w:rPr>
        <w:t>/s/ Lisa Deschamps</w:t>
      </w:r>
    </w:p>
    <w:p>
      <w:pPr>
        <w:ind w:left="1260"/>
        <w:spacing w:after="0" w:line="198" w:lineRule="auto"/>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-47625</wp:posOffset>
            </wp:positionV>
            <wp:extent cx="20574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ind w:left="2300"/>
        <w:spacing w:after="0"/>
        <w:rPr>
          <w:sz w:val="20"/>
          <w:szCs w:val="20"/>
          <w:color w:val="auto"/>
        </w:rPr>
      </w:pPr>
      <w:r>
        <w:rPr>
          <w:rFonts w:ascii="Times New Roman" w:cs="Times New Roman" w:eastAsia="Times New Roman" w:hAnsi="Times New Roman"/>
          <w:sz w:val="17"/>
          <w:szCs w:val="17"/>
          <w:color w:val="auto"/>
        </w:rPr>
        <w:t>Lisa Deschamps</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left="146" w:right="100" w:hanging="146"/>
        <w:spacing w:after="0" w:line="201" w:lineRule="auto"/>
        <w:tabs>
          <w:tab w:leader="none" w:pos="98" w:val="left"/>
        </w:tabs>
        <w:numPr>
          <w:ilvl w:val="0"/>
          <w:numId w:val="55"/>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7"/>
          <w:szCs w:val="17"/>
          <w:color w:val="auto"/>
        </w:rPr>
        <w:t>President, Chief Executive Officer and Director (principal executive officer)</w:t>
      </w:r>
    </w:p>
    <w:p>
      <w:pPr>
        <w:spacing w:after="0" w:line="103" w:lineRule="exact"/>
        <w:rPr>
          <w:rFonts w:ascii="Times New Roman" w:cs="Times New Roman" w:eastAsia="Times New Roman" w:hAnsi="Times New Roman"/>
          <w:sz w:val="34"/>
          <w:szCs w:val="34"/>
          <w:color w:val="auto"/>
          <w:vertAlign w:val="superscript"/>
        </w:rPr>
      </w:pPr>
    </w:p>
    <w:p>
      <w:pPr>
        <w:ind w:left="146" w:hanging="146"/>
        <w:spacing w:after="0" w:line="228" w:lineRule="auto"/>
        <w:tabs>
          <w:tab w:leader="none" w:pos="85" w:val="left"/>
        </w:tabs>
        <w:numPr>
          <w:ilvl w:val="0"/>
          <w:numId w:val="5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color w:val="auto"/>
        </w:rPr>
        <w:t xml:space="preserve"> Chief Financial Officer (principal financial officer and accounting officer)</w:t>
      </w:r>
    </w:p>
    <w:p>
      <w:pPr>
        <w:spacing w:after="0" w:line="200" w:lineRule="exact"/>
        <w:rPr>
          <w:rFonts w:ascii="Times New Roman" w:cs="Times New Roman" w:eastAsia="Times New Roman" w:hAnsi="Times New Roman"/>
          <w:sz w:val="34"/>
          <w:szCs w:val="34"/>
          <w:color w:val="auto"/>
          <w:vertAlign w:val="subscript"/>
        </w:rPr>
      </w:pPr>
    </w:p>
    <w:p>
      <w:pPr>
        <w:spacing w:after="0" w:line="200" w:lineRule="exact"/>
        <w:rPr>
          <w:rFonts w:ascii="Times New Roman" w:cs="Times New Roman" w:eastAsia="Times New Roman" w:hAnsi="Times New Roman"/>
          <w:sz w:val="34"/>
          <w:szCs w:val="34"/>
          <w:color w:val="auto"/>
          <w:vertAlign w:val="subscript"/>
        </w:rPr>
      </w:pPr>
    </w:p>
    <w:p>
      <w:pPr>
        <w:ind w:left="86" w:hanging="86"/>
        <w:spacing w:after="0"/>
        <w:tabs>
          <w:tab w:leader="none" w:pos="8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​Chairperson of the Board of Directors</w:t>
      </w:r>
    </w:p>
    <w:p>
      <w:pPr>
        <w:spacing w:after="0" w:line="200" w:lineRule="exact"/>
        <w:rPr>
          <w:rFonts w:ascii="Times New Roman" w:cs="Times New Roman" w:eastAsia="Times New Roman" w:hAnsi="Times New Roman"/>
          <w:sz w:val="17"/>
          <w:szCs w:val="17"/>
          <w:color w:val="auto"/>
        </w:rPr>
      </w:pPr>
    </w:p>
    <w:p>
      <w:pPr>
        <w:spacing w:after="0" w:line="333"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w:t>
      </w:r>
    </w:p>
    <w:p>
      <w:pPr>
        <w:spacing w:after="0" w:line="200" w:lineRule="exact"/>
        <w:rPr>
          <w:rFonts w:ascii="Times New Roman" w:cs="Times New Roman" w:eastAsia="Times New Roman" w:hAnsi="Times New Roman"/>
          <w:sz w:val="17"/>
          <w:szCs w:val="17"/>
          <w:color w:val="auto"/>
        </w:rPr>
      </w:pPr>
    </w:p>
    <w:p>
      <w:pPr>
        <w:spacing w:after="0" w:line="333"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w:t>
      </w:r>
    </w:p>
    <w:p>
      <w:pPr>
        <w:spacing w:after="0" w:line="200" w:lineRule="exact"/>
        <w:rPr>
          <w:rFonts w:ascii="Times New Roman" w:cs="Times New Roman" w:eastAsia="Times New Roman" w:hAnsi="Times New Roman"/>
          <w:sz w:val="17"/>
          <w:szCs w:val="17"/>
          <w:color w:val="auto"/>
        </w:rPr>
      </w:pPr>
    </w:p>
    <w:p>
      <w:pPr>
        <w:spacing w:after="0" w:line="279"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March 7, 2023</w:t>
            </w:r>
          </w:p>
        </w:tc>
        <w:tc>
          <w:tcPr>
            <w:tcW w:w="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1"/>
        </w:trPr>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March 7, 2023</w:t>
            </w:r>
          </w:p>
        </w:tc>
        <w:tc>
          <w:tcPr>
            <w:tcW w:w="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729"/>
        </w:trPr>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March 7, 2023</w:t>
            </w:r>
          </w:p>
        </w:tc>
        <w:tc>
          <w:tcPr>
            <w:tcW w:w="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729"/>
        </w:trPr>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March 7, 2023</w:t>
            </w:r>
          </w:p>
        </w:tc>
        <w:tc>
          <w:tcPr>
            <w:tcW w:w="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729"/>
        </w:trPr>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March 7, 2023</w:t>
            </w:r>
          </w:p>
        </w:tc>
        <w:tc>
          <w:tcPr>
            <w:tcW w:w="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75"/>
        </w:trPr>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March 7, 2023</w:t>
            </w:r>
          </w:p>
        </w:tc>
        <w:tc>
          <w:tcPr>
            <w:tcW w:w="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53" w:lineRule="exact"/>
        <w:rPr>
          <w:sz w:val="20"/>
          <w:szCs w:val="20"/>
          <w:color w:val="auto"/>
        </w:rPr>
      </w:pPr>
    </w:p>
    <w:p>
      <w:pPr>
        <w:sectPr>
          <w:pgSz w:w="11900" w:h="16838" w:orient="portrait"/>
          <w:cols w:equalWidth="0" w:num="3">
            <w:col w:w="3940" w:space="634"/>
            <w:col w:w="3026" w:space="200"/>
            <w:col w:w="2079"/>
          </w:cols>
          <w:pgMar w:left="580" w:top="97" w:right="1440" w:bottom="1440" w:gutter="0" w:footer="0" w:header="0"/>
          <w:type w:val="continuous"/>
        </w:sectPr>
      </w:pPr>
    </w:p>
    <w:p>
      <w:pPr>
        <w:spacing w:after="0" w:line="2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SIGNATURE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1400" w:val="left"/>
          <w:tab w:leader="none" w:pos="3160" w:val="left"/>
          <w:tab w:leader="none" w:pos="3920" w:val="left"/>
          <w:tab w:leader="none" w:pos="48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29210</wp:posOffset>
            </wp:positionV>
            <wp:extent cx="30086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4520" w:space="60"/>
            <w:col w:w="5299"/>
          </w:cols>
          <w:pgMar w:left="580" w:top="97" w:right="1440" w:bottom="1440" w:gutter="0" w:footer="0" w:header="0"/>
        </w:sectPr>
      </w:pPr>
    </w:p>
    <w:p>
      <w:pPr>
        <w:spacing w:after="0" w:line="170" w:lineRule="exact"/>
        <w:rPr>
          <w:sz w:val="20"/>
          <w:szCs w:val="20"/>
          <w:color w:val="auto"/>
        </w:rPr>
      </w:pPr>
    </w:p>
    <w:p>
      <w:pPr>
        <w:ind w:left="1260"/>
        <w:spacing w:after="0"/>
        <w:tabs>
          <w:tab w:leader="none" w:pos="21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/s/ Martin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52705</wp:posOffset>
            </wp:positionV>
            <wp:extent cx="20574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22"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color w:val="auto"/>
        </w:rPr>
        <w:t>Martin Edwards, M.D.</w:t>
      </w:r>
    </w:p>
    <w:p>
      <w:pPr>
        <w:spacing w:after="0" w:line="167"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color w:val="auto"/>
        </w:rPr>
        <w:t>/s/ Rishi Gupta</w:t>
      </w:r>
    </w:p>
    <w:p>
      <w:pPr>
        <w:ind w:left="1260"/>
        <w:spacing w:after="0" w:line="198" w:lineRule="auto"/>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-47625</wp:posOffset>
            </wp:positionV>
            <wp:extent cx="20574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jc w:val="center"/>
        <w:ind w:left="1860"/>
        <w:spacing w:after="0"/>
        <w:rPr>
          <w:sz w:val="20"/>
          <w:szCs w:val="20"/>
          <w:color w:val="auto"/>
        </w:rPr>
      </w:pPr>
      <w:r>
        <w:rPr>
          <w:rFonts w:ascii="Times New Roman" w:cs="Times New Roman" w:eastAsia="Times New Roman" w:hAnsi="Times New Roman"/>
          <w:sz w:val="17"/>
          <w:szCs w:val="17"/>
          <w:color w:val="auto"/>
        </w:rPr>
        <w:t>Rishi Gupta</w:t>
      </w:r>
    </w:p>
    <w:p>
      <w:pPr>
        <w:spacing w:after="0" w:line="17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/s/ Mahendra Shah</w:t>
      </w:r>
    </w:p>
    <w:p>
      <w:pPr>
        <w:ind w:left="1260"/>
        <w:spacing w:after="0" w:line="198" w:lineRule="auto"/>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-47625</wp:posOffset>
            </wp:positionV>
            <wp:extent cx="20574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jc w:val="center"/>
        <w:ind w:left="1860"/>
        <w:spacing w:after="0"/>
        <w:rPr>
          <w:sz w:val="20"/>
          <w:szCs w:val="20"/>
          <w:color w:val="auto"/>
        </w:rPr>
      </w:pPr>
      <w:r>
        <w:rPr>
          <w:rFonts w:ascii="Times New Roman" w:cs="Times New Roman" w:eastAsia="Times New Roman" w:hAnsi="Times New Roman"/>
          <w:sz w:val="17"/>
          <w:szCs w:val="17"/>
          <w:color w:val="auto"/>
        </w:rPr>
        <w:t>Mahendra Shah, Ph.D.</w:t>
      </w:r>
    </w:p>
    <w:p>
      <w:pPr>
        <w:spacing w:after="0" w:line="17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color w:val="auto"/>
        </w:rPr>
        <w:t>/s/ Vikas Sinha</w:t>
      </w:r>
    </w:p>
    <w:p>
      <w:pPr>
        <w:ind w:left="1260"/>
        <w:spacing w:after="0" w:line="198" w:lineRule="auto"/>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-47625</wp:posOffset>
            </wp:positionV>
            <wp:extent cx="20574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jc w:val="center"/>
        <w:ind w:left="1860"/>
        <w:spacing w:after="0"/>
        <w:rPr>
          <w:sz w:val="20"/>
          <w:szCs w:val="20"/>
          <w:color w:val="auto"/>
        </w:rPr>
      </w:pPr>
      <w:r>
        <w:rPr>
          <w:rFonts w:ascii="Times New Roman" w:cs="Times New Roman" w:eastAsia="Times New Roman" w:hAnsi="Times New Roman"/>
          <w:sz w:val="17"/>
          <w:szCs w:val="17"/>
          <w:color w:val="auto"/>
        </w:rPr>
        <w:t>Vikas Sinha</w:t>
      </w:r>
    </w:p>
    <w:p>
      <w:pPr>
        <w:spacing w:after="0" w:line="122"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color w:val="auto"/>
        </w:rPr>
        <w:t>/s/ Anders Ullman</w:t>
      </w:r>
    </w:p>
    <w:p>
      <w:pPr>
        <w:ind w:left="1260"/>
        <w:spacing w:after="0" w:line="198" w:lineRule="auto"/>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-47625</wp:posOffset>
            </wp:positionV>
            <wp:extent cx="20574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7"/>
          <w:szCs w:val="17"/>
          <w:color w:val="auto"/>
        </w:rPr>
        <w:t>Anders Ullman, M.D., Ph.D.</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66" w:right="1700" w:hanging="166"/>
        <w:spacing w:after="0" w:line="182" w:lineRule="auto"/>
        <w:tabs>
          <w:tab w:leader="none" w:pos="98"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 xml:space="preserve"> </w:t>
      </w:r>
      <w:r>
        <w:rPr>
          <w:rFonts w:ascii="Times New Roman" w:cs="Times New Roman" w:eastAsia="Times New Roman" w:hAnsi="Times New Roman"/>
          <w:sz w:val="17"/>
          <w:szCs w:val="17"/>
          <w:color w:val="auto"/>
        </w:rPr>
        <w:t xml:space="preserve"> Director</w:t>
      </w:r>
    </w:p>
    <w:p>
      <w:pPr>
        <w:spacing w:after="0" w:line="200" w:lineRule="exact"/>
        <w:rPr>
          <w:rFonts w:ascii="Times New Roman" w:cs="Times New Roman" w:eastAsia="Times New Roman" w:hAnsi="Times New Roman"/>
          <w:sz w:val="17"/>
          <w:szCs w:val="17"/>
          <w:color w:val="auto"/>
        </w:rPr>
      </w:pPr>
    </w:p>
    <w:p>
      <w:pPr>
        <w:spacing w:after="0" w:line="335" w:lineRule="exact"/>
        <w:rPr>
          <w:rFonts w:ascii="Times New Roman" w:cs="Times New Roman" w:eastAsia="Times New Roman" w:hAnsi="Times New Roman"/>
          <w:sz w:val="17"/>
          <w:szCs w:val="17"/>
          <w:color w:val="auto"/>
        </w:rPr>
      </w:pPr>
    </w:p>
    <w:p>
      <w:pPr>
        <w:ind w:left="106" w:hanging="106"/>
        <w:spacing w:after="0"/>
        <w:tabs>
          <w:tab w:leader="none" w:pos="10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Director</w:t>
      </w:r>
    </w:p>
    <w:p>
      <w:pPr>
        <w:spacing w:after="0" w:line="200" w:lineRule="exact"/>
        <w:rPr>
          <w:rFonts w:ascii="Times New Roman" w:cs="Times New Roman" w:eastAsia="Times New Roman" w:hAnsi="Times New Roman"/>
          <w:sz w:val="17"/>
          <w:szCs w:val="17"/>
          <w:color w:val="auto"/>
        </w:rPr>
      </w:pPr>
    </w:p>
    <w:p>
      <w:pPr>
        <w:spacing w:after="0" w:line="333" w:lineRule="exact"/>
        <w:rPr>
          <w:rFonts w:ascii="Times New Roman" w:cs="Times New Roman" w:eastAsia="Times New Roman" w:hAnsi="Times New Roman"/>
          <w:sz w:val="17"/>
          <w:szCs w:val="17"/>
          <w:color w:val="auto"/>
        </w:rPr>
      </w:pPr>
    </w:p>
    <w:p>
      <w:pPr>
        <w:ind w:left="106" w:hanging="106"/>
        <w:spacing w:after="0"/>
        <w:tabs>
          <w:tab w:leader="none" w:pos="10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Director</w:t>
      </w:r>
    </w:p>
    <w:p>
      <w:pPr>
        <w:spacing w:after="0" w:line="200" w:lineRule="exact"/>
        <w:rPr>
          <w:rFonts w:ascii="Times New Roman" w:cs="Times New Roman" w:eastAsia="Times New Roman" w:hAnsi="Times New Roman"/>
          <w:sz w:val="17"/>
          <w:szCs w:val="17"/>
          <w:color w:val="auto"/>
        </w:rPr>
      </w:pPr>
    </w:p>
    <w:p>
      <w:pPr>
        <w:spacing w:after="0" w:line="333" w:lineRule="exact"/>
        <w:rPr>
          <w:rFonts w:ascii="Times New Roman" w:cs="Times New Roman" w:eastAsia="Times New Roman" w:hAnsi="Times New Roman"/>
          <w:sz w:val="17"/>
          <w:szCs w:val="17"/>
          <w:color w:val="auto"/>
        </w:rPr>
      </w:pPr>
    </w:p>
    <w:p>
      <w:pPr>
        <w:ind w:left="106" w:hanging="106"/>
        <w:spacing w:after="0"/>
        <w:tabs>
          <w:tab w:leader="none" w:pos="10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Director</w:t>
      </w:r>
    </w:p>
    <w:p>
      <w:pPr>
        <w:spacing w:after="0" w:line="200" w:lineRule="exact"/>
        <w:rPr>
          <w:rFonts w:ascii="Times New Roman" w:cs="Times New Roman" w:eastAsia="Times New Roman" w:hAnsi="Times New Roman"/>
          <w:sz w:val="17"/>
          <w:szCs w:val="17"/>
          <w:color w:val="auto"/>
        </w:rPr>
      </w:pPr>
    </w:p>
    <w:p>
      <w:pPr>
        <w:spacing w:after="0" w:line="279" w:lineRule="exact"/>
        <w:rPr>
          <w:rFonts w:ascii="Times New Roman" w:cs="Times New Roman" w:eastAsia="Times New Roman" w:hAnsi="Times New Roman"/>
          <w:sz w:val="17"/>
          <w:szCs w:val="17"/>
          <w:color w:val="auto"/>
        </w:rPr>
      </w:pPr>
    </w:p>
    <w:p>
      <w:pPr>
        <w:ind w:left="106" w:hanging="106"/>
        <w:spacing w:after="0"/>
        <w:tabs>
          <w:tab w:leader="none" w:pos="10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156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-2914015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w:t>
            </w:r>
          </w:p>
        </w:tc>
        <w:tc>
          <w:tcPr>
            <w:tcW w:w="13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4"/>
        </w:trPr>
        <w:tc>
          <w:tcPr>
            <w:tcW w:w="280" w:type="dxa"/>
            <w:vAlign w:val="bottom"/>
            <w:vMerge w:val="continue"/>
          </w:tcPr>
          <w:p>
            <w:pPr>
              <w:spacing w:after="0"/>
              <w:rPr>
                <w:sz w:val="9"/>
                <w:szCs w:val="9"/>
                <w:color w:val="auto"/>
              </w:rPr>
            </w:pPr>
          </w:p>
        </w:tc>
        <w:tc>
          <w:tcPr>
            <w:tcW w:w="13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March 7, 2023</w:t>
            </w:r>
          </w:p>
        </w:tc>
        <w:tc>
          <w:tcPr>
            <w:tcW w:w="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March 7, 2023</w:t>
            </w:r>
          </w:p>
        </w:tc>
        <w:tc>
          <w:tcPr>
            <w:tcW w:w="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729"/>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March 7, 2023</w:t>
            </w:r>
          </w:p>
        </w:tc>
        <w:tc>
          <w:tcPr>
            <w:tcW w:w="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729"/>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March 7, 2023</w:t>
            </w:r>
          </w:p>
        </w:tc>
        <w:tc>
          <w:tcPr>
            <w:tcW w:w="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75"/>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March 7, 2023</w:t>
            </w:r>
          </w:p>
        </w:tc>
        <w:tc>
          <w:tcPr>
            <w:tcW w:w="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ectPr>
          <w:pgSz w:w="11900" w:h="16838" w:orient="portrait"/>
          <w:cols w:equalWidth="0" w:num="3">
            <w:col w:w="3920" w:space="654"/>
            <w:col w:w="2466" w:space="720"/>
            <w:col w:w="211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REGISTRANT</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Verona Pharma plc, has signed this Registration Statement on Form S-3, in the City of New York, State of New York, on March 7, 2023.</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p>
      <w:pPr>
        <w:spacing w:after="0" w:line="3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43180</wp:posOffset>
            </wp:positionV>
            <wp:extent cx="22371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7" w:lineRule="exact"/>
        <w:rPr>
          <w:sz w:val="20"/>
          <w:szCs w:val="20"/>
          <w:color w:val="auto"/>
        </w:rPr>
      </w:pPr>
    </w:p>
    <w:p>
      <w:pPr>
        <w:ind w:left="594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Senior Vice President on behalf of        </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    Cogency Global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 MARKET SALE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19,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Verona Pharma plc, a public limited company incorporated under the laws of England and Wales with registered number 5375156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American Depositary Shares of the Company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representing eight ordinary shares, nominal value £0.05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to be issued by the Company on the terms set forth in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ADSs may be evidenced by American Depositary Receipts (the “</w:t>
      </w:r>
      <w:r>
        <w:rPr>
          <w:rFonts w:ascii="Times New Roman" w:cs="Times New Roman" w:eastAsia="Times New Roman" w:hAnsi="Times New Roman"/>
          <w:sz w:val="18"/>
          <w:szCs w:val="18"/>
          <w:b w:val="1"/>
          <w:bCs w:val="1"/>
          <w:color w:val="auto"/>
        </w:rPr>
        <w:t>ADR</w:t>
      </w:r>
      <w:r>
        <w:rPr>
          <w:rFonts w:ascii="Times New Roman" w:cs="Times New Roman" w:eastAsia="Times New Roman" w:hAnsi="Times New Roman"/>
          <w:sz w:val="18"/>
          <w:szCs w:val="18"/>
          <w:color w:val="auto"/>
        </w:rPr>
        <w:t>s”) issued pursuant to that certain deposit agreement, dated as of May 2, 2017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among the Company, Citibank N.A., as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the holders from time to time of the ADRs evidencing the ADSs issued thereunder. The Company shall, following subscription by the Agent of the ADSs, deposit, on behalf of the Agent, the Ordinary Shares represented by such ADSs with Citibank N.A., London Branch, as custodian for the Depositary (the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pursuant to which the Depositary (or the Custodian acting on behalf of the Depositary) shall deliver the ADSs to the Agent.</w:t>
      </w:r>
    </w:p>
    <w:p>
      <w:pPr>
        <w:spacing w:after="0" w:line="179"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1560" w:hanging="904"/>
        <w:spacing w:after="0"/>
        <w:tabs>
          <w:tab w:leader="none" w:pos="15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capitalized terms used herein and not otherwise defined shall have the following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respective meanings: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Agency Period</w:t>
      </w:r>
      <w:r>
        <w:rPr>
          <w:rFonts w:ascii="Times New Roman" w:cs="Times New Roman" w:eastAsia="Times New Roman" w:hAnsi="Times New Roman"/>
          <w:sz w:val="18"/>
          <w:szCs w:val="18"/>
          <w:color w:val="auto"/>
        </w:rPr>
        <w:t>” means the period commencing on the date of this Agreement and expiring on the earliest to occur of (x) the date on which the Agent shall have placed the Maximum Program Amount pursuant to this Agreement and (y) the date this Agreement is terminated pursuant to ‎Section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-49530</wp:posOffset>
            </wp:positionV>
            <wp:extent cx="4286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Amount</w:t>
      </w:r>
      <w:r>
        <w:rPr>
          <w:rFonts w:ascii="Times New Roman" w:cs="Times New Roman" w:eastAsia="Times New Roman" w:hAnsi="Times New Roman"/>
          <w:sz w:val="18"/>
          <w:szCs w:val="18"/>
          <w:color w:val="auto"/>
        </w:rPr>
        <w:t>” means the aggregate Sales Price of the Shares to be sold by the Agent pursuant to any Issuance Notice.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means a written notice delivered to the Agent by the Company in accordance with this Agreement in the form attached hereto as Exhibit A that is executed by its Chief Executive Officer, President or Chief Financial Officer.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 Date</w:t>
      </w:r>
      <w:r>
        <w:rPr>
          <w:rFonts w:ascii="Times New Roman" w:cs="Times New Roman" w:eastAsia="Times New Roman" w:hAnsi="Times New Roman"/>
          <w:sz w:val="18"/>
          <w:szCs w:val="18"/>
          <w:color w:val="auto"/>
        </w:rPr>
        <w:t>” means any Trading Day during the Agency Period that an Issuance Notice is delivered pursuant to Section‎ 3(b)(i).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6075680</wp:posOffset>
            </wp:positionH>
            <wp:positionV relativeFrom="paragraph">
              <wp:posOffset>-5080</wp:posOffset>
            </wp:positionV>
            <wp:extent cx="6692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66929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Price</w:t>
      </w:r>
      <w:r>
        <w:rPr>
          <w:rFonts w:ascii="Times New Roman" w:cs="Times New Roman" w:eastAsia="Times New Roman" w:hAnsi="Times New Roman"/>
          <w:sz w:val="18"/>
          <w:szCs w:val="18"/>
          <w:color w:val="auto"/>
        </w:rPr>
        <w:t>” means the Sales Price less the Selling Commission.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Program Amount</w:t>
      </w:r>
      <w:r>
        <w:rPr>
          <w:rFonts w:ascii="Times New Roman" w:cs="Times New Roman" w:eastAsia="Times New Roman" w:hAnsi="Times New Roman"/>
          <w:sz w:val="18"/>
          <w:szCs w:val="18"/>
          <w:color w:val="auto"/>
        </w:rPr>
        <w:t>” means Ordinary Shares, in the form of ADSs, with an aggregate Sales Price of the lesser of (a) the number or dollar amount of Ordinary Shares registered under the effective Registration Statement (defined below) pursuant to which the offering is being made, (b) the number of Ordinary Shares that the Company’s board of directors is authorized to issue on a non pre-emptive basis pursuant to sections 551 and 570 of the UK Companies Act 2006 (“</w:t>
      </w:r>
      <w:r>
        <w:rPr>
          <w:rFonts w:ascii="Times New Roman" w:cs="Times New Roman" w:eastAsia="Times New Roman" w:hAnsi="Times New Roman"/>
          <w:sz w:val="18"/>
          <w:szCs w:val="18"/>
          <w:b w:val="1"/>
          <w:bCs w:val="1"/>
          <w:color w:val="auto"/>
        </w:rPr>
        <w:t>CA 2006</w:t>
      </w:r>
      <w:r>
        <w:rPr>
          <w:rFonts w:ascii="Times New Roman" w:cs="Times New Roman" w:eastAsia="Times New Roman" w:hAnsi="Times New Roman"/>
          <w:sz w:val="18"/>
          <w:szCs w:val="18"/>
          <w:color w:val="auto"/>
        </w:rPr>
        <w:t>”) (less any Ordinary Shares issued or rights to subscribe for or to convert any security into Ordinary Shares granted pursuant to such authorities) (“</w:t>
      </w:r>
      <w:r>
        <w:rPr>
          <w:rFonts w:ascii="Times New Roman" w:cs="Times New Roman" w:eastAsia="Times New Roman" w:hAnsi="Times New Roman"/>
          <w:sz w:val="18"/>
          <w:szCs w:val="18"/>
          <w:b w:val="1"/>
          <w:bCs w:val="1"/>
          <w:color w:val="auto"/>
        </w:rPr>
        <w:t>Authorized Shares</w:t>
      </w:r>
      <w:r>
        <w:rPr>
          <w:rFonts w:ascii="Times New Roman" w:cs="Times New Roman" w:eastAsia="Times New Roman" w:hAnsi="Times New Roman"/>
          <w:sz w:val="18"/>
          <w:szCs w:val="18"/>
          <w:color w:val="auto"/>
        </w:rPr>
        <w:t>”) from time to time, (c) the number or dollar amount of Ordinary Shares permitted to be sold under Form S-3 (including General Instruction I.B.6 thereof, if applicable), or (d) the number or dollar amount of ADSs for which the Company has filed a Prospectus (defined below).</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Global Market or such other national securities exchange on which the ADSs, including any Shares, are then listed.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Sales Price</w:t>
      </w:r>
      <w:r>
        <w:rPr>
          <w:rFonts w:ascii="Times New Roman" w:cs="Times New Roman" w:eastAsia="Times New Roman" w:hAnsi="Times New Roman"/>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Commission</w:t>
      </w:r>
      <w:r>
        <w:rPr>
          <w:rFonts w:ascii="Times New Roman" w:cs="Times New Roman" w:eastAsia="Times New Roman" w:hAnsi="Times New Roman"/>
          <w:sz w:val="18"/>
          <w:szCs w:val="18"/>
          <w:color w:val="auto"/>
        </w:rPr>
        <w:t>” means up to three percent (3.0%) of the gross proceeds of Shares sold pursuant to this Agreement, or as otherwise agreed between the Company and the Agent with respect to any Shares sold pursuant to this Agreement.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mean the Company’s ADSs issued or issuable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Principal Market is open for trading.</w:t>
      </w:r>
    </w:p>
    <w:p>
      <w:pPr>
        <w:spacing w:after="0" w:line="225"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REPRESENTATIONS AND WARRANTIES OF THE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represents and warrants to, and agrees with, the Agent that as of (1) the date of this Agreement, (2) each Issuance Notice Date, (3) each Settlement Date, (4) each Triggering Event Date with respect to which the Company is obligated to deliver a certificate pursuant to Section 4(o) and</w:t>
      </w:r>
    </w:p>
    <w:p>
      <w:pPr>
        <w:ind w:firstLine="8"/>
        <w:spacing w:after="0" w:line="260" w:lineRule="auto"/>
        <w:tabs>
          <w:tab w:leader="none" w:pos="2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each Time of Sale (each of the times referenced above is referred to herein as a “</w:t>
      </w:r>
      <w:r>
        <w:rPr>
          <w:rFonts w:ascii="Times New Roman" w:cs="Times New Roman" w:eastAsia="Times New Roman" w:hAnsi="Times New Roman"/>
          <w:sz w:val="18"/>
          <w:szCs w:val="18"/>
          <w:b w:val="1"/>
          <w:bCs w:val="1"/>
          <w:color w:val="auto"/>
        </w:rPr>
        <w:t>Representation Date</w:t>
      </w:r>
      <w:r>
        <w:rPr>
          <w:rFonts w:ascii="Times New Roman" w:cs="Times New Roman" w:eastAsia="Times New Roman" w:hAnsi="Times New Roman"/>
          <w:sz w:val="18"/>
          <w:szCs w:val="18"/>
          <w:color w:val="auto"/>
        </w:rPr>
        <w:t>”), except as may be disclosed in the Prospectus (including any documents incorporated by reference therein and any supplements thereto) on or before a Representation Date:</w:t>
      </w:r>
    </w:p>
    <w:p>
      <w:pPr>
        <w:spacing w:after="0" w:line="181" w:lineRule="exact"/>
        <w:rPr>
          <w:rFonts w:ascii="Times New Roman" w:cs="Times New Roman" w:eastAsia="Times New Roman" w:hAnsi="Times New Roman"/>
          <w:sz w:val="18"/>
          <w:szCs w:val="18"/>
          <w:color w:val="auto"/>
        </w:rPr>
      </w:pPr>
    </w:p>
    <w:p>
      <w:pPr>
        <w:jc w:val="both"/>
        <w:ind w:firstLine="656"/>
        <w:spacing w:after="0" w:line="252" w:lineRule="auto"/>
        <w:tabs>
          <w:tab w:leader="none" w:pos="16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Commission a shelf registration statement on Form S-3 that contains a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Such registration statement registers the issuance and sale by the Company of the Ordinary Shares represented by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refer to such revised prospectus from and after the time it is first provided to the Agent for such use. The Registration Statement at the time it originally became effective is herein called the “</w:t>
      </w:r>
      <w:r>
        <w:rPr>
          <w:rFonts w:ascii="Times New Roman" w:cs="Times New Roman" w:eastAsia="Times New Roman" w:hAnsi="Times New Roman"/>
          <w:sz w:val="18"/>
          <w:szCs w:val="18"/>
          <w:b w:val="1"/>
          <w:bCs w:val="1"/>
          <w:color w:val="auto"/>
        </w:rPr>
        <w:t>Original Registration Statement.</w:t>
      </w:r>
      <w:r>
        <w:rPr>
          <w:rFonts w:ascii="Times New Roman" w:cs="Times New Roman" w:eastAsia="Times New Roman" w:hAnsi="Times New Roman"/>
          <w:sz w:val="18"/>
          <w:szCs w:val="18"/>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 The Company has filed with the Commission a registration statement on Form F-6 (File No. 333-217353) covering the registration of the ADSs under the Securities Act. The registration statement relating to the ADSs, as amended at the time it became effective, is hereinafter referred to as the “</w:t>
      </w:r>
      <w:r>
        <w:rPr>
          <w:rFonts w:ascii="Times New Roman" w:cs="Times New Roman" w:eastAsia="Times New Roman" w:hAnsi="Times New Roman"/>
          <w:sz w:val="18"/>
          <w:szCs w:val="18"/>
          <w:b w:val="1"/>
          <w:bCs w:val="1"/>
          <w:color w:val="auto"/>
        </w:rPr>
        <w:t>ADS Registration Statement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in the Registration Statement, the ADS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the ADS Registration Statement or the Prospectus, as the case may be, as of any specified date; and all references in this Agreement to amendments or supplements to the Registration Statement, the ADS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the ADS Registration Statement or the Prospectus, as the case may be, as of any specified date.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time the Original Registration Statement is declared effective, the Company will meet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76" w:lineRule="exact"/>
        <w:rPr>
          <w:sz w:val="20"/>
          <w:szCs w:val="20"/>
          <w:color w:val="auto"/>
        </w:rPr>
      </w:pPr>
    </w:p>
    <w:p>
      <w:pPr>
        <w:jc w:val="both"/>
        <w:ind w:firstLine="656"/>
        <w:spacing w:after="0" w:line="258" w:lineRule="auto"/>
        <w:tabs>
          <w:tab w:leader="none" w:pos="162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The Original Registration Statement and any Rule 462(b) Registration Statement have been or will be declared effective by the Commission under the Securities Act. The Company has complied or will comply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Prospectus when filed complied or will comply in all material respects with the Securities Act and, if filed with the Commission through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(except as may be permitted by Regulation S T under the Securities Act), was identical to the copy thereof delivered to the Agent for use in connection with the issuance and sale of the Shares. Each of the Registration Statement, the ADS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(except that the foregoing shall not apply to those parts of the Registration Statement that constitute the Statement of Eligibility (Form T-1) under the Trust Indenture Act of 1939). As of the date of this Agreement, the Prospectus and any Free Writing Prospectus (as defined below) considered together (collectively, the “</w:t>
      </w:r>
      <w:r>
        <w:rPr>
          <w:rFonts w:ascii="Times New Roman" w:cs="Times New Roman" w:eastAsia="Times New Roman" w:hAnsi="Times New Roman"/>
          <w:sz w:val="18"/>
          <w:szCs w:val="18"/>
          <w:b w:val="1"/>
          <w:bCs w:val="1"/>
          <w:color w:val="auto"/>
        </w:rPr>
        <w:t>Time of Sale Information</w:t>
      </w:r>
      <w:r>
        <w:rPr>
          <w:rFonts w:ascii="Times New Roman" w:cs="Times New Roman" w:eastAsia="Times New Roman" w:hAnsi="Times New Roman"/>
          <w:sz w:val="18"/>
          <w:szCs w:val="18"/>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the ADS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56"/>
        <w:spacing w:after="0" w:line="253" w:lineRule="auto"/>
        <w:tabs>
          <w:tab w:leader="none" w:pos="152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Ineligible Issuer Status</w:t>
      </w:r>
      <w:r>
        <w:rPr>
          <w:rFonts w:ascii="Times New Roman" w:cs="Times New Roman" w:eastAsia="Times New Roman" w:hAnsi="Times New Roman"/>
          <w:sz w:val="18"/>
          <w:szCs w:val="18"/>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the ADS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1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or deemed to be incorporated by reference in the Registration Statement, the ADS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5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The documents incorporated or deemed to be incorporated by reference in the Prospectus, at the time they were or hereafter are filed with the Commission or became effective under the Exchange Act, as the case may be, and any Free Writing Prospectus or amendment or supplement thereto complied and will comply in all material respects with the requirements of the Exchange Act, and, when read together with the other information in the Prospectus, at the time the Registration Statement, the ADS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This Agreement</w:t>
      </w:r>
      <w:r>
        <w:rPr>
          <w:rFonts w:ascii="Times New Roman" w:cs="Times New Roman" w:eastAsia="Times New Roman" w:hAnsi="Times New Roman"/>
          <w:sz w:val="18"/>
          <w:szCs w:val="18"/>
          <w:color w:val="auto"/>
        </w:rPr>
        <w:t>. The Company has the corporate power to enter into this Agreement and this Agreement has been duly authorized, executed and delivered by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56"/>
        <w:spacing w:after="0" w:line="254" w:lineRule="auto"/>
        <w:tabs>
          <w:tab w:leader="none" w:pos="178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Shares</w:t>
      </w:r>
      <w:r>
        <w:rPr>
          <w:rFonts w:ascii="Times New Roman" w:cs="Times New Roman" w:eastAsia="Times New Roman" w:hAnsi="Times New Roman"/>
          <w:sz w:val="18"/>
          <w:szCs w:val="18"/>
          <w:color w:val="auto"/>
        </w:rPr>
        <w:t>. The Ordinary Shares represented by the Shares may be freely deposited by the Company with the Depositary or its nominee against issuance of ADRs evidencing such Shares, as contemplated by the Deposit Agreement. The Shares and the Ordinary Shares represented by such Shares prior to the delivery of each Issuance Notice, will be duly and validly authorized for issuance and sale pursuant to this Agreement (including, in respect of Ordinary Shares represented by the ADSs, pursuant to section 551 of the CA 2006 and, when issued and delivered by the Company against payment therefor pursuant to this Agreement, will be validly issued, fully paid and nonassessable, and the issuance and sale of the Shares and the Ordinary Shares represented by such Shares is not subject to any liens, encumbrances, preemptive rights, (save to the extent validly disapplied), rights of first refusal or other similar rights to subscribe for or purchase such Shares or Ordinary Shares (including those provided by section 561(1) of CA 2006 in respect of the Ordinary Shares represented by ADSs) and the Ordinary Shares represented by the ADSs will rank equally in all respects with the existing Ordinary Shares.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Applicable Registration or Other Similar Rights</w:t>
      </w:r>
      <w:r>
        <w:rPr>
          <w:rFonts w:ascii="Times New Roman" w:cs="Times New Roman" w:eastAsia="Times New Roman" w:hAnsi="Times New Roman"/>
          <w:sz w:val="18"/>
          <w:szCs w:val="18"/>
          <w:color w:val="auto"/>
        </w:rPr>
        <w:t>. There are no persons with registration or other similar rights to have any equity or debt securities registered for sale under the Registration Statement or the ADS Registration Statement or included in the offering contemplated by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72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would reasonably be expected to result in a material adverse change, in (A) the condition, financial or otherwise, or in the earnings, business, properties, operations,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or has entered into any transactions not in the ordinary course of business; and (iii) there has not been any material decrease in the share capital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share capital, or any repurchase or redemption by the Company or any of its subsidiaries of any class of share capital.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656"/>
        <w:spacing w:after="0" w:line="252" w:lineRule="auto"/>
        <w:tabs>
          <w:tab w:leader="none" w:pos="17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Deposit Agreement; ADRs</w:t>
      </w:r>
      <w:r>
        <w:rPr>
          <w:rFonts w:ascii="Times New Roman" w:cs="Times New Roman" w:eastAsia="Times New Roman" w:hAnsi="Times New Roman"/>
          <w:sz w:val="18"/>
          <w:szCs w:val="18"/>
          <w:color w:val="auto"/>
        </w:rPr>
        <w:t>. The Deposit Agreement has been duly authorized, executed and delivered by the Company and, assuming due authorization, execution and delivery by the Depositary, constitutes a valid and legally binding obligation of the Company, enforceable in accordance with its terms, except as the enforceability thereof may be limited by bankruptcy, insolvency, reorganization or similar laws relating to or affecting creditors’ rights generally or by general equitable principles. Upon due issuance by the Depositary of the ADRs evidencing the Shares against the deposit of the Ordinary Shares in respect thereof in accordance with the provisions of the Deposit Agreement, such ADRs will be duly and validly issued and the persons in whose names the ADRs are registered will be entitled to the rights specified therein and in the Deposit Agreement. The issuance and sale of the Shares by the Company and the deposit of the Ordinary Shares with the Custodian and the issuance of the ADRs evidencing such Shares as contemplated by this Agreement and the Deposit Agreement will not trigger any anti-dilution rights of any holder of any Ordinary Shares or ADSs, securities convertible into or exchangeable or exercisable for Ordinary Shares or ADSs or options, warrants or other rights to purchase Ordinary Shares or ADSs or any other securities of the Company with respect to such Ordinary Shares, ADSs, securities, options, warrants or rights, save for any rights of pre-emption under the CA 2006 that have been duly waived or disapplied. The Deposit Agreement and the ADRs conform in all material respects to each description thereof in the Prospectus. Each holder of ADRs issued pursuant to the Deposit Agreement shall be entitled, subject to the Deposit Agreement, to seek enforcement of its rights through the Depositary or its nominee registered as a representative of the holders of the ADRs in a direct suit, action or proceeding against the Company.</w:t>
      </w:r>
    </w:p>
    <w:p>
      <w:pPr>
        <w:spacing w:after="0" w:line="197" w:lineRule="exact"/>
        <w:rPr>
          <w:rFonts w:ascii="Times New Roman" w:cs="Times New Roman" w:eastAsia="Times New Roman" w:hAnsi="Times New Roman"/>
          <w:sz w:val="18"/>
          <w:szCs w:val="18"/>
          <w:color w:val="auto"/>
        </w:rPr>
      </w:pPr>
    </w:p>
    <w:p>
      <w:pPr>
        <w:jc w:val="both"/>
        <w:ind w:firstLine="656"/>
        <w:spacing w:after="0" w:line="256" w:lineRule="auto"/>
        <w:tabs>
          <w:tab w:leader="none" w:pos="17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PricewaterhouseCoopers LLP, which has expressed its opinion with respect to the financial statements (which term as used in this Agreement includes the related notes thereto)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65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filed with the Commission as a part of the Registration Statement and the Prospectus present fairly, in all material respects, the consolidated financial position of the Company and its subsidiaries as of the dates indicated and the results of their operations, changes in shareholders’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or incorporated by reference in the Registration Statement or the Prospectus. The financial data set forth in each of the Registration Statement and the Prospectus fairly present, in all material respects, the information set forth therein on a basis consistent with that of the audited financial statements contained in the Registration Statement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656"/>
        <w:spacing w:after="0" w:line="253" w:lineRule="auto"/>
        <w:tabs>
          <w:tab w:leader="none" w:pos="15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Accounting System</w:t>
      </w:r>
      <w:r>
        <w:rPr>
          <w:rFonts w:ascii="Times New Roman" w:cs="Times New Roman" w:eastAsia="Times New Roman" w:hAnsi="Times New Roman"/>
          <w:sz w:val="18"/>
          <w:szCs w:val="18"/>
          <w:color w:val="auto"/>
        </w:rPr>
        <w:t>. The Company and each of its subsidiaries make and keep accurate books and records and maintain a system of internal accounting controls designed, and which the Company reasonably believes is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The Company has not received any notice, oral or written, from the Company’s board of directors stating that it is reviewing or investigating, and neither the Company’s independent auditors nor its internal auditors have recommended that the Company’s board of directors review or investigate, (i) adding to, deleting, changing the application of, or changing the Company’s disclosure with respect to, any of the Company’s material accounting policies; or (ii) any matter which could result in a restatement of the Company’s financial statements for any annual or interim period during the current or prior three fiscal years.</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6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 and Procedures; Deficiencies in or Changes to Internal Control Over Financial Reporting</w:t>
      </w:r>
      <w:r>
        <w:rPr>
          <w:rFonts w:ascii="Times New Roman" w:cs="Times New Roman" w:eastAsia="Times New Roman" w:hAnsi="Times New Roman"/>
          <w:sz w:val="18"/>
          <w:szCs w:val="18"/>
          <w:color w:val="auto"/>
        </w:rPr>
        <w:t>. The Company has established and maintains disclosure controls and procedures (as defined in Rules 13a-15 and 15d-15 under the Exchange Act), which are designed to ensure that material information relating to the Company, including its consolidated subsidiaries, is made known to the Company’s principal executive officer and its principal financial officer by others within those entities; (iii) have been evaluated by management of the Company for effectiveness as of the end of the Company’s most recent fiscal year; and (iv) are effective in all material respects to perform the functions for which they were established.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176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Good Standing of the Company</w:t>
      </w:r>
      <w:r>
        <w:rPr>
          <w:rFonts w:ascii="Times New Roman" w:cs="Times New Roman" w:eastAsia="Times New Roman" w:hAnsi="Times New Roman"/>
          <w:sz w:val="18"/>
          <w:szCs w:val="18"/>
          <w:color w:val="auto"/>
        </w:rPr>
        <w:t>. The Company has been duly incorporated and is validly existing as a public limited company under the laws of England and Wales and has the corporate power and authority to own, lease and operate its properties and to conduct its business as described in the Registration Statement and the Prospectus and to enter into and perform its obligations under this Agreement in all material respects.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be in good standing would not reasonably be expected, individually or in the aggregate,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56"/>
        <w:spacing w:after="0" w:line="252" w:lineRule="auto"/>
        <w:tabs>
          <w:tab w:leader="none" w:pos="157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in all material respects.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so qualify or be in good standing would not reasonably be expected, individually or in the aggregate, to have a Material Adverse Effect. All of the issued and outstanding share capital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share capital or equity interest in any subsidiary of the Company was issued in violation of preemptive or similar rights of any security holder of such subsidiary. The constitutive or organizational documents of each of the Company’s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most recent Annual Report on Form 10-K.</w:t>
      </w:r>
    </w:p>
    <w:p>
      <w:pPr>
        <w:spacing w:after="0" w:line="197" w:lineRule="exact"/>
        <w:rPr>
          <w:rFonts w:ascii="Times New Roman" w:cs="Times New Roman" w:eastAsia="Times New Roman" w:hAnsi="Times New Roman"/>
          <w:sz w:val="18"/>
          <w:szCs w:val="18"/>
          <w:color w:val="auto"/>
        </w:rPr>
      </w:pPr>
    </w:p>
    <w:p>
      <w:pPr>
        <w:jc w:val="both"/>
        <w:ind w:firstLine="656"/>
        <w:spacing w:after="0" w:line="252" w:lineRule="auto"/>
        <w:tabs>
          <w:tab w:leader="none" w:pos="15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and Other Share Capital Matters</w:t>
      </w:r>
      <w:r>
        <w:rPr>
          <w:rFonts w:ascii="Times New Roman" w:cs="Times New Roman" w:eastAsia="Times New Roman" w:hAnsi="Times New Roman"/>
          <w:sz w:val="18"/>
          <w:szCs w:val="18"/>
          <w:color w:val="auto"/>
        </w:rPr>
        <w:t>. The authorized, issued and outstanding share capital of the Company is as set forth in the Registration Statement and the Prospectus in all material respects (other than for subsequent issuances, if any, pursuant to employee benefit plans, or upon the exercise of outstanding options or warrants, in each case described in the Registration Statement and the Prospectus). The share capital of the Company, including the Shares, conforms in all material respects to each description thereof contained in the Prospectus. All of the issued Ordinary Shares and issued and outstanding ADSs have been duly authorized and validly issued, are fully paid and will not be subject to any call for the payment of further capital and have been issued in compliance with all applicable securities laws. None of the issued Ordinary Shares or issued and outstanding ADSs were issued in violation of any preemptive rights, rights of first refusal or other similar rights to subscribe for or purchase securities of the Company. The form of certificates for the Ordinary Shares conform to the corporate law of the jurisdiction of England and Wales and to any requirements of the Company’s articles of association. There are no authorized or outstanding options, warrants, preemptive rights, (other than pre-emption rights provided for under the CA 2006), rights of first refusal or other rights to purchase, or equity or debt securities convertible into or exchangeable or exercisable for, any share capital of the Company or any of its subsidiaries other than those described in the Registration Statement and the Prospectus. The descriptions of the Company’s share option, share bonus and other share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 The ADRs evidencing the Shares are in due and proper form.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656"/>
        <w:spacing w:after="0" w:line="258" w:lineRule="auto"/>
        <w:tabs>
          <w:tab w:leader="none" w:pos="175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Listings</w:t>
      </w:r>
      <w:r>
        <w:rPr>
          <w:rFonts w:ascii="Times New Roman" w:cs="Times New Roman" w:eastAsia="Times New Roman" w:hAnsi="Times New Roman"/>
          <w:sz w:val="18"/>
          <w:szCs w:val="18"/>
          <w:color w:val="auto"/>
        </w:rPr>
        <w:t>. The ADSs are registered pursuant to Section 12(b) of the Exchange Act and are listed on the Principal Market and the Company has taken no action designed to, or likely to have the effect of, terminating the registration of the ADSs under the Exchange Act or delisting the ADSs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3" w:lineRule="exact"/>
        <w:rPr>
          <w:rFonts w:ascii="Times New Roman" w:cs="Times New Roman" w:eastAsia="Times New Roman" w:hAnsi="Times New Roman"/>
          <w:sz w:val="18"/>
          <w:szCs w:val="18"/>
          <w:color w:val="auto"/>
        </w:rPr>
      </w:pPr>
    </w:p>
    <w:p>
      <w:pPr>
        <w:jc w:val="both"/>
        <w:ind w:firstLine="656"/>
        <w:spacing w:after="0" w:line="251" w:lineRule="auto"/>
        <w:tabs>
          <w:tab w:leader="none" w:pos="16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 of Existing Instruments; No Further Authorizations or Approvals Required</w:t>
      </w:r>
      <w:r>
        <w:rPr>
          <w:rFonts w:ascii="Times New Roman" w:cs="Times New Roman" w:eastAsia="Times New Roman" w:hAnsi="Times New Roman"/>
          <w:sz w:val="18"/>
          <w:szCs w:val="18"/>
          <w:color w:val="auto"/>
        </w:rPr>
        <w:t>. Neither the Company nor any of its subsidiaries (i) is in violation of its articles of association, partnership agreement or operating agreement or similar constitutional or organizational documents, as applicable, or (ii) is in default (or, with the giving of notice or lapse of time, would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8"/>
          <w:szCs w:val="18"/>
          <w:b w:val="1"/>
          <w:bCs w:val="1"/>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except for such Defaults as would not reasonably be expected, individually or in the aggregate, to have a Material Adverse Effect.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execution, delivery and performance of this Agreement, consummation of the transactions contemplated hereby, by the Deposit Agreement and by the Registration Statement, the ADS Registration Statement and the Prospectus and the issuance and sale of the Offered Securities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articles of association, partnership agreement or operating agreement or similar constitutional or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in the case of clauses (ii) and (iii), as would not reasonably be expected, individually or in the aggregate, to have a Material Adverse Effect.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by the Deposit Agreement and by the Registration Statement, the ADS Registration Statement and the 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the CA 2006 or the Nasdaq As used herein, a “</w:t>
      </w:r>
      <w:r>
        <w:rPr>
          <w:rFonts w:ascii="Times New Roman" w:cs="Times New Roman" w:eastAsia="Times New Roman" w:hAnsi="Times New Roman"/>
          <w:sz w:val="18"/>
          <w:szCs w:val="18"/>
          <w:b w:val="1"/>
          <w:bCs w:val="1"/>
          <w:color w:val="auto"/>
        </w:rPr>
        <w:t>Debt 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 note, debenture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evidence of indebtedness (or any person acting on such holder’s behalf) the right to require the repurchase, redemption or repayment of all or a portion of such indebtedness by the Company or any of its subsidiaries.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56"/>
        <w:spacing w:after="0" w:line="266" w:lineRule="auto"/>
        <w:tabs>
          <w:tab w:leader="none" w:pos="160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its subsidiaries have been and are in compliance with all applicable laws, rules and regulations, except where failure to be so in compliance would not reasonably be expected, individually or in the aggregate, to have a Material Adverse Effect.</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Actions or Proceedings</w:t>
      </w:r>
      <w:r>
        <w:rPr>
          <w:rFonts w:ascii="Times New Roman" w:cs="Times New Roman" w:eastAsia="Times New Roman" w:hAnsi="Times New Roman"/>
          <w:sz w:val="18"/>
          <w:szCs w:val="18"/>
          <w:color w:val="auto"/>
        </w:rPr>
        <w:t>. There is no action, suit, proceeding, inquiry or investigation brought by or before any governmental entity now pending or, to the knowledge of the Company, threatened, against or affecting the Company or any of its subsidiaries, which would reasonably be expected, individually or in the aggregate, to have a Material Adverse Effect or materially and adversely affect the consummation of the transactions contemplated by this Agreement or the Deposit Agreement or the performance by the Company of its obligations hereunder or thereunder; and the aggregate of all pending legal or governmental proceedings to which the Company or any such subsidiary is a party or of which any of their respective properties or assets is the subject, including ordinary routine litigation incidental to the business, if determined adversely to the Company, would not reasonably be expected to have a Material Adverse Effect.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188"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Except as disclosed in the Registration Statement and the Prospectus:</w:t>
      </w:r>
    </w:p>
    <w:p>
      <w:pPr>
        <w:spacing w:after="0" w:line="225" w:lineRule="exact"/>
        <w:rPr>
          <w:sz w:val="20"/>
          <w:szCs w:val="20"/>
          <w:color w:val="auto"/>
        </w:rPr>
      </w:pPr>
    </w:p>
    <w:p>
      <w:pPr>
        <w:jc w:val="both"/>
        <w:ind w:left="660" w:hanging="4"/>
        <w:spacing w:after="0" w:line="261" w:lineRule="auto"/>
        <w:tabs>
          <w:tab w:leader="none" w:pos="132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possess sufficient legal rights to all inventions, patent applications, patents, trademarks, trade names, service names, copyrights, trade secrets and other intellectual property described in the Registration Statement and the Prospectus as necessary for the conduct of their respective businesses as currently conducted or as currently proposed to be conducted (collectively,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5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candidates described in the Registration Statement and the Prospectus as under development by the Company or any subsidiary fall within the scope of claims of one or more patents owned by, or exclusively licensed to, the Company or any subsidiary, except as would not reasonably be expected to have, individually or in the aggregate, a Material Adverse Effect.</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14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third party has infringed or is infringing any Company Intellectual Property or has otherwise misappropriated or is otherwise misappropriating any Company Intellectual Property.</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128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Company product or service used, reproduced, modified, distributed, licensed, sublicensed, marketed or sold (or proposed to be used, reproduced, modified, distributed, licensed, sublicensed, marketed or sold) by the Company violates or will violate any license or infringes or will infringe any rights to intellectual property of any other party. The Company has not received any communications alleging that the Company has violated or, by conducting its business, would infringe, misappropriate, dilute, violate or otherwise use without authorization any of intellectual property of any third party. The Company is not aware of any potential infringement of any third party intellectual property, nor are they aware of any facts which would form a reasonable basis for such infringement.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7" w:name="page88"/>
    <w:bookmarkEnd w:id="87"/>
    <w:p>
      <w:pPr>
        <w:jc w:val="both"/>
        <w:ind w:left="4" w:hanging="4"/>
        <w:spacing w:after="0" w:line="261" w:lineRule="auto"/>
        <w:tabs>
          <w:tab w:leader="none" w:pos="86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commercially available software products under standard end-user object code license agreements, the Company is not aware of any outstanding option, license, agreement, claim, encumbrance or shared ownership interest of any kind relating to the Company Intellectual Property, nor is the Company aware of any options, licenses or agreements of any kind with respect to the intellectual property of any other Person other than what is disclosed in the Registration Statement and the Prospectus.</w:t>
      </w:r>
    </w:p>
    <w:p>
      <w:pPr>
        <w:spacing w:after="0" w:line="179" w:lineRule="exact"/>
        <w:rPr>
          <w:rFonts w:ascii="Times New Roman" w:cs="Times New Roman" w:eastAsia="Times New Roman" w:hAnsi="Times New Roman"/>
          <w:sz w:val="18"/>
          <w:szCs w:val="18"/>
          <w:color w:val="auto"/>
        </w:rPr>
      </w:pPr>
    </w:p>
    <w:p>
      <w:pPr>
        <w:ind w:left="4" w:hanging="4"/>
        <w:spacing w:after="0" w:line="282"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each item of the Company’s Intellectual Property properly identifies each and every inventor of the claims thereof as determined in accordance with the law of the jurisdiction in which such Company Intellectual Property is issued or pending.</w:t>
      </w:r>
    </w:p>
    <w:p>
      <w:pPr>
        <w:spacing w:after="0" w:line="161"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6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Company is not in breach of any agreement affecting the Company Intellectual Property, and has not taken any action that would impair or otherwise adversely affects its rights in the Company Intellectual Property, except, in each case, as would not reasonably be expected to have, individually or in the aggregate, a Material Adverse Effect.</w:t>
      </w:r>
    </w:p>
    <w:p>
      <w:pPr>
        <w:spacing w:after="0" w:line="175" w:lineRule="exact"/>
        <w:rPr>
          <w:rFonts w:ascii="Times New Roman" w:cs="Times New Roman" w:eastAsia="Times New Roman" w:hAnsi="Times New Roman"/>
          <w:sz w:val="18"/>
          <w:szCs w:val="18"/>
          <w:color w:val="auto"/>
        </w:rPr>
      </w:pPr>
    </w:p>
    <w:p>
      <w:pPr>
        <w:jc w:val="both"/>
        <w:ind w:left="4" w:hanging="4"/>
        <w:spacing w:after="0" w:line="258"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proceedings are pending or , to the Company's knowledge threatened which challenge the validity, enforceability, scope, ownership or use of any Company Intellectual Property. The Company Intellectual Property is not subject to any outstanding order, interference, re-examination, inter partes review, opposition, cancellation proceeding or other post-issuance proceeding. The Company is not aware of any facts which would form a reasonable basis for any such proceedings described in this paragraph (viii) and which would be expected to have, individually or in the aggregate, a Material Adverse Effect.</w:t>
      </w:r>
    </w:p>
    <w:p>
      <w:pPr>
        <w:spacing w:after="0" w:line="183"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8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Company Intellectual Property is valid and enforceable, and there are no published patent rights, articles, or other prior art references, or any other prior art or material information, that could render invalid or unenforceable or could prevent the issuance of, in whole or in part, any of the granted Company Intellectual Property or any claim therein. All material prior art of which the Company was aware during the pendency of any application relating to any Company Intellectual Property was properly filed with the patent authorities in the applicable jurisdiction in which such application was pending. For all Company Intellectual Property, the Company and its Representatives have met their duty of candor as required under 37 C.F.R. 1.56 and complied with analogous Law outside the United States requiring disclosure of references.</w:t>
      </w:r>
    </w:p>
    <w:p>
      <w:pPr>
        <w:spacing w:after="0" w:line="188"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8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Company has taken all actions reasonably necessary to protect, and where necessary register, the copyrights, trademarks, patent rights and trade secrets owned by or licensed exclusively to the Company (solely where the Company has the right to take such actions as to in-licensed intellectual property rights).</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8" w:name="page89"/>
    <w:bookmarkEnd w:id="88"/>
    <w:p>
      <w:pPr>
        <w:jc w:val="both"/>
        <w:ind w:left="660" w:hanging="4"/>
        <w:spacing w:after="0" w:line="261" w:lineRule="auto"/>
        <w:tabs>
          <w:tab w:leader="none" w:pos="13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current and former employee and individual contractor of the Company who is or was involved in the creation or development of any Company Intellectual Property has executed and delivered and, to the Company’s knowledge, is in compliance with an employment or consulting agreement containing nondisclosure, assignment and non-solicitation provisions, except as could not reasonably be expected to have, individually or in the aggregate, a Material Adverse Effect.</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63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none of the Company's employees or individual contractors is obligated under any agreement, commitment, judgment, decree or order (an “</w:t>
      </w:r>
      <w:r>
        <w:rPr>
          <w:rFonts w:ascii="Times New Roman" w:cs="Times New Roman" w:eastAsia="Times New Roman" w:hAnsi="Times New Roman"/>
          <w:sz w:val="18"/>
          <w:szCs w:val="18"/>
          <w:b w:val="1"/>
          <w:bCs w:val="1"/>
          <w:color w:val="auto"/>
        </w:rPr>
        <w:t>Employee Obligation</w:t>
      </w:r>
      <w:r>
        <w:rPr>
          <w:rFonts w:ascii="Times New Roman" w:cs="Times New Roman" w:eastAsia="Times New Roman" w:hAnsi="Times New Roman"/>
          <w:sz w:val="18"/>
          <w:szCs w:val="18"/>
          <w:color w:val="auto"/>
        </w:rPr>
        <w:t>”) that would or could reasonably be expected to either interfere with the use of his or her best efforts to promote the interests of the Company or conflict with its business as conducted or proposed to be conducted.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9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Company is not using, and it will not be necessary to use, (A) any inventions of any of their past or present employees or individual contractors (or people currently intended to be hired) made prior to or outside the scope of their employment or consulting agreement by the Company or (B) any confidential information or trade secret of any former employer of any such person.</w:t>
      </w:r>
    </w:p>
    <w:p>
      <w:pPr>
        <w:spacing w:after="0" w:line="176" w:lineRule="exact"/>
        <w:rPr>
          <w:sz w:val="20"/>
          <w:szCs w:val="20"/>
          <w:color w:val="auto"/>
        </w:rPr>
      </w:pPr>
    </w:p>
    <w:p>
      <w:pPr>
        <w:jc w:val="both"/>
        <w:ind w:firstLine="656"/>
        <w:spacing w:after="0" w:line="256" w:lineRule="auto"/>
        <w:tabs>
          <w:tab w:leader="none" w:pos="14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Necessary Permits, etc</w:t>
      </w:r>
      <w:r>
        <w:rPr>
          <w:rFonts w:ascii="Times New Roman" w:cs="Times New Roman" w:eastAsia="Times New Roman" w:hAnsi="Times New Roman"/>
          <w:sz w:val="18"/>
          <w:szCs w:val="18"/>
          <w:color w:val="auto"/>
        </w:rPr>
        <w:t>. The Company and its subsidiaries possess such valid and current certificates, authorizations or permits required by state, federal or foreign regulatory agencies or bodies to conduct their respective businesses as currently conducted and as described in the Registration Statement or the Prospectus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except where failure to possess such Permits would not reasonably be expected, individually or in the aggregate, to result in a Material Adverse Effect. Neither the Company nor any of its subsidiaries is in violation of, or in default under, any of the Permits or has received any written notice of proceedings relating to the revocation or modification of, or non-compliance with, any such certificate, authorization or permit, except in each case as would not reasonably be expected, individually or in the aggregate, to result in a Material Adverse Effect.</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43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The Company and its subsidiaries have good and marketable title to all of the real and personal property and other assets reflected as owned in the financial statements referred to in Section 2(l) above (or elsewhere in the Registration Statement or the Prospectus), in each case free and clear of any security interests, mortgages, liens, encumbrances, equities, adverse claims and other defects, except such as would not reasonably be expected, individually or in the aggregate, to have a Material Adverse Effect.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30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Law Compliance</w:t>
      </w:r>
      <w:r>
        <w:rPr>
          <w:rFonts w:ascii="Times New Roman" w:cs="Times New Roman" w:eastAsia="Times New Roman" w:hAnsi="Times New Roman"/>
          <w:sz w:val="18"/>
          <w:szCs w:val="18"/>
          <w:color w:val="auto"/>
        </w:rPr>
        <w:t>. The Company and its subsidiaries have filed all necessary non U.S. and U.S. (federal and state) tax returns or have properly requested extensions thereof and such returns were when filed complete and correct, and have paid all taxes required to be paid by any of them and, if due and payable, any related or similar assessment, fine or penalty levied against any of them except as may be being contested in good faith and by appropriate proceedings or where the failure to file such tax returns or to pay such taxes would not, individually or in the aggregate, result in a Material Adverse Effect. The Company and its subsidiaries do not have any tax deficiencies or claims outstanding or assessed or, to the Company’s knowledge, proposed against them except as would not, individually or in the aggregate, result in a Materially Adverse Effect. The Company has made adequate charges, accruals and reserves in the applicable financial statements referred to in Section 2(l) above in respect of all material taxes and related material liabilities for all periods as to which the tax liability of the Company or any of its subsidiaries has not been finally determined (including, for the avoidance of doubt, in respect of all material taxes and related material liabilities which are tax deficiencies or claims, whether proposed or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56"/>
        <w:spacing w:after="0" w:line="255" w:lineRule="auto"/>
        <w:tabs>
          <w:tab w:leader="none" w:pos="148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Except as disclosed in the Registration Statement and the Prospectus, no stamp duty, stamp duty reserve, issuance, registration, documentary, transfer or other similar taxes or duties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are payable in the United Kingdom or the United States by or on behalf of the Agent in connection with (i) the allotment, creation, issuance and delivery of the Ordinary Shares and the ADSs (or the ADRs evidencing the ADSs) in the manner contemplated by this Agreement and the Deposit Agreement; (ii) the sale and delivery of the ADSs (or the ADRs evidencing such ADSs) to or for the account of the Agent, in each case in the manner contemplated by this Agreement and the Deposit Agreement; (iii) the sale and delivery by the Agent of the ADSs (or the ADRs evidencing the ADSs) to the initial purchasers thereof in the manner contemplated by this Agreement and the Deposit Agreement; or (iv) the execution and delivery of this Agreement.</w:t>
      </w:r>
    </w:p>
    <w:p>
      <w:pPr>
        <w:spacing w:after="0" w:line="189" w:lineRule="exact"/>
        <w:rPr>
          <w:sz w:val="20"/>
          <w:szCs w:val="20"/>
          <w:color w:val="auto"/>
        </w:rPr>
      </w:pPr>
    </w:p>
    <w:p>
      <w:pPr>
        <w:jc w:val="both"/>
        <w:ind w:firstLine="656"/>
        <w:spacing w:after="0" w:line="254" w:lineRule="auto"/>
        <w:tabs>
          <w:tab w:leader="none" w:pos="131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coverage from similar institutions as may be necessary or appropriate to conduct its business as now conducted and at a cost that would not reasonably be expected to have a Material Adverse Effect. Neither the Company nor any of its subsidiaries has been denied any insurance coverage which it has sought or for which it has applied</w:t>
      </w:r>
    </w:p>
    <w:p>
      <w:pPr>
        <w:spacing w:after="0" w:line="19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Except as would not reasonably be expected, individually or in the aggregate, to have a Material</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8"/>
          <w:szCs w:val="18"/>
          <w:b w:val="1"/>
          <w:bCs w:val="1"/>
          <w:color w:val="auto"/>
        </w:rPr>
        <w:t>Hazardous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the Company and its subsidiaries have all permits, authorizations and approvals required under any applicable Environmental Laws and are each in compliance with their requirements; (iii) there are no pending or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56"/>
        <w:spacing w:after="0" w:line="253" w:lineRule="auto"/>
        <w:tabs>
          <w:tab w:leader="none" w:pos="14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32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an “Investment Company</w:t>
      </w:r>
      <w:r>
        <w:rPr>
          <w:rFonts w:ascii="Times New Roman" w:cs="Times New Roman" w:eastAsia="Times New Roman" w:hAnsi="Times New Roman"/>
          <w:sz w:val="18"/>
          <w:szCs w:val="18"/>
          <w:color w:val="auto"/>
        </w:rPr>
        <w:t>.”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49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Price Stabilization or Manipulation; Compliance with Regulation M</w:t>
      </w:r>
      <w:r>
        <w:rPr>
          <w:rFonts w:ascii="Times New Roman" w:cs="Times New Roman" w:eastAsia="Times New Roman" w:hAnsi="Times New Roman"/>
          <w:sz w:val="18"/>
          <w:szCs w:val="18"/>
          <w:color w:val="auto"/>
        </w:rPr>
        <w:t>. Neither the Company nor any of its subsidiaries or, to the Company’s knowledge, any of their respective directors, officers or affiliates has taken, directly or indirectly, any action designed to or that would reasonably be expected to cause or result in stabilization or manipulation of the price of the Shares or of any “reference security” (as defined in Rule 100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with respect to the Shares, whether to facilitate the sale or resale of the Shares or otherwise, and has taken no action which would directly or indirectly violate Regulation M.</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56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Related-Party Transactions</w:t>
      </w:r>
      <w:r>
        <w:rPr>
          <w:rFonts w:ascii="Times New Roman" w:cs="Times New Roman" w:eastAsia="Times New Roman" w:hAnsi="Times New Roman"/>
          <w:sz w:val="18"/>
          <w:szCs w:val="18"/>
          <w:color w:val="auto"/>
        </w:rPr>
        <w:t>. There are no business relationships or related-party transactions involving the Company or any of its subsidiaries or any other person required to be described in the Registration Statement or the Prospectus that have not been described as required.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56"/>
        <w:spacing w:after="0" w:line="258" w:lineRule="auto"/>
        <w:tabs>
          <w:tab w:leader="none" w:pos="13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The information provided to the Agent or to counsel for the Agent by the Company and, to the Company’s knowledge, its counsel, its officers and directors and the holders of any securities (debt or equity) or options to acquire any securities of the Company in connection with the offering of the Shares is true, complete, correct in all material respects and compliant with FINRA’s rules and any letters, filings or other supplemental information provided to FINRA pursuant to FINRA Rules or NASD Conduct Rules is true, complete and correct in all material respects. The Company meets the definition of the term “experienced issuer” specified in FINRA Rule 5110(j)(6).</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All statistical, demographic and market-related data included or incorporated by reference in the Registration Statement or the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Contributions or Other Payments</w:t>
      </w:r>
      <w:r>
        <w:rPr>
          <w:rFonts w:ascii="Times New Roman" w:cs="Times New Roman" w:eastAsia="Times New Roman" w:hAnsi="Times New Roman"/>
          <w:sz w:val="18"/>
          <w:szCs w:val="18"/>
          <w:color w:val="auto"/>
        </w:rPr>
        <w:t>. 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or the Prospectus.</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39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Neither the Company nor any of its subsidiaries or, to the Company’s knowledge, their respective affiliates nor any director, officer or employee of the Company or any of its subsidiaries or their respective affiliates, any agent, representative or other person associated with or acting on behalf of the Company or any of its subsidiaries or their respective affiliates has, in the course of its actions for, or on behalf of, the Company or any of its subsidiaries (i) used any corporate funds for any unlawful contribution, gift, entertainment or other unlawful expenses relating to political activity; (ii) made or taken an act in furtherance of an offer, promise or authorization of any direct or indirect unlawful payment or benefit to any domestic government official, “foreign official” (as defined in the U.S. Foreign Corrupt Practices Act of 1977, as amended, and the rules and regulations thereunder (collectively,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FCPA, the UK Bribery Act 2010 or any other applicable anti-bribery or anti-corruption laws; or (iv) made, offered, agreed, requested or taken an act in furtherance of any unlawful bribe, rebate, payoff, influence payment, kickback or other unlawful or improper payment or benefit; and the Company and its subsidiaries and, to the Company’s knowledge, its affiliates have conducted their respective businesses in compliance with the applicable anti-bribery and anti-corruption laws and have instituted and maintain and continue to maintain policies and procedures designed to ensure, and which are reasonably expected to continue to ensure, continued compliance with such laws and with the representation and warranty contained herein. In addition, the Company and its subsidiaries have adequate procedures in accordance with guidelines published under section 9 of the UK Bribery Act 2010 by the Secretary of State in place to prevent any persons who perform services for or on behalf of the Company or any of its subsidiaries from bribing another person (within the meaning given in section 7(3) of the UK Bribery Act 2010) intending to obtain or retain business or an advantage in the conduct of business for the Company or any of its subsidiaries.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56"/>
        <w:spacing w:after="0" w:line="256" w:lineRule="auto"/>
        <w:tabs>
          <w:tab w:leader="none" w:pos="136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48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 of State, the United Nations Security Council, the European Union, Her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Sanctions, including, without limitation, Crimea,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other than Russia, that at the time of such financing, is the subject or the target of Sanctions prohibiting such financing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143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pursuant to this Agreement, there is no broker, finder or other party that is entitled to receive from the Company any brokerage or finder’s fee or other fee or commission as a result of any transactions contemplated by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The Company has the power to submit, and pursuant to Section 8(g) of this Agreement, has legally, validly, effectively and irrevocably submitted, to the personal jurisdiction of each United States federal court and New York state court located in the Borough of Manhattan, in the City of New York, New York, U.S.A. (each, a “</w:t>
      </w:r>
      <w:r>
        <w:rPr>
          <w:rFonts w:ascii="Times New Roman" w:cs="Times New Roman" w:eastAsia="Times New Roman" w:hAnsi="Times New Roman"/>
          <w:sz w:val="18"/>
          <w:szCs w:val="18"/>
          <w:b w:val="1"/>
          <w:bCs w:val="1"/>
          <w:color w:val="auto"/>
        </w:rPr>
        <w:t>New York Court</w:t>
      </w:r>
      <w:r>
        <w:rPr>
          <w:rFonts w:ascii="Times New Roman" w:cs="Times New Roman" w:eastAsia="Times New Roman" w:hAnsi="Times New Roman"/>
          <w:sz w:val="18"/>
          <w:szCs w:val="18"/>
          <w:color w:val="auto"/>
        </w:rPr>
        <w:t>”), and the Company has the power to designate, appoint and authorize, and pursuant to Section 8(g) of this Agreement, has legally, validly, effectively and irrevocably designated, appointed and authorized an agent for service of process in any action arising out of or relating to this Agreement or the Shares in any New York Court, and service of process effected on such authorized agent will be effective to confer valid personal jurisdiction over the Company as provided in Section 8(g)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56"/>
        <w:spacing w:after="0" w:line="252" w:lineRule="auto"/>
        <w:tabs>
          <w:tab w:leader="none" w:pos="136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 of Judgement</w:t>
      </w:r>
      <w:r>
        <w:rPr>
          <w:rFonts w:ascii="Times New Roman" w:cs="Times New Roman" w:eastAsia="Times New Roman" w:hAnsi="Times New Roman"/>
          <w:sz w:val="18"/>
          <w:szCs w:val="18"/>
          <w:color w:val="auto"/>
        </w:rPr>
        <w:t>. Any final judgment for a fixed or readily calculable sum of money rendered by a New York Court having jurisdiction under its own domestic laws and recognized by the English courts as having jurisdiction (according to English conflicts of laws principles and rules of English private international law at the time when proceedings were initiated) to give such final judgment in respect of any suit, action or proceeding against the Company based upon this Agreement or the Deposit Agreement and any instruments or agreements entered into for the consummation of the transactions contemplated herein and therein would be declared enforceable against the Company, without re-examination or review of the merits of the cause of action in respect of which the original judgment was given or re-litigation of the matters adjudicated upon, by the courts of England and Wales; provided, however, that the Company may have defenses open to it and enforcement may not be permitted if, among other things, (a) the judgment was obtained by fraud, or in proceedings contrary to natural or substantial justice, or contravenes public policy in England or the Human Rights Act 1998 (or any subordinate legislation made thereunder, to the extent applicable); (b) the judgment is for a sum payable in respect of taxes, or other charges of a like nature or is in respect of a fine or other penalty or otherwise based on a foreign law that an English court considers to relate to a penal, revenue or other public law; (c) the judgment amounts to judgment on a matter previously determined by an English court or conflicts with a judgment on the same matter given by a court other than a New York Court or was obtained in breach of a jurisdiction or arbitration clause except with the agreement of the defendant or the defendant’s subsequent submission to the jurisdiction of the court; (d) the judgment is given in proceedings brought in breach of an agreement for the settlement of disputes; (e) the judgment has been arrived at by doubling, trebling or otherwise multiplying a sum assessed as compensation for the loss or damage sustained, or is a judgment that is otherwise specified in section 5 of the Protection of Trading Interests Act 1980, or is a judgment based on measures designated by the Secretary of State under section 1 of that Act; and (f) enforcement proceedings are not commenced within six years of the date of such judgment. The Company is not aware of any reason why the enforcement in England and Wales of such a New York Court judgment would be, as of the date hereof, contrary to public policy of England and Wales or the Human Rights Act 1998 (or any subordinate legislation made thereunder, to the extent applicable.</w:t>
      </w:r>
    </w:p>
    <w:p>
      <w:pPr>
        <w:spacing w:after="0" w:line="190" w:lineRule="exact"/>
        <w:rPr>
          <w:rFonts w:ascii="Times New Roman" w:cs="Times New Roman" w:eastAsia="Times New Roman" w:hAnsi="Times New Roman"/>
          <w:sz w:val="18"/>
          <w:szCs w:val="18"/>
          <w:color w:val="auto"/>
        </w:rPr>
      </w:pPr>
    </w:p>
    <w:p>
      <w:pPr>
        <w:jc w:val="both"/>
        <w:ind w:firstLine="656"/>
        <w:spacing w:after="0" w:line="253" w:lineRule="auto"/>
        <w:tabs>
          <w:tab w:leader="none" w:pos="15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of Immunity</w:t>
      </w:r>
      <w:r>
        <w:rPr>
          <w:rFonts w:ascii="Times New Roman" w:cs="Times New Roman" w:eastAsia="Times New Roman" w:hAnsi="Times New Roman"/>
          <w:sz w:val="18"/>
          <w:szCs w:val="18"/>
          <w:color w:val="auto"/>
        </w:rPr>
        <w:t>. Except as provided by laws or statutes generally applicable to transactions of the type described in this Agreement, neither the Company nor any of its respective properties, assets or revenues has any right of immunity under United Kingdom, New York or United States law, from any legal action, suit or proceeding, from the giving of any relief in any such legal action, suit or proceeding, from set-off or counterclaim, from the jurisdiction of any law of the United Kingdom,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8(g) of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656"/>
        <w:spacing w:after="0" w:line="256" w:lineRule="auto"/>
        <w:tabs>
          <w:tab w:leader="none" w:pos="1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33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The Company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firstLine="656"/>
        <w:spacing w:after="0" w:line="253" w:lineRule="auto"/>
        <w:tabs>
          <w:tab w:leader="none" w:pos="144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Data and Regulatory Compliance</w:t>
      </w:r>
      <w:r>
        <w:rPr>
          <w:rFonts w:ascii="Times New Roman" w:cs="Times New Roman" w:eastAsia="Times New Roman" w:hAnsi="Times New Roman"/>
          <w:sz w:val="18"/>
          <w:szCs w:val="18"/>
          <w:color w:val="auto"/>
        </w:rPr>
        <w:t>. The preclinical tests and clinical trials, and other studies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that are described in, or the results of which are referred to in, the Registration Statement or the Prospectus were and, if still pending, are being conducted in all material respects in accordance with applicable laws, rules, regulations and policies of the Food and Drug Administration of the U.S. Department of Health and Human Services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any committee thereof or of any other U.S. or foreign government or drug or medical device regulatory agency, or health care facility Institutional Review Board; each description of the results of such studies is accurate in all material respects, and the Company and its subsidiaries have no knowledge of any other studies the results of which are materially inconsistent with, or otherwise call into question, the results described or referred to in the Registration Statement or the Prospectus; for such studies that have been or are being conducted, the Company and its subsidiaries have made all such material filings and obtained all such approvals as may be required by foreign government or drug or medical device regulatory agencies, or foreign health care facility Institutional Review Boards; and no investigational new drug application filed by or on behalf of the Company or any of its subsidiaries with the FDA has been terminated or suspended by the FDA, and neither the FDA nor any applicable foreign regulatory agency has commenced, or, to the knowledge of the Company, threatened to initiate, any action to place a clinical hold order on, or otherwise terminate, or suspend, any proposed or ongoing studies conducted or proposed to be conducted by or on behalf of the Company or any of its subsidiaries.</w:t>
      </w:r>
    </w:p>
    <w:p>
      <w:pPr>
        <w:spacing w:after="0" w:line="193"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31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Purchase Preferred Shares</w:t>
      </w:r>
      <w:r>
        <w:rPr>
          <w:rFonts w:ascii="Times New Roman" w:cs="Times New Roman" w:eastAsia="Times New Roman" w:hAnsi="Times New Roman"/>
          <w:sz w:val="18"/>
          <w:szCs w:val="18"/>
          <w:color w:val="auto"/>
        </w:rPr>
        <w:t>. The issuance and sale of the Shares by the Company and the deposit of the Ordinary Shares with the Custodian and the issuance of the ADRs evidencing the Shares as contemplated by this Agreement and the Deposit Agreement will not cause any holder of any ADSs or Ordinary Shares, securities convertible into or exchangeable or exercisable for ADSs or Ordinary Shares or options, warrants or other rights to purchase ADSs or Ordinary Shares or any other securities of the Company to have any right to acquire any preferred shares of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5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Contract Terminations</w:t>
      </w:r>
      <w:r>
        <w:rPr>
          <w:rFonts w:ascii="Times New Roman" w:cs="Times New Roman" w:eastAsia="Times New Roman" w:hAnsi="Times New Roman"/>
          <w:sz w:val="18"/>
          <w:szCs w:val="18"/>
          <w:color w:val="auto"/>
        </w:rPr>
        <w:t>. Neither the Company nor any of its subsidiaries has sent or received any communication regarding termination of, or intent not to renew, any of the contracts or agreements referred to or described in any preliminary prospectus, the Prospectus or any free writing prospectus, or referred to or described in, or filed as an exhibit to, the Registration Statement or the ADS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656"/>
        <w:spacing w:after="0" w:line="261" w:lineRule="auto"/>
        <w:tabs>
          <w:tab w:leader="none" w:pos="144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Restrictions</w:t>
      </w:r>
      <w:r>
        <w:rPr>
          <w:rFonts w:ascii="Times New Roman" w:cs="Times New Roman" w:eastAsia="Times New Roman" w:hAnsi="Times New Roman"/>
          <w:sz w:val="18"/>
          <w:szCs w:val="18"/>
          <w:color w:val="auto"/>
        </w:rPr>
        <w:t>.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8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Offering in European Economic Area or the United Kingdom</w:t>
      </w:r>
      <w:r>
        <w:rPr>
          <w:rFonts w:ascii="Times New Roman" w:cs="Times New Roman" w:eastAsia="Times New Roman" w:hAnsi="Times New Roman"/>
          <w:sz w:val="18"/>
          <w:szCs w:val="18"/>
          <w:color w:val="auto"/>
        </w:rPr>
        <w:t>. The Company has not made and will not make an offer to the public of the Shares in any member state of the European Economic Area or the United Kingdom.</w:t>
      </w:r>
    </w:p>
    <w:p>
      <w:pPr>
        <w:spacing w:after="0" w:line="377" w:lineRule="exact"/>
        <w:rPr>
          <w:rFonts w:ascii="Times New Roman" w:cs="Times New Roman" w:eastAsia="Times New Roman" w:hAnsi="Times New Roman"/>
          <w:sz w:val="18"/>
          <w:szCs w:val="18"/>
          <w:color w:val="auto"/>
        </w:rPr>
      </w:pPr>
    </w:p>
    <w:p>
      <w:pPr>
        <w:jc w:val="both"/>
        <w:ind w:firstLine="656"/>
        <w:spacing w:after="0" w:line="252" w:lineRule="auto"/>
        <w:tabs>
          <w:tab w:leader="none" w:pos="136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 Except as described in the Registration Statement or the Prospectus, and except as would not, individually or in the aggregate, has had or may reasonably be expected to have a Material Adverse Effect, the Company and its subsidiaries are, and at all time since January 1, 2018 have been, in compliance with all applicable Health Care Laws, and have not engaged in activities which are, as applicable, cause for false claims liability, civil penalties, or mandatory or permissive exclusion from Medicare, Medicaid, or any other state health care program or federal health care program.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the federal Food, Drug and Cosmetic Act (21 U.S.C. § 301 et seq.), the federal Anti-Kickback Statute (42 U.S.C. § 1320a-7b(b)), the civil False Claims Act (31 U.S.C. §3729 et seq.), the federal False Statements Law (42 U.S.C. § 1320a-7b(a)), the Civil Monetary Penalties Law (42 U.S.C. §1320a-7a), all criminal laws relating to health care fraud and abuse, including, but not limited, to 18 U.S.C. §§ 286 and 287, the exclusions law (42 U.S.C. § 1320a-7), the statutes, regulations and directives of Medicare (Title XVIII of the Social Security Act), Medicaid (Title XIX of the Social Security Act) and all other government funded or sponsored healthcare programs, the Health Insurance Portability and Accountability Act of 1996 (42 U.S.C. § 1320d et seq.), as amended by the Health Information Technology for Economic and Clinical Health Act of 2009 (42 U.S.C. §17921 et seq.), the regulations promulgated pursuant to such laws, and all other comparable local, state, federal, national, and foreign laws relating to the regulation of the Company. The Company is not a party to any corporate integrity agreements, monitoring agreements, consent decrees, settlement orders, or similar agreements with or imposed by any governmental authority regarding any alleged non-compliance with applicable Health Care Laws in any material respects. In addition, none of the Company or its subsidiaries or, to the Company’s knowledge, any of their respective directors, officers, employees or agents is or has been since January 1, 2018 debarred, suspended or excluded from any federal or state government health care program or human clinical research, or, to the knowledge of the Company, is subject to any inquiry, investigation, proceeding, or other similar action by a governmental authority that could reasonably be expected to result in any such debarment, suspension, or exclusion.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firstLine="656"/>
        <w:spacing w:after="0" w:line="282" w:lineRule="auto"/>
        <w:tabs>
          <w:tab w:leader="none" w:pos="135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Rated Debt or Preferred Securities</w:t>
      </w:r>
      <w:r>
        <w:rPr>
          <w:rFonts w:ascii="Times New Roman" w:cs="Times New Roman" w:eastAsia="Times New Roman" w:hAnsi="Times New Roman"/>
          <w:sz w:val="18"/>
          <w:szCs w:val="18"/>
          <w:color w:val="auto"/>
        </w:rPr>
        <w:t>. There are no debt or preferred securities issued, or guaranteed, by the Company or its subsidiaries that are rated by a “nationally recognized statistical rating organization,” as such term is defined in Section 3(a)(62) of the Exchange Act.</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40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Outstanding Loans or Other Extensions of Credit</w:t>
      </w:r>
      <w:r>
        <w:rPr>
          <w:rFonts w:ascii="Times New Roman" w:cs="Times New Roman" w:eastAsia="Times New Roman" w:hAnsi="Times New Roman"/>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76" w:lineRule="exact"/>
        <w:rPr>
          <w:sz w:val="20"/>
          <w:szCs w:val="20"/>
          <w:color w:val="auto"/>
        </w:rPr>
      </w:pPr>
    </w:p>
    <w:p>
      <w:pPr>
        <w:ind w:firstLine="656"/>
        <w:spacing w:after="0" w:line="282" w:lineRule="auto"/>
        <w:tabs>
          <w:tab w:leader="none" w:pos="144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is in compliance, in all material respects, with all applicable provisions of the Sarbanes-Oxley Act of 2002 and the rules and regulations promulgated thereunder.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147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Except as described in the Registration Statement or the Prospectus, and except as would not, individually or in the aggregate, have had or may reasonably be expected to have a Material Adverse Effect, the 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as required in connection with the operation of the business of the Company and its subsidiaries as currently conducted, and to the knowledge of the Company,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(v) any other piece of information that allows the identification of such natural person, or his or her family, or permits the collection or analysis of any data related to an identified person’s health or sexual orientation. To the knowledge of the Company, since January 1, 2018,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w:t>
      </w:r>
    </w:p>
    <w:p>
      <w:pPr>
        <w:spacing w:after="0" w:line="193" w:lineRule="exact"/>
        <w:rPr>
          <w:rFonts w:ascii="Times New Roman" w:cs="Times New Roman" w:eastAsia="Times New Roman" w:hAnsi="Times New Roman"/>
          <w:sz w:val="18"/>
          <w:szCs w:val="18"/>
          <w:color w:val="auto"/>
        </w:rPr>
      </w:pPr>
    </w:p>
    <w:p>
      <w:pPr>
        <w:jc w:val="both"/>
        <w:ind w:firstLine="656"/>
        <w:spacing w:after="0" w:line="252" w:lineRule="auto"/>
        <w:tabs>
          <w:tab w:leader="none" w:pos="161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are, and since January 1, 2018 have been, in material compliance with (i) their respective contractual obligations relating to privacy, data protection or data security and (ii) all applicable state and federal data privacy and security laws and regulations, including to the extent applicable, HIPAA and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including the GDPR as incorporated into the law of the United Kingdom and as amended, and as implemented and supplemented by the Data Protection Act 2018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To the extent required by the Privacy Laws, the Company and its subsidiaries have in place, comply in all material respects with, and take commercially reasonable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Since January 1, 2018, (i) the Company and its subsidiaries have made disclosures to users or customers required by Privacy Laws, and (ii) none of such disclosures made or contained in any Policy have been inaccurate or in violation of any applicable Privacy Laws, except, with respect to (i) and (ii) above, as would not, individually or in the aggregate, reasonably be expected to have a Material Adverse Effect. Since January 1, 2018, neither the Company nor any subsidiary: (i) has received written notice of any actual or potential liability under, or actual or potential violation of, any of the Privacy Laws; (ii) is currently conducting or paying for, in whole or in part, any investigation, remediation, or other corrective action pursuant to any such written notice ; or (iii) is a party to any order, decree, or agreement that imposes any obligation or liability by any governmental or regulatory authority under any Privacy Law.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firstLine="656"/>
        <w:spacing w:after="0" w:line="282" w:lineRule="auto"/>
        <w:tabs>
          <w:tab w:leader="none" w:pos="148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Underwriting Agreements</w:t>
      </w:r>
      <w:r>
        <w:rPr>
          <w:rFonts w:ascii="Times New Roman" w:cs="Times New Roman" w:eastAsia="Times New Roman" w:hAnsi="Times New Roman"/>
          <w:sz w:val="18"/>
          <w:szCs w:val="18"/>
          <w:color w:val="auto"/>
        </w:rPr>
        <w:t>. The Company is not a party to any agreement with an agent or underwriter for any other “at the market” or continuous equity transaction.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acknowledges that the Agent and, for purposes of the opinions to be delivered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hereof, counsel to the Company and counsel to the Agent, will rely upon the accuracy and truthfulness of the foregoing representations and hereby consents to such reliance.</w:t>
      </w:r>
    </w:p>
    <w:p>
      <w:pPr>
        <w:spacing w:after="0" w:line="158"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ISSUANCE AND SALE OF ORDINARY SHARES</w:t>
      </w:r>
    </w:p>
    <w:p>
      <w:pPr>
        <w:spacing w:after="0" w:line="229" w:lineRule="exact"/>
        <w:rPr>
          <w:sz w:val="20"/>
          <w:szCs w:val="20"/>
          <w:color w:val="auto"/>
        </w:rPr>
      </w:pPr>
    </w:p>
    <w:p>
      <w:pPr>
        <w:jc w:val="both"/>
        <w:ind w:firstLine="656"/>
        <w:spacing w:after="0" w:line="261" w:lineRule="auto"/>
        <w:tabs>
          <w:tab w:leader="none" w:pos="161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Securities</w:t>
      </w:r>
      <w:r>
        <w:rPr>
          <w:rFonts w:ascii="Times New Roman" w:cs="Times New Roman" w:eastAsia="Times New Roman" w:hAnsi="Times New Roman"/>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7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Issuances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Issuance Notice</w:t>
      </w:r>
      <w:r>
        <w:rPr>
          <w:rFonts w:ascii="Times New Roman" w:cs="Times New Roman" w:eastAsia="Times New Roman" w:hAnsi="Times New Roman"/>
          <w:sz w:val="18"/>
          <w:szCs w:val="18"/>
          <w:color w:val="auto"/>
        </w:rPr>
        <w:t xml:space="preserve">. Upon the terms and subject to the conditions set forth herein, on any Trading Day during the Agency Period on which the conditions set forth in Section‎ 5(a) and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shall have been satisfied, the Company may exercise its right to request a sale of Shares by delivering to the Agent an Issuance Notice; provided, however,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 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2004695</wp:posOffset>
            </wp:positionH>
            <wp:positionV relativeFrom="paragraph">
              <wp:posOffset>-852170</wp:posOffset>
            </wp:positionV>
            <wp:extent cx="5549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Agent Efforts</w:t>
      </w:r>
      <w:r>
        <w:rPr>
          <w:rFonts w:ascii="Times New Roman" w:cs="Times New Roman" w:eastAsia="Times New Roman" w:hAnsi="Times New Roman"/>
          <w:sz w:val="18"/>
          <w:szCs w:val="18"/>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Method of Offer and Sale</w:t>
      </w:r>
      <w:r>
        <w:rPr>
          <w:rFonts w:ascii="Times New Roman" w:cs="Times New Roman" w:eastAsia="Times New Roman" w:hAnsi="Times New Roman"/>
          <w:sz w:val="18"/>
          <w:szCs w:val="18"/>
          <w:color w:val="auto"/>
        </w:rPr>
        <w:t>. The Shares may be offered and sold (A) in negotiated transactions with the consent of the Company or (B) by any other method permitted by law deemed to be an “</w:t>
      </w:r>
      <w:r>
        <w:rPr>
          <w:rFonts w:ascii="Times New Roman" w:cs="Times New Roman" w:eastAsia="Times New Roman" w:hAnsi="Times New Roman"/>
          <w:sz w:val="18"/>
          <w:szCs w:val="18"/>
          <w:b w:val="1"/>
          <w:bCs w:val="1"/>
          <w:color w:val="auto"/>
        </w:rPr>
        <w:t>at the market offering</w:t>
      </w:r>
      <w:r>
        <w:rPr>
          <w:rFonts w:ascii="Times New Roman" w:cs="Times New Roman" w:eastAsia="Times New Roman" w:hAnsi="Times New Roman"/>
          <w:sz w:val="18"/>
          <w:szCs w:val="18"/>
          <w:color w:val="auto"/>
        </w:rPr>
        <w:t>” as defined in Rule 415(a)(4) under the Securities Act, including block transactions, sales made directly on the Principal Market or sales made into any other existing trading market of the ADSs. Nothing in this Agreement shall be deemed to require either party to agree to the method of offer and sale specified in the preceding sentence, and (except as specified in clause (A) above) the method of placement of any Shares by the Agent shall be at the Agent’s discretion.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Confirmation to the Company</w:t>
      </w:r>
      <w:r>
        <w:rPr>
          <w:rFonts w:ascii="Times New Roman" w:cs="Times New Roman" w:eastAsia="Times New Roman" w:hAnsi="Times New Roman"/>
          <w:sz w:val="18"/>
          <w:szCs w:val="18"/>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Each issuance of Shares will be settled on the applicable Settlement Date for such issuance of Shares and, subject to the provisions of Section‎ 5, on or before each Settlement Date, the Company will, or will cause its transfer agent to, electronically transfer the Shares being sold against the prior deposit with the Custodian of the corresponding number of Ordinary Shares necessary for the issuance of the Shares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-852170</wp:posOffset>
            </wp:positionV>
            <wp:extent cx="4286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Suspension or Termination of Sales</w:t>
      </w:r>
      <w:r>
        <w:rPr>
          <w:rFonts w:ascii="Times New Roman" w:cs="Times New Roman" w:eastAsia="Times New Roman" w:hAnsi="Times New Roman"/>
          <w:sz w:val="18"/>
          <w:szCs w:val="18"/>
          <w:color w:val="auto"/>
        </w:rPr>
        <w:t>.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any sale of Shares after the Agent confirms such sale to the Company, the Company shall still be obligated to comply with Section‎ 3(b)(v)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ADSs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5723890</wp:posOffset>
            </wp:positionH>
            <wp:positionV relativeFrom="paragraph">
              <wp:posOffset>-854075</wp:posOffset>
            </wp:positionV>
            <wp:extent cx="694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694690"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u w:val="single" w:color="auto"/>
          <w:color w:val="auto"/>
        </w:rPr>
        <w:t>No Guarantee of Placement, Etc</w:t>
      </w:r>
      <w:r>
        <w:rPr>
          <w:rFonts w:ascii="Times New Roman" w:cs="Times New Roman" w:eastAsia="Times New Roman" w:hAnsi="Times New Roman"/>
          <w:sz w:val="18"/>
          <w:szCs w:val="18"/>
          <w:color w:val="auto"/>
        </w:rPr>
        <w:t>.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(viii) </w:t>
      </w: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76" w:lineRule="exact"/>
        <w:rPr>
          <w:sz w:val="20"/>
          <w:szCs w:val="20"/>
          <w:color w:val="auto"/>
        </w:rPr>
      </w:pPr>
    </w:p>
    <w:p>
      <w:pPr>
        <w:jc w:val="both"/>
        <w:ind w:firstLine="656"/>
        <w:spacing w:after="0" w:line="266" w:lineRule="auto"/>
        <w:tabs>
          <w:tab w:leader="none" w:pos="151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18"/>
          <w:szCs w:val="18"/>
          <w:u w:val="single" w:color="auto"/>
          <w:color w:val="auto"/>
        </w:rPr>
        <w:t>Section 3(b)(vi)</w:t>
      </w:r>
      <w:r>
        <w:rPr>
          <w:rFonts w:ascii="Times New Roman" w:cs="Times New Roman" w:eastAsia="Times New Roman" w:hAnsi="Times New Roman"/>
          <w:sz w:val="18"/>
          <w:szCs w:val="18"/>
          <w:color w:val="auto"/>
        </w:rPr>
        <w:t>) by the Agent deducting the Selling Commission from the applicable Issuance Amount.</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40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The Company shall pay, and shall indemnify and hold the Agent harmless against, any Transfer Taxes, and any interest and penalties, which are payable in connection with (i) the allotment, creation, issuance and delivery of the Ordinary Shares and the ADSs (or the ADRs evidencing the ADSs) in the manner contemplated by this Agreement and the Deposit Agreement; (ii) the sale and delivery of the ADSs (or the ADRs evidencing such ADSs) to or for the account of the Agent, in each case in the manner contemplated by this Agreement and the Deposit Agreement; (iii) the sale and delivery by the Agent of the ADSs (or the ADRs evidencing the ADSs) to the initial purchasers thereof in the manner contemplated by this Agreement and the Deposit Agreement; or (iv) the execution and delivery of this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7" w:lineRule="auto"/>
        <w:tabs>
          <w:tab w:leader="none" w:pos="159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fees and expenses of the Company’s counsel, independent public or certified public accountants and other advisors; (iv)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cs="Times New Roman" w:eastAsia="Times New Roman" w:hAnsi="Times New Roman"/>
          <w:sz w:val="17"/>
          <w:szCs w:val="17"/>
          <w:b w:val="1"/>
          <w:bCs w:val="1"/>
          <w:color w:val="auto"/>
        </w:rPr>
        <w:t>Blue Sky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Survey</w:t>
      </w:r>
      <w:r>
        <w:rPr>
          <w:rFonts w:ascii="Times New Roman" w:cs="Times New Roman" w:eastAsia="Times New Roman" w:hAnsi="Times New Roman"/>
          <w:sz w:val="17"/>
          <w:szCs w:val="17"/>
          <w:color w:val="auto"/>
        </w:rPr>
        <w:t>” or memorandum and a “Canadian wrapper”, and any supplements thereto, advising the Agent of such qualifications, registrations, determinations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exemptions; (vi) the reasonable and documented fees and disbursements of the Agent’s counsel, including the reasonable and documented fees and expenses of counsel for the Agent in connection with, FINRA review, if any, and approval of the Agent’s participation in the offering and distribution of the Shares; (vii) the filing fees incident to FINRA review, if any;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(ix) the fees and expenses associated with listing the Shares on the Principal Market. The fees and disbursements of Agent’s counsel pursuant to subsections (vi) and (vii) above shall not exceed (A) $100,000 in connection with execution of this Agreement [and (B) $20,000 in connection with each Triggering Event Date (as defined below) on which the Company is required to provide a certificate pursuant to </w:t>
      </w:r>
      <w:r>
        <w:rPr>
          <w:rFonts w:ascii="Times New Roman" w:cs="Times New Roman" w:eastAsia="Times New Roman" w:hAnsi="Times New Roman"/>
          <w:sz w:val="17"/>
          <w:szCs w:val="17"/>
          <w:u w:val="single" w:color="auto"/>
          <w:color w:val="auto"/>
        </w:rPr>
        <w:t>Section 4(o)</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ADDITIONAL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and agrees with the Agent as follows, in addition to any other covenants and agreements made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firstLine="656"/>
        <w:spacing w:after="0" w:line="257" w:lineRule="auto"/>
        <w:tabs>
          <w:tab w:leader="none" w:pos="134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7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 w:cs="Times New Roman" w:eastAsia="Times New Roman" w:hAnsi="Times New Roman"/>
          <w:sz w:val="18"/>
          <w:szCs w:val="18"/>
          <w:b w:val="1"/>
          <w:bCs w:val="1"/>
          <w:color w:val="auto"/>
        </w:rPr>
        <w:t>Interim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such summary information and, at least once a quarter and subject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file such Interim Prospectus Supplement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424(b) under the Securities Act (and within the time periods required by Rule 424(b) and Rule 430B under the Securities Act)).</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40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Compliance</w:t>
      </w:r>
      <w:r>
        <w:rPr>
          <w:rFonts w:ascii="Times New Roman" w:cs="Times New Roman" w:eastAsia="Times New Roman" w:hAnsi="Times New Roman"/>
          <w:sz w:val="18"/>
          <w:szCs w:val="18"/>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the ADS Registration Statement, any Rule 462(b) Registration Statement or any amendment or supplement to the Prospectus, any Free Writing Prospectus; (iii) of the time and date that any post-effective amendment to the Registration Statement, the ADS Registration Statement or any Rule 462(b) Registration Statement becomes effective; and (iv) of the issuance by the Commission of any stop order suspending the effectiveness of the Registration Statement, the ADS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ADSs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36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the Prospectus and Other Securities Act Matters</w:t>
      </w:r>
      <w:r>
        <w:rPr>
          <w:rFonts w:ascii="Times New Roman" w:cs="Times New Roman" w:eastAsia="Times New Roman" w:hAnsi="Times New Roman"/>
          <w:sz w:val="18"/>
          <w:szCs w:val="18"/>
          <w:color w:val="auto"/>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 xml:space="preserve">)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both"/>
        <w:ind w:firstLine="656"/>
        <w:spacing w:after="0" w:line="256" w:lineRule="auto"/>
        <w:tabs>
          <w:tab w:leader="none" w:pos="158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Review of Proposed Amendments and Supplements</w:t>
      </w:r>
      <w:r>
        <w:rPr>
          <w:rFonts w:ascii="Times New Roman" w:cs="Times New Roman" w:eastAsia="Times New Roman" w:hAnsi="Times New Roman"/>
          <w:sz w:val="18"/>
          <w:szCs w:val="18"/>
          <w:color w:val="auto"/>
        </w:rPr>
        <w:t>. During any period in which an Issuance Notice is pending, prior to amending or supplementing the Registration Statement (including any registration statement filed under Rule 462(b) under the Securities Act), the ADS Registration Statement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file with the Commission within the applicable period specified in Rule 424(b) under the Securities Act any prospectus required to be filed pursuant to such Rule.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44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Free Writing Prospectus</w:t>
      </w:r>
      <w:r>
        <w:rPr>
          <w:rFonts w:ascii="Times New Roman" w:cs="Times New Roman" w:eastAsia="Times New Roman" w:hAnsi="Times New Roman"/>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142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Prospectuses</w:t>
      </w:r>
      <w:r>
        <w:rPr>
          <w:rFonts w:ascii="Times New Roman" w:cs="Times New Roman" w:eastAsia="Times New Roman" w:hAnsi="Times New Roman"/>
          <w:sz w:val="18"/>
          <w:szCs w:val="18"/>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the ADS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656"/>
        <w:spacing w:after="0" w:line="266" w:lineRule="auto"/>
        <w:tabs>
          <w:tab w:leader="none" w:pos="137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Agent Free Writing Prospectuses</w:t>
      </w:r>
      <w:r>
        <w:rPr>
          <w:rFonts w:ascii="Times New Roman" w:cs="Times New Roman" w:eastAsia="Times New Roman" w:hAnsi="Times New Roman"/>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4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of Registration Statement and Prospectus</w:t>
      </w:r>
      <w:r>
        <w:rPr>
          <w:rFonts w:ascii="Times New Roman" w:cs="Times New Roman" w:eastAsia="Times New Roman" w:hAnsi="Times New Roman"/>
          <w:sz w:val="18"/>
          <w:szCs w:val="18"/>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the ADS Registration Statement or the Prospectus as then amended or supplemented, to advise the Agent promptly by telephone (with confirmation in writing) and to prepare and cause to be filed promptly with the Commission an amendment or supplement to the Registration Statement, the ADS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93" w:lineRule="exact"/>
        <w:rPr>
          <w:rFonts w:ascii="Times New Roman" w:cs="Times New Roman" w:eastAsia="Times New Roman" w:hAnsi="Times New Roman"/>
          <w:sz w:val="18"/>
          <w:szCs w:val="18"/>
          <w:color w:val="auto"/>
        </w:rPr>
      </w:pPr>
    </w:p>
    <w:p>
      <w:pPr>
        <w:jc w:val="both"/>
        <w:ind w:firstLine="656"/>
        <w:spacing w:after="0" w:line="254" w:lineRule="auto"/>
        <w:tabs>
          <w:tab w:leader="none" w:pos="143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656"/>
        <w:spacing w:after="0" w:line="266" w:lineRule="auto"/>
        <w:tabs>
          <w:tab w:leader="none" w:pos="157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5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Reservation of Shares</w:t>
      </w:r>
      <w:r>
        <w:rPr>
          <w:rFonts w:ascii="Times New Roman" w:cs="Times New Roman" w:eastAsia="Times New Roman" w:hAnsi="Times New Roman"/>
          <w:sz w:val="18"/>
          <w:szCs w:val="18"/>
          <w:color w:val="auto"/>
        </w:rPr>
        <w:t>. (a) The Company will maintain the listing of the Shares on the Principal Market; and (b) the Company will reserve and keep available at all times, free of preemptive rights, a sufficient number of Authorized Shares for the purpose of enabling the Company to satisfy its obligations pursuant to an outstanding Issuance Notice under this Agreement.</w:t>
      </w:r>
    </w:p>
    <w:p>
      <w:pPr>
        <w:spacing w:after="0" w:line="17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engage and maintain, at its expense, a registrar and transfer agent for the Shares.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5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39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7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85" w:lineRule="exact"/>
        <w:rPr>
          <w:rFonts w:ascii="Times New Roman" w:cs="Times New Roman" w:eastAsia="Times New Roman" w:hAnsi="Times New Roman"/>
          <w:sz w:val="18"/>
          <w:szCs w:val="18"/>
          <w:color w:val="auto"/>
        </w:rPr>
      </w:pPr>
    </w:p>
    <w:p>
      <w:pPr>
        <w:ind w:firstLine="656"/>
        <w:spacing w:after="0" w:line="282" w:lineRule="auto"/>
        <w:tabs>
          <w:tab w:leader="none" w:pos="147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 at Triggering Event Dates; Certificates</w:t>
      </w:r>
      <w:r>
        <w:rPr>
          <w:rFonts w:ascii="Times New Roman" w:cs="Times New Roman" w:eastAsia="Times New Roman" w:hAnsi="Times New Roman"/>
          <w:sz w:val="18"/>
          <w:szCs w:val="18"/>
          <w:color w:val="auto"/>
        </w:rPr>
        <w:t>. The Company agrees that on or prior to the date of the first Issuance Notice and, during the term of this Agreement after the date of the first Issuance Notice, upon: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(A) the filing of the Prospectus or the amendment or supplement of any Registration Statement or Prospectus (other than a prospectus supplement relating solely to an offering of securities other than the Shares or a prospectus filed pursuant to </w:t>
      </w:r>
      <w:r>
        <w:rPr>
          <w:rFonts w:ascii="Times New Roman" w:cs="Times New Roman" w:eastAsia="Times New Roman" w:hAnsi="Times New Roman"/>
          <w:sz w:val="18"/>
          <w:szCs w:val="18"/>
          <w:u w:val="single" w:color="auto"/>
          <w:color w:val="auto"/>
        </w:rPr>
        <w:t>Section 4(a)(ii)(B)</w:t>
      </w:r>
      <w:r>
        <w:rPr>
          <w:rFonts w:ascii="Times New Roman" w:cs="Times New Roman" w:eastAsia="Times New Roman" w:hAnsi="Times New Roman"/>
          <w:sz w:val="18"/>
          <w:szCs w:val="18"/>
          <w:color w:val="auto"/>
        </w:rPr>
        <w:t>), by means of a post-effective amendment, sticker or supplement, but not by means of incorporation of documents by reference into the Registration Statement or Prospectus;</w:t>
      </w:r>
    </w:p>
    <w:p>
      <w:pPr>
        <w:spacing w:after="0" w:line="4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such event, a “</w:t>
      </w:r>
      <w:r>
        <w:rPr>
          <w:rFonts w:ascii="Times New Roman" w:cs="Times New Roman" w:eastAsia="Times New Roman" w:hAnsi="Times New Roman"/>
          <w:sz w:val="18"/>
          <w:szCs w:val="18"/>
          <w:b w:val="1"/>
          <w:bCs w:val="1"/>
          <w:color w:val="auto"/>
        </w:rPr>
        <w:t>Triggering Event Date</w:t>
      </w:r>
      <w:r>
        <w:rPr>
          <w:rFonts w:ascii="Times New Roman" w:cs="Times New Roman" w:eastAsia="Times New Roman" w:hAnsi="Times New Roman"/>
          <w:sz w:val="18"/>
          <w:szCs w:val="18"/>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 w:cs="Times New Roman" w:eastAsia="Times New Roman" w:hAnsi="Times New Roman"/>
          <w:sz w:val="18"/>
          <w:szCs w:val="18"/>
          <w:u w:val="single" w:color="auto"/>
          <w:color w:val="auto"/>
        </w:rPr>
        <w:t>Section 5(a)(iii)</w:t>
      </w:r>
      <w:r>
        <w:rPr>
          <w:rFonts w:ascii="Times New Roman" w:cs="Times New Roman" w:eastAsia="Times New Roman" w:hAnsi="Times New Roman"/>
          <w:sz w:val="18"/>
          <w:szCs w:val="18"/>
          <w:color w:val="auto"/>
        </w:rPr>
        <w:t xml:space="preserve"> hereof, and (C) containing any other certification that the Agent shall reasonably request. The requirement to provide a certificate under this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shall be automatically waived for any Triggering Event Date occurring at a time when no Issuance Notice is pending or a suspension is in effect, which automatic waiver shall continue until the Company delivers instructions for the sale of Shares hereunder (which for such calendar quarter shall be considered a Triggering Event Date). Notwithstanding the foregoing, if the Company subsequently decides to sell Shares following a Triggering Event Date when a suspension was in effect and did not provide the Agent with a certificate under this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dated as of the date that the instructions for the sale of Shares are issued.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656"/>
        <w:spacing w:after="0" w:line="253" w:lineRule="auto"/>
        <w:tabs>
          <w:tab w:leader="none" w:pos="139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On or prior to the date of the first Issuance Notice and on or prior to each Triggering Event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for which no waiver is applicable and excluding the date of this Agreement, the Company shall cause to be furnished, at the request of the Agent, a negative assurances letter and the written legal opinion of Latham &amp; Watkins LLP, U.S. counsel to the Company, and written legal opinions from Latham &amp; Watkins (London) LLP, UK counsel for the Company, and J A Kemp, intellectual property counsel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be required to furnish no more than one legal opinion and negative assurance letter hereunder per each filing of an annual report on Form 10-K or a quarterly report on Form 10-Q.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40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On or prior to the date of the first Issuance Notice and on or prior to each Triggering Event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for which no waiver is applicable and excluding the date of this Agreement, the Company shall cause PricewaterhouseCoopers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656"/>
        <w:spacing w:after="0" w:line="254" w:lineRule="auto"/>
        <w:tabs>
          <w:tab w:leader="none" w:pos="160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or prior to the date of the first Issuance Notice and on or prior to each Triggering Event Date with respect to which the Company is obligated to deliver a certificate pursuant to Section 4(o),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Own Account; Clients’ Account</w:t>
      </w:r>
      <w:r>
        <w:rPr>
          <w:rFonts w:ascii="Times New Roman" w:cs="Times New Roman" w:eastAsia="Times New Roman" w:hAnsi="Times New Roman"/>
          <w:sz w:val="18"/>
          <w:szCs w:val="18"/>
          <w:color w:val="auto"/>
        </w:rPr>
        <w:t>. The Company consents to the Agent trading, in compliance with applicable law, in the ADSs for the Agent’s own account and for the account of its clients at the same time as sales of the Shares occur pursuant to this Agreement.</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82" w:lineRule="auto"/>
        <w:tabs>
          <w:tab w:leader="none" w:pos="171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Limitation</w:t>
      </w:r>
      <w:r>
        <w:rPr>
          <w:rFonts w:ascii="Times New Roman" w:cs="Times New Roman" w:eastAsia="Times New Roman" w:hAnsi="Times New Roman"/>
          <w:sz w:val="18"/>
          <w:szCs w:val="18"/>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62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commercially reasonable efforts to cause each of its affiliates to, comply with all applicable provisions of Regulation M. If the limitations of Rule 102 of Regulation M (“</w:t>
      </w:r>
      <w:r>
        <w:rPr>
          <w:rFonts w:ascii="Times New Roman" w:cs="Times New Roman" w:eastAsia="Times New Roman" w:hAnsi="Times New Roman"/>
          <w:sz w:val="18"/>
          <w:szCs w:val="18"/>
          <w:b w:val="1"/>
          <w:bCs w:val="1"/>
          <w:color w:val="auto"/>
        </w:rPr>
        <w:t>Rule 102</w:t>
      </w:r>
      <w:r>
        <w:rPr>
          <w:rFonts w:ascii="Times New Roman" w:cs="Times New Roman" w:eastAsia="Times New Roman" w:hAnsi="Times New Roman"/>
          <w:sz w:val="18"/>
          <w:szCs w:val="18"/>
          <w:color w:val="auto"/>
        </w:rPr>
        <w:t>”) do not apply with respect to the Shares or any other reference security pursuant to any exception set forth in Section (d) of Rule 102, then promptly upon notice from the Agent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92" w:lineRule="exact"/>
        <w:rPr>
          <w:sz w:val="20"/>
          <w:szCs w:val="20"/>
          <w:color w:val="auto"/>
        </w:rPr>
      </w:pPr>
    </w:p>
    <w:p>
      <w:pPr>
        <w:jc w:val="both"/>
        <w:ind w:firstLine="656"/>
        <w:spacing w:after="0" w:line="251" w:lineRule="auto"/>
        <w:tabs>
          <w:tab w:leader="none" w:pos="1546"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Notice of Other Sale</w:t>
      </w:r>
      <w:r>
        <w:rPr>
          <w:rFonts w:ascii="Times New Roman" w:cs="Times New Roman" w:eastAsia="Times New Roman" w:hAnsi="Times New Roman"/>
          <w:sz w:val="18"/>
          <w:szCs w:val="18"/>
          <w:color w:val="auto"/>
        </w:rPr>
        <w:t>. Without the written consent of the Agent, the Company will not, directly or indirectly, offer to sell, sell, contract to sell, grant any option to sell or otherwise dispose of any Ordinary Shares or securities convertible into or exchangeable for Ordinary Shares (other than Shares hereunder), warrants or any rights to purchase or acquire Ordinary Shares, or effect a reverse share split, recapitalization, share consolidation, reclassification or similar transaction affecting the outstanding Ordinary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Ordinary Shares (other than the Shares offered pursuant to this Agreement) or securities convertible into or exchangeable for Ordinary Shares, warrants or any rights to purchase or acquire, Ordinary Shares prior to the termination of this Agreement; provided, however, that such restrictions will not be required in connection with the Company’s (i) issuance or sale of Ordinary Shares or ADSs, options to purchase Ordinary Shares or ADSs or Ordinary Shares or ADSs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whether now in effect or hereafter implemented, (ii) issuance or sale of Ordinary Shares or ADSs issuable upon exchange, conversion or redemption of securities or the exercise or vesting of warrants, options or other equity awards outstanding at the date of this Agreement or disclosed in filings by the Company available on EDGAR or otherwise in writing to the Agent, (iii) modification of any outstanding options, warrants of any rights to purchase or acquire Ordinary Shares or ADSs, and</w:t>
      </w:r>
    </w:p>
    <w:p>
      <w:pPr>
        <w:spacing w:after="0" w:line="11"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2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or ADSs issued in connection with any joint venture, commercial or collaborative relationship or the acquisition or license by the Company of the securities, businesses, property or other assets of another person or entity or pursuant to any employee benefit plan as assumed by the Company in connection with any such acquisition, provided that the aggregate number of Ordinary Shares or Ordinary Shares underlying ADSs issued or sold under this subsection (iv) shall not exceed 5% of the number of Ordinary Shares outstanding immediately prior to giving effect to such sale of issuance.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7" w:name="page108"/>
    <w:bookmarkEnd w:id="107"/>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CONDITIONS TO DELIVERY OF ISSUANCE NOTICES AND TO SETTLEMENT</w:t>
      </w:r>
    </w:p>
    <w:p>
      <w:pPr>
        <w:spacing w:after="0" w:line="229" w:lineRule="exact"/>
        <w:rPr>
          <w:sz w:val="20"/>
          <w:szCs w:val="20"/>
          <w:color w:val="auto"/>
        </w:rPr>
      </w:pPr>
    </w:p>
    <w:p>
      <w:pPr>
        <w:jc w:val="both"/>
        <w:ind w:firstLine="656"/>
        <w:spacing w:after="0" w:line="261" w:lineRule="auto"/>
        <w:tabs>
          <w:tab w:leader="none" w:pos="157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the Right of the Company to Deliver an Issuance Notice and the Obligation of the Agent to Sell Shares</w:t>
      </w:r>
      <w:r>
        <w:rPr>
          <w:rFonts w:ascii="Times New Roman" w:cs="Times New Roman" w:eastAsia="Times New Roman" w:hAnsi="Times New Roman"/>
          <w:sz w:val="18"/>
          <w:szCs w:val="18"/>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80" w:lineRule="exact"/>
        <w:rPr>
          <w:sz w:val="20"/>
          <w:szCs w:val="20"/>
          <w:color w:val="auto"/>
        </w:rPr>
      </w:pPr>
    </w:p>
    <w:p>
      <w:pPr>
        <w:ind w:left="660"/>
        <w:spacing w:after="0"/>
        <w:tabs>
          <w:tab w:leader="none" w:pos="27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u w:val="single" w:color="auto"/>
          <w:color w:val="auto"/>
        </w:rPr>
        <w:t>Accuracy of the Company’s Representations and Warranties; Performance by the Company</w:t>
      </w:r>
      <w:r>
        <w:rPr>
          <w:rFonts w:ascii="Times New Roman" w:cs="Times New Roman" w:eastAsia="Times New Roman" w:hAnsi="Times New Roman"/>
          <w:sz w:val="18"/>
          <w:szCs w:val="18"/>
          <w:color w:val="auto"/>
        </w:rPr>
        <w:t>. The Company shall have</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delivered the certificate required to be delivered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The Company shall have performed, satisfied and complied with all covenants, agreements and conditions required by this Agreement to be</w:t>
      </w:r>
    </w:p>
    <w:tbl>
      <w:tblPr>
        <w:tblLayout w:type="fixed"/>
        <w:tblInd w:w="0" w:type="dxa"/>
        <w:tblCellMar>
          <w:top w:w="0" w:type="dxa"/>
          <w:left w:w="0" w:type="dxa"/>
          <w:bottom w:w="0" w:type="dxa"/>
          <w:right w:w="0" w:type="dxa"/>
        </w:tblCellMar>
      </w:tblPr>
      <w:tr>
        <w:trPr>
          <w:trHeight w:val="176"/>
        </w:trPr>
        <w:tc>
          <w:tcPr>
            <w:tcW w:w="108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performed, satisfied or complied with by the Company at or prior to such date, including, but not limited to, the covenants contained in Section‎</w:t>
            </w:r>
          </w:p>
        </w:tc>
        <w:tc>
          <w:tcPr>
            <w:tcW w:w="3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4(p),</w:t>
            </w:r>
          </w:p>
        </w:tc>
      </w:tr>
      <w:tr>
        <w:trPr>
          <w:trHeight w:val="196"/>
        </w:trPr>
        <w:tc>
          <w:tcPr>
            <w:tcW w:w="3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Section 4(q) and Section 4(r).</w:t>
            </w:r>
          </w:p>
        </w:tc>
        <w:tc>
          <w:tcPr>
            <w:tcW w:w="100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90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(ii)</w:t>
            </w:r>
          </w:p>
        </w:tc>
        <w:tc>
          <w:tcPr>
            <w:tcW w:w="3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8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No Injunction. No statute, rule, regulation, executive order, decree, ruling or injunction shall have been enacted,</w:t>
            </w:r>
          </w:p>
        </w:tc>
      </w:tr>
      <w:tr>
        <w:trPr>
          <w:trHeight w:val="20"/>
        </w:trPr>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Material Adverse Changes</w:t>
      </w:r>
      <w:r>
        <w:rPr>
          <w:rFonts w:ascii="Times New Roman" w:cs="Times New Roman" w:eastAsia="Times New Roman" w:hAnsi="Times New Roman"/>
          <w:sz w:val="18"/>
          <w:szCs w:val="18"/>
          <w:color w:val="auto"/>
        </w:rPr>
        <w:t>. Except as disclosed in the Prospectus and the Time of Sale Information, (a) in the judgment of the Agent there shall not have occurred any Material Adverse Change that makes it impractical and inadvisable to market the Shares on the terms and in the manner contemplated in the Prospectus;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87" w:lineRule="exact"/>
        <w:rPr>
          <w:sz w:val="20"/>
          <w:szCs w:val="20"/>
          <w:color w:val="auto"/>
        </w:rPr>
      </w:pPr>
    </w:p>
    <w:p>
      <w:pPr>
        <w:ind w:left="660"/>
        <w:spacing w:after="0"/>
        <w:tabs>
          <w:tab w:leader="none" w:pos="306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u w:val="single" w:color="auto"/>
          <w:color w:val="auto"/>
        </w:rPr>
        <w:t>No Suspension of Trading in or Delisting of ADSs; Other Events</w:t>
      </w:r>
      <w:r>
        <w:rPr>
          <w:rFonts w:ascii="Times New Roman" w:cs="Times New Roman" w:eastAsia="Times New Roman" w:hAnsi="Times New Roman"/>
          <w:sz w:val="18"/>
          <w:szCs w:val="18"/>
          <w:color w:val="auto"/>
        </w:rPr>
        <w:t>. The trading of the ADSs (including without</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limitation the Shares) shall not have been suspended by the Commission, the Principal Market or FINRA and the ADSs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and inadvisable to market the Shares in the manner and on the terms described in the Prospectus or to enforce contracts for the sale of securities.</w:t>
      </w:r>
    </w:p>
    <w:p>
      <w:pPr>
        <w:spacing w:after="0" w:line="192" w:lineRule="exact"/>
        <w:rPr>
          <w:sz w:val="20"/>
          <w:szCs w:val="20"/>
          <w:color w:val="auto"/>
        </w:rPr>
      </w:pPr>
    </w:p>
    <w:p>
      <w:pPr>
        <w:jc w:val="both"/>
        <w:ind w:firstLine="656"/>
        <w:spacing w:after="0" w:line="258" w:lineRule="auto"/>
        <w:tabs>
          <w:tab w:leader="none" w:pos="15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Required to be Delivered on each Issuance Notice Date</w:t>
      </w:r>
      <w:r>
        <w:rPr>
          <w:rFonts w:ascii="Times New Roman" w:cs="Times New Roman" w:eastAsia="Times New Roman" w:hAnsi="Times New Roman"/>
          <w:sz w:val="18"/>
          <w:szCs w:val="18"/>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56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656"/>
        <w:spacing w:after="0" w:line="266" w:lineRule="auto"/>
        <w:tabs>
          <w:tab w:leader="none" w:pos="15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Counsel Legal Opinion</w:t>
      </w:r>
      <w:r>
        <w:rPr>
          <w:rFonts w:ascii="Times New Roman" w:cs="Times New Roman" w:eastAsia="Times New Roman" w:hAnsi="Times New Roman"/>
          <w:sz w:val="18"/>
          <w:szCs w:val="18"/>
          <w:color w:val="auto"/>
        </w:rPr>
        <w:t xml:space="preserve">. Agent shall have received from Cooley LLP, counsel for Agent, such opinion or opinions, on or before the date on which the delivery of the Company counsel legal opinion is required pursuant to </w:t>
      </w:r>
      <w:r>
        <w:rPr>
          <w:rFonts w:ascii="Times New Roman" w:cs="Times New Roman" w:eastAsia="Times New Roman" w:hAnsi="Times New Roman"/>
          <w:sz w:val="18"/>
          <w:szCs w:val="18"/>
          <w:u w:val="single" w:color="auto"/>
          <w:color w:val="auto"/>
        </w:rPr>
        <w:t>Section 4(p)</w:t>
      </w:r>
      <w:r>
        <w:rPr>
          <w:rFonts w:ascii="Times New Roman" w:cs="Times New Roman" w:eastAsia="Times New Roman" w:hAnsi="Times New Roman"/>
          <w:sz w:val="18"/>
          <w:szCs w:val="18"/>
          <w:color w:val="auto"/>
        </w:rPr>
        <w:t>, with respect to such matters as Agent may reasonably require, and the Company shall have furnished to such counsel such documents as they request for enabling them to pass upon such matters.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88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Depositary’s Counsel Legal Opinion</w:t>
      </w:r>
      <w:r>
        <w:rPr>
          <w:rFonts w:ascii="Times New Roman" w:cs="Times New Roman" w:eastAsia="Times New Roman" w:hAnsi="Times New Roman"/>
          <w:sz w:val="18"/>
          <w:szCs w:val="18"/>
          <w:color w:val="auto"/>
        </w:rPr>
        <w:t>. Agent shall have received from Patterson Belknap Webb &amp; Tyler LLP, counsel for the Depositary, an opinion, on or prior to the first Settlement Date, dated as of such date, in form and substance satisfactory to the Agent and its counsel.</w:t>
      </w:r>
    </w:p>
    <w:p>
      <w:pPr>
        <w:spacing w:after="0" w:line="158"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INDEMNIFICATION AND CONTRIBUTION</w:t>
      </w:r>
    </w:p>
    <w:p>
      <w:pPr>
        <w:spacing w:after="0" w:line="229" w:lineRule="exact"/>
        <w:rPr>
          <w:sz w:val="20"/>
          <w:szCs w:val="20"/>
          <w:color w:val="auto"/>
        </w:rPr>
      </w:pPr>
    </w:p>
    <w:p>
      <w:pPr>
        <w:jc w:val="both"/>
        <w:ind w:firstLine="656"/>
        <w:spacing w:after="0" w:line="251" w:lineRule="auto"/>
        <w:tabs>
          <w:tab w:leader="none" w:pos="161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Agent</w:t>
      </w:r>
      <w:r>
        <w:rPr>
          <w:rFonts w:ascii="Times New Roman" w:cs="Times New Roman" w:eastAsia="Times New Roman" w:hAnsi="Times New Roman"/>
          <w:sz w:val="18"/>
          <w:szCs w:val="18"/>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documented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w:t>
      </w:r>
    </w:p>
    <w:p>
      <w:pPr>
        <w:spacing w:after="0" w:line="9"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described in subsection (b) below. The indemnity agreement set forth in this Section‎ 6(a) shall be in addition to any liabilities that the Company may otherwise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-172720</wp:posOffset>
            </wp:positionV>
            <wp:extent cx="5638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56"/>
        <w:spacing w:after="0" w:line="252" w:lineRule="auto"/>
        <w:tabs>
          <w:tab w:leader="none" w:pos="158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Company, its Directors and Officers</w:t>
      </w:r>
      <w:r>
        <w:rPr>
          <w:rFonts w:ascii="Times New Roman" w:cs="Times New Roman" w:eastAsia="Times New Roman" w:hAnsi="Times New Roman"/>
          <w:sz w:val="18"/>
          <w:szCs w:val="18"/>
          <w:color w:val="auto"/>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shall be in addition to any liabilities that the Agent or the Company may otherwise have.</w:t>
      </w:r>
    </w:p>
    <w:p>
      <w:pPr>
        <w:spacing w:after="0" w:line="190" w:lineRule="exact"/>
        <w:rPr>
          <w:rFonts w:ascii="Times New Roman" w:cs="Times New Roman" w:eastAsia="Times New Roman" w:hAnsi="Times New Roman"/>
          <w:sz w:val="18"/>
          <w:szCs w:val="18"/>
          <w:color w:val="auto"/>
        </w:rPr>
      </w:pPr>
    </w:p>
    <w:p>
      <w:pPr>
        <w:jc w:val="both"/>
        <w:ind w:firstLine="656"/>
        <w:spacing w:after="0" w:line="261" w:lineRule="auto"/>
        <w:tabs>
          <w:tab w:leader="none" w:pos="160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 and Other Indemnification Procedures</w:t>
      </w:r>
      <w:r>
        <w:rPr>
          <w:rFonts w:ascii="Times New Roman" w:cs="Times New Roman" w:eastAsia="Times New Roman" w:hAnsi="Times New Roman"/>
          <w:sz w:val="18"/>
          <w:szCs w:val="18"/>
          <w:color w:val="auto"/>
        </w:rPr>
        <w:t xml:space="preserve">. Promptly after receipt by an indemnified party under this Section‎ 6 of notice of the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Section‎ 6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for any reasonable and documented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w:t>
      </w:r>
    </w:p>
    <w:p>
      <w:pPr>
        <w:spacing w:after="0" w:line="6"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indemnified parties shall be selected by the indemnified party (in the case of counsel for the indemnified parties referred to in Section‎ 6(a) and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-3049270</wp:posOffset>
            </wp:positionV>
            <wp:extent cx="4286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-2637790</wp:posOffset>
            </wp:positionV>
            <wp:extent cx="4286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6365240</wp:posOffset>
            </wp:positionH>
            <wp:positionV relativeFrom="paragraph">
              <wp:posOffset>-580390</wp:posOffset>
            </wp:positionV>
            <wp:extent cx="5638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56"/>
        <w:spacing w:after="0" w:line="253" w:lineRule="auto"/>
        <w:tabs>
          <w:tab w:leader="none" w:pos="158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Settlements</w:t>
      </w:r>
      <w:r>
        <w:rPr>
          <w:rFonts w:ascii="Times New Roman" w:cs="Times New Roman" w:eastAsia="Times New Roman" w:hAnsi="Times New Roman"/>
          <w:sz w:val="18"/>
          <w:szCs w:val="18"/>
          <w:color w:val="auto"/>
        </w:rPr>
        <w:t xml:space="preserve">. The indemnifying party under this Section‎ 6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157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this Section‎ 6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-3454400</wp:posOffset>
            </wp:positionV>
            <wp:extent cx="4286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-1808480</wp:posOffset>
            </wp:positionV>
            <wp:extent cx="4286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paid or payable by a party as a result of the losses, claims, damages, liabilities and expenses referred to above shall be deemed to include, subject to the limitations set forth in Section‎ 6(c), any reasonable and documented legal or other fees or expenses reasonably incurred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-24765</wp:posOffset>
            </wp:positionV>
            <wp:extent cx="5638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party in connection with investigating or defending any action or claim. The provisions set forth in Section‎ 6(c) with respect to notice of commencement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-19050</wp:posOffset>
            </wp:positionV>
            <wp:extent cx="5549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any action shall apply if a claim for contribution is to be made under this Section‎ 6(e); provided, however, that no additional notice shall be required with respect to any action for which notice has been given under Section‎ 6(c) for purposes of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-172720</wp:posOffset>
            </wp:positionV>
            <wp:extent cx="5549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5549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-35560</wp:posOffset>
            </wp:positionV>
            <wp:extent cx="5549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554990" cy="8890"/>
                    </a:xfrm>
                    <a:prstGeom prst="rect">
                      <a:avLst/>
                    </a:prstGeom>
                    <a:noFill/>
                  </pic:spPr>
                </pic:pic>
              </a:graphicData>
            </a:graphic>
          </wp:anchor>
        </w:drawing>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Agent agree that it would not be just and equitable if contribution pursuant to this Section‎ 6(e) were determined by pro rata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5247640</wp:posOffset>
            </wp:positionH>
            <wp:positionV relativeFrom="paragraph">
              <wp:posOffset>-7620</wp:posOffset>
            </wp:positionV>
            <wp:extent cx="5549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or by any other method of allocation which does not take account of the equitable considerations referred to in this Section‎ 6(e).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-19050</wp:posOffset>
            </wp:positionV>
            <wp:extent cx="5549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provisions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6(e),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6(e),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2205355</wp:posOffset>
            </wp:positionH>
            <wp:positionV relativeFrom="paragraph">
              <wp:posOffset>-854075</wp:posOffset>
            </wp:positionV>
            <wp:extent cx="5549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55499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-442595</wp:posOffset>
            </wp:positionV>
            <wp:extent cx="5549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165"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7"/>
          <w:szCs w:val="17"/>
          <w:b w:val="1"/>
          <w:bCs w:val="1"/>
          <w:color w:val="auto"/>
        </w:rPr>
        <w:t>TERMINATION &amp; SURVIVAL</w:t>
      </w:r>
    </w:p>
    <w:p>
      <w:pPr>
        <w:spacing w:after="0" w:line="229" w:lineRule="exact"/>
        <w:rPr>
          <w:sz w:val="20"/>
          <w:szCs w:val="20"/>
          <w:color w:val="auto"/>
        </w:rPr>
      </w:pPr>
    </w:p>
    <w:p>
      <w:pPr>
        <w:ind w:right="20" w:firstLine="656"/>
        <w:spacing w:after="0" w:line="282" w:lineRule="auto"/>
        <w:tabs>
          <w:tab w:leader="none" w:pos="159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the provisions of this Section‎ 7, the term of this Agreement shall continue from the date of this Agreement until the end of the Agency Period, unless earlier terminated by the parties to this Agreement pursuant to this Section‎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-185420</wp:posOffset>
            </wp:positionV>
            <wp:extent cx="4286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-48260</wp:posOffset>
            </wp:positionV>
            <wp:extent cx="4286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ind w:left="1540" w:hanging="884"/>
        <w:spacing w:after="0"/>
        <w:tabs>
          <w:tab w:leader="none" w:pos="1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Survival Following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Section‎ 3(b)(v) with respect to such Shares and (B)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Section‎ 3(d),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-308610</wp:posOffset>
            </wp:positionV>
            <wp:extent cx="703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03580" cy="8890"/>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-171450</wp:posOffset>
            </wp:positionV>
            <wp:extent cx="5613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line="163" w:lineRule="exact"/>
        <w:rPr>
          <w:sz w:val="20"/>
          <w:szCs w:val="20"/>
          <w:color w:val="auto"/>
        </w:rPr>
      </w:pPr>
    </w:p>
    <w:p>
      <w:pPr>
        <w:ind w:left="660"/>
        <w:spacing w:after="0"/>
        <w:tabs>
          <w:tab w:leader="none" w:pos="306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In addition to the survival provision of ‎Section 7(b)(i), the respective indemnities, agreements,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-7620</wp:posOffset>
            </wp:positionV>
            <wp:extent cx="6781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678180" cy="8255"/>
                    </a:xfrm>
                    <a:prstGeom prst="rect">
                      <a:avLst/>
                    </a:prstGeom>
                    <a:noFill/>
                  </pic:spPr>
                </pic:pic>
              </a:graphicData>
            </a:graphic>
          </wp:anchor>
        </w:drawing>
      </w:r>
    </w:p>
    <w:p>
      <w:pPr>
        <w:spacing w:after="0" w:line="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85"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229" w:lineRule="exact"/>
        <w:rPr>
          <w:sz w:val="20"/>
          <w:szCs w:val="20"/>
          <w:color w:val="auto"/>
        </w:rPr>
      </w:pPr>
    </w:p>
    <w:p>
      <w:pPr>
        <w:jc w:val="both"/>
        <w:ind w:firstLine="656"/>
        <w:spacing w:after="0" w:line="253" w:lineRule="auto"/>
        <w:tabs>
          <w:tab w:leader="none" w:pos="154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Press Releases and Disclosure</w:t>
      </w:r>
      <w:r>
        <w:rPr>
          <w:rFonts w:ascii="Times New Roman" w:cs="Times New Roman" w:eastAsia="Times New Roman" w:hAnsi="Times New Roman"/>
          <w:sz w:val="18"/>
          <w:szCs w:val="18"/>
          <w:color w:val="auto"/>
        </w:rPr>
        <w:t>. The Company may issue a press release describing the material terms of the transactions contemplated hereby as soon as practicable following the date of this Agreement, and may file with the Commission a Current Report on Form 8 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184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shareholders,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56"/>
        <w:spacing w:after="0" w:line="255" w:lineRule="auto"/>
        <w:tabs>
          <w:tab w:leader="none" w:pos="18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Analyst Independence</w:t>
      </w:r>
      <w:r>
        <w:rPr>
          <w:rFonts w:ascii="Times New Roman" w:cs="Times New Roman" w:eastAsia="Times New Roman" w:hAnsi="Times New Roman"/>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85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shall be in writing and shall be mailed, hand delivered or telecopied, or delivered by electronic communication by any party except the Agent, and confirmed to the parties hereto as follows: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to the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(646) 786-5719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Daniel I. Goldberg, Esq.</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(212) 479-6275</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London SE1 2RE UK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Mark Hahn, CFO</w:t>
      </w:r>
    </w:p>
    <w:p>
      <w:pPr>
        <w:spacing w:after="0" w:line="9" w:lineRule="exact"/>
        <w:rPr>
          <w:sz w:val="20"/>
          <w:szCs w:val="20"/>
          <w:color w:val="auto"/>
        </w:rPr>
      </w:pPr>
    </w:p>
    <w:p>
      <w:pPr>
        <w:jc w:val="center"/>
        <w:ind w:right="7040"/>
        <w:spacing w:after="0"/>
        <w:rPr>
          <w:sz w:val="20"/>
          <w:szCs w:val="20"/>
          <w:color w:val="auto"/>
        </w:rPr>
      </w:pPr>
      <w:r>
        <w:rPr>
          <w:rFonts w:ascii="Times New Roman" w:cs="Times New Roman" w:eastAsia="Times New Roman" w:hAnsi="Times New Roman"/>
          <w:sz w:val="18"/>
          <w:szCs w:val="18"/>
          <w:color w:val="auto"/>
        </w:rPr>
        <w:t>Email: Mark.Hahn@veronapharma.com</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Peter N. Handrinos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Peter.Handrinos@lw.com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 xml:space="preserve">Any party hereto may change the address for receipt of communications by giving written notice to the others in accordance with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163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xml:space="preserve">. This Agreement will inure to the benefit of and be binding upon the parties hereto, and to the benefit of the employees, officers and directors and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56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Unenforceability</w:t>
      </w:r>
      <w:r>
        <w:rPr>
          <w:rFonts w:ascii="Times New Roman" w:cs="Times New Roman" w:eastAsia="Times New Roman" w:hAnsi="Times New Roman"/>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15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Provisions; Currency Provisions</w:t>
      </w:r>
      <w:r>
        <w:rPr>
          <w:rFonts w:ascii="Times New Roman" w:cs="Times New Roman" w:eastAsia="Times New Roman" w:hAnsi="Times New Roman"/>
          <w:sz w:val="18"/>
          <w:szCs w:val="18"/>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 w:cs="Times New Roman" w:eastAsia="Times New Roman" w:hAnsi="Times New Roman"/>
          <w:sz w:val="18"/>
          <w:szCs w:val="18"/>
          <w:b w:val="1"/>
          <w:bCs w:val="1"/>
          <w:color w:val="auto"/>
        </w:rPr>
        <w:t>Related Proceedings</w:t>
      </w:r>
      <w:r>
        <w:rPr>
          <w:rFonts w:ascii="Times New Roman" w:cs="Times New Roman" w:eastAsia="Times New Roman" w:hAnsi="Times New Roman"/>
          <w:sz w:val="18"/>
          <w:szCs w:val="18"/>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8"/>
          <w:szCs w:val="18"/>
          <w:b w:val="1"/>
          <w:bCs w:val="1"/>
          <w:color w:val="auto"/>
        </w:rPr>
        <w:t>Related Judgment</w:t>
      </w:r>
      <w:r>
        <w:rPr>
          <w:rFonts w:ascii="Times New Roman" w:cs="Times New Roman" w:eastAsia="Times New Roman" w:hAnsi="Times New Roman"/>
          <w:sz w:val="18"/>
          <w:szCs w:val="18"/>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has irrevocably appointed Cogency Global Inc., which currently maintains a New York City office at 122</w:t>
      </w:r>
    </w:p>
    <w:p>
      <w:pPr>
        <w:spacing w:after="0" w:line="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10168, United States of America, as its agent to receive service of process or other legal summons for purposes of any such suit, action or proceeding that may be instituted in any state or federal court in the Borough of Manhattan in the City of New York, United States of America.</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obligations of the Company pursuant to this Agreement in respect of any sum due to the Agent shall, notwithstanding any judgment in a currency other than United States dollars, not be discharged until the first business day, following receipt by the Agent of any sum adjudged to be so due in such other currency, on which the Agent may in accordance with normal banking procedures purchase United States dollars with such other currency. If the United States dollars so purchased are less than the sum originally due to the Agent in United States dollars hereunder, the Company agrees as a separate obligation and notwithstanding any such judgment, to indemnify the Agent against such loss. If the United States dollars so purchased are greater than the sum originally due to the Agent hereunder, the Agent agrees to pay to the Company an amount equal to the excess of the dollars so purchased over the sum originally due to the Agent hereunder.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payments made by the Company under this Agreement, if any, will be made without withholding or deduction for or on account of any present or future taxes, duties, levies, imposts, fees, assessments or governmental charges of whatever nature (other than taxes on net income) unless the Company is or becomes required by law to withhold or deduct such taxes, duties, levies, imposts, fees, assessments or other governmental charges. In such event, the Company will pay such additional amounts as will result, after such withholding or deduction, in the receipt by the Agent of the amounts that would otherwise have been receivable in respect thereof.</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performance by the Agent of any of its obligations under this Agreement shall represent for VAT purposes under any applicable law the making by the Agent of any supply of goods or services to the Company (to the extent applicable) and the Agent is required to account for such VAT, the Company shall pay to the Agent, in addition to the amounts otherwise payable by the Company pursuant to this Agreement, an amount equal to the VAT chargeable on any such supply of goods and services provided that the Agent has issued the Company with an appropriate VAT invoice in respect of the supply to which the payment relates. Where a sum (a “</w:t>
      </w:r>
      <w:r>
        <w:rPr>
          <w:rFonts w:ascii="Times New Roman" w:cs="Times New Roman" w:eastAsia="Times New Roman" w:hAnsi="Times New Roman"/>
          <w:sz w:val="18"/>
          <w:szCs w:val="18"/>
          <w:b w:val="1"/>
          <w:bCs w:val="1"/>
          <w:color w:val="auto"/>
        </w:rPr>
        <w:t>Relevant Sum</w:t>
      </w:r>
      <w:r>
        <w:rPr>
          <w:rFonts w:ascii="Times New Roman" w:cs="Times New Roman" w:eastAsia="Times New Roman" w:hAnsi="Times New Roman"/>
          <w:sz w:val="18"/>
          <w:szCs w:val="18"/>
          <w:color w:val="auto"/>
        </w:rPr>
        <w:t>”) is paid or reimbursed to the Agent pursuant to this Agreement in respect of any cost, expense or other amount and that cost, expense or other amount includes an amount in respect of irrecoverable VAT (the “</w:t>
      </w:r>
      <w:r>
        <w:rPr>
          <w:rFonts w:ascii="Times New Roman" w:cs="Times New Roman" w:eastAsia="Times New Roman" w:hAnsi="Times New Roman"/>
          <w:sz w:val="18"/>
          <w:szCs w:val="18"/>
          <w:b w:val="1"/>
          <w:bCs w:val="1"/>
          <w:color w:val="auto"/>
        </w:rPr>
        <w:t>VAT Element</w:t>
      </w:r>
      <w:r>
        <w:rPr>
          <w:rFonts w:ascii="Times New Roman" w:cs="Times New Roman" w:eastAsia="Times New Roman" w:hAnsi="Times New Roman"/>
          <w:sz w:val="18"/>
          <w:szCs w:val="18"/>
          <w:color w:val="auto"/>
        </w:rPr>
        <w:t>”), then the Company, to the extent applicable, shall, in addition, pay an amount equal to the VAT Element to the Agent. For the purposes of this Agreement,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means value added tax as provided for in the Value Added Tax Act 1994 (“</w:t>
      </w:r>
      <w:r>
        <w:rPr>
          <w:rFonts w:ascii="Times New Roman" w:cs="Times New Roman" w:eastAsia="Times New Roman" w:hAnsi="Times New Roman"/>
          <w:sz w:val="18"/>
          <w:szCs w:val="18"/>
          <w:b w:val="1"/>
          <w:bCs w:val="1"/>
          <w:color w:val="auto"/>
        </w:rPr>
        <w:t>VATA</w:t>
      </w:r>
      <w:r>
        <w:rPr>
          <w:rFonts w:ascii="Times New Roman" w:cs="Times New Roman" w:eastAsia="Times New Roman" w:hAnsi="Times New Roman"/>
          <w:sz w:val="18"/>
          <w:szCs w:val="18"/>
          <w:color w:val="auto"/>
        </w:rPr>
        <w:t>”) and subordinate legislation made under VATA as amended, modified or re-enacted (whether before or after the date of this Agreement) and any similar sales, goods and services, consumption, use or turnover tax whether within the United Kingdom or elsewhere in the world.</w:t>
      </w:r>
    </w:p>
    <w:p>
      <w:pPr>
        <w:spacing w:after="0" w:line="194" w:lineRule="exact"/>
        <w:rPr>
          <w:sz w:val="20"/>
          <w:szCs w:val="20"/>
          <w:color w:val="auto"/>
        </w:rPr>
      </w:pPr>
    </w:p>
    <w:p>
      <w:pPr>
        <w:jc w:val="both"/>
        <w:ind w:firstLine="656"/>
        <w:spacing w:after="0" w:line="254" w:lineRule="auto"/>
        <w:tabs>
          <w:tab w:leader="none" w:pos="158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Immediately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7" w:name="page118"/>
    <w:bookmarkEnd w:id="117"/>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55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David Zaccardelli</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by the Agent in New York, New York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33261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Name:Donald Lynaugh</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[__________]</w:t>
      </w:r>
    </w:p>
    <w:p>
      <w:pPr>
        <w:spacing w:after="0" w:line="229"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Reference is made to the 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between Verona Pharma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Jefferies LLC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dated as of March [__], 2021. The Company confirms that all conditions to the delivery of this Issuance Notice are satisfied as of the date hereof.</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Delivery of Issuance Notice (determined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9799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Amount (equal to the total Sales Price for such Shares):</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154305</wp:posOffset>
            </wp:positionV>
            <wp:extent cx="3488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Floor Price Limitation (in no event less than $1.00 without the prior written consent of the Agent, which consent may be withheld in the Agent’s sole discretion): $ ____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17145</wp:posOffset>
            </wp:positionV>
            <wp:extent cx="6540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300355</wp:posOffset>
            </wp:positionV>
            <wp:extent cx="36429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Zaccardelli xxx@xxx.com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Hahn xxx@xxx.com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Donald Lynaugh (xxx@xxx.com)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Magarro (xxx@xxx.com)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THE OPEN MARKET SALE AGREEMENT</w:t>
      </w:r>
      <w:r>
        <w:rPr>
          <w:rFonts w:ascii="Times New Roman" w:cs="Times New Roman" w:eastAsia="Times New Roman" w:hAnsi="Times New Roman"/>
          <w:sz w:val="29"/>
          <w:szCs w:val="29"/>
          <w:b w:val="1"/>
          <w:bCs w:val="1"/>
          <w:color w:val="auto"/>
          <w:vertAlign w:val="superscript"/>
        </w:rPr>
        <w:t>SM</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that certain 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dated March 19, 2021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is entered into as of the date first written above by and between Verona Pharma plc, a public limited company incorporated under the laws of England and Wales with registered number 5375156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Jefferies LLC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which are parties to the Original Agreement. All capitalized terms not defined herein shall have the meanings ascribed to them in the Original Agreement. The parties, intending to be legally bound, hereby amend the Original Agreement as follows: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Section 2(a) of the Original Agreement shall be amended and restated as follows:</w:t>
      </w:r>
    </w:p>
    <w:p>
      <w:pPr>
        <w:spacing w:after="0" w:line="22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Registration Statement</w:t>
      </w:r>
      <w:r>
        <w:rPr>
          <w:rFonts w:ascii="Times New Roman" w:cs="Times New Roman" w:eastAsia="Times New Roman" w:hAnsi="Times New Roman"/>
          <w:sz w:val="18"/>
          <w:szCs w:val="18"/>
          <w:color w:val="auto"/>
        </w:rPr>
        <w:t>. The Company has prepared and filed, or will file, with the Commission an “automatic shelf registration statement” as defined under Rule 405 of the Securities Act on form S-3 that contains a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Such registration statement registers the issuance and sale by the Company of the Ordinary Shares represented by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refer to such revised prospectus from and after the time it is first provided to the Agent for such use. The Registration Statement at the time it originally became effective is herein called the “</w:t>
      </w:r>
      <w:r>
        <w:rPr>
          <w:rFonts w:ascii="Times New Roman" w:cs="Times New Roman" w:eastAsia="Times New Roman" w:hAnsi="Times New Roman"/>
          <w:sz w:val="18"/>
          <w:szCs w:val="18"/>
          <w:b w:val="1"/>
          <w:bCs w:val="1"/>
          <w:color w:val="auto"/>
        </w:rPr>
        <w:t>Original Registration Statement.</w:t>
      </w:r>
      <w:r>
        <w:rPr>
          <w:rFonts w:ascii="Times New Roman" w:cs="Times New Roman" w:eastAsia="Times New Roman" w:hAnsi="Times New Roman"/>
          <w:sz w:val="18"/>
          <w:szCs w:val="18"/>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 The Company has filed with the Commission a registration statement on Form F-6 (File No. 333-217353) covering the registration of the ADSs under the Securities Act. The Company may file one or more additional registration statements on Form F-6 from time to time. The registration statement on Form F-6 relating to the ADSs, as amended, is hereinafter referred to as the “</w:t>
      </w:r>
      <w:r>
        <w:rPr>
          <w:rFonts w:ascii="Times New Roman" w:cs="Times New Roman" w:eastAsia="Times New Roman" w:hAnsi="Times New Roman"/>
          <w:sz w:val="18"/>
          <w:szCs w:val="18"/>
          <w:b w:val="1"/>
          <w:bCs w:val="1"/>
          <w:color w:val="auto"/>
        </w:rPr>
        <w:t>ADS Registration 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in the Registration Statement, the ADS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the ADS Registration Statement or the Prospectus, as the case may be, as of any specified date; and all references in this Agreement to amendments or supplements to the Registration Statement, the ADS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the ADS Registration Statement or the Prospectus, as the case may be, as of any specified date.</w:t>
      </w:r>
    </w:p>
    <w:p>
      <w:pPr>
        <w:spacing w:after="0" w:line="1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the time the Original Registration Statement became effective, the Company will meet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Section 2(b) of the Original Agreement shall be amended and restated as follows:</w:t>
      </w:r>
    </w:p>
    <w:p>
      <w:pPr>
        <w:spacing w:after="0" w:line="225"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Compliance with Registration Requirements</w:t>
      </w:r>
      <w:r>
        <w:rPr>
          <w:rFonts w:ascii="Times New Roman" w:cs="Times New Roman" w:eastAsia="Times New Roman" w:hAnsi="Times New Roman"/>
          <w:sz w:val="18"/>
          <w:szCs w:val="18"/>
          <w:color w:val="auto"/>
        </w:rPr>
        <w:t>. The Registration Statement became or will become effective automatically upon filing with the Commission under the Securities Act. The Company has complied or will comply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 The Prospectus when filed complied or will comply in all material respects with the Securities Act and, if filed with the Commission through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(except as may be permitted by Regulation S-T under the Securities Act), was identical to the copy thereof delivered to the Agent for use in connection with the issuance and sale of the Shares. Each of the Registration Statement, the ADS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(except that the foregoing shall not apply to those parts of the Registration Statement that constitute the Statement of Eligibility (Form T-1) under the Trust Indenture Act of 1939). As of the date of this Agreement, the Prospectus and any Free Writing Prospectus (as defined below) considered together (collectively, the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did not contain any untrue statement of a material fact or omit to state a material fact necessary to make the statements therein,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the ADS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Section 6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General Instruction I.B.1 of Form S-3.”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3.            Section 2(rr) of the Original Agreement shall be amended and restated as follows:</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“(eee)     </w:t>
      </w:r>
      <w:r>
        <w:rPr>
          <w:rFonts w:ascii="Times New Roman" w:cs="Times New Roman" w:eastAsia="Times New Roman" w:hAnsi="Times New Roman"/>
          <w:sz w:val="18"/>
          <w:szCs w:val="18"/>
          <w:u w:val="single" w:color="auto"/>
          <w:color w:val="auto"/>
        </w:rPr>
        <w:t>Well-Known Seasoned Issuer</w:t>
      </w:r>
      <w:r>
        <w:rPr>
          <w:rFonts w:ascii="Times New Roman" w:cs="Times New Roman" w:eastAsia="Times New Roman" w:hAnsi="Times New Roman"/>
          <w:sz w:val="18"/>
          <w:szCs w:val="18"/>
          <w:color w:val="auto"/>
        </w:rPr>
        <w:t>. (A) At the original effectiveness of the Registration Statement, (B) at the time of the most recent amendment thereto for the purposes of complying with Section 10(a)(3) of the Securities Act (whether such amendment was by post-effective amendment or incorporated report filed pursuant to Section 13 or 15(d) of the Exchange Act or in the form of a prospectus), and (C) at the time the Company or any person acting on its behalf (within the meaning, for this clause only, of Rule 163(c) under the Securities Act) made any offer relating to the Shares in reliance on the exemption of Rule 163 under the Securities Act, the Company was and is a “well-known seasoned issuer” (as defined in Rule 405 under the Securities 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Section 4(b) of the Original Agreement shall be amended and restated as follows:</w:t>
      </w:r>
    </w:p>
    <w:p>
      <w:pPr>
        <w:spacing w:after="0" w:line="22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Securities Act Compliance</w:t>
      </w:r>
      <w:r>
        <w:rPr>
          <w:rFonts w:ascii="Times New Roman" w:cs="Times New Roman" w:eastAsia="Times New Roman" w:hAnsi="Times New Roman"/>
          <w:sz w:val="18"/>
          <w:szCs w:val="18"/>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the ADS Registration Statement, any Rule 462(b) Registration Statement or any amendment or supplement to the Prospectus, any Free Writing Prospectus; (iii) of the time and date that any post-effective amendment to the Registration Statement, the ADS Registration Statement or any Rule 462(b) Registration Statement becomes effective; and (iv) of the issuance by the Commission of any stop order suspending the effectiveness of the Registration Statement, the ADS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ADSs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 The Company will pay the required Commission filing fees relating to the Shares in accordance with Rules 456(b) and 457(r) under the Securities Act.”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spacing w:after="0" w:line="261" w:lineRule="auto"/>
        <w:rPr>
          <w:sz w:val="20"/>
          <w:szCs w:val="20"/>
          <w:color w:val="auto"/>
        </w:rPr>
      </w:pPr>
      <w:r>
        <w:rPr>
          <w:rFonts w:ascii="Times New Roman" w:cs="Times New Roman" w:eastAsia="Times New Roman" w:hAnsi="Times New Roman"/>
          <w:sz w:val="18"/>
          <w:szCs w:val="18"/>
          <w:color w:val="auto"/>
        </w:rPr>
        <w:t>5.            The Company represents and warrants to, and agrees with the Agent that this Amendment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6.            This Amendment together with the Original Agreement (including all schedules and exhibits attached hereto and thereto and Issuance Notices issued pursuant hereto and thereto), constitutes the entire agreement and supersedes all other prior and contemporaneous agreements and undertakings, both written and oral, among the parties hereto with regard to the subject matter hereof. Neither this Amendment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Amendment. All references in the Original Agreement to the “Agreement” shall mean the Original Agreement as amended by this Amendment; provided, however, that all references to “date of this Agreement” (or similar terms) in the Original Agreement shall continue to refer to the date of the Original Agreement.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7.            This Amendment shall be governed by and construed in accordance with the internal laws of the State of New York applicable to agreements made and to be performed in such state. Any legal suit, action or proceeding arising out of or based upon this Amendment or the transactions contemplated hereby (“</w:t>
      </w:r>
      <w:r>
        <w:rPr>
          <w:rFonts w:ascii="Times New Roman" w:cs="Times New Roman" w:eastAsia="Times New Roman" w:hAnsi="Times New Roman"/>
          <w:sz w:val="18"/>
          <w:szCs w:val="18"/>
          <w:b w:val="1"/>
          <w:bCs w:val="1"/>
          <w:color w:val="auto"/>
        </w:rPr>
        <w:t>Related Proceeding</w:t>
      </w:r>
      <w:r>
        <w:rPr>
          <w:rFonts w:ascii="Times New Roman" w:cs="Times New Roman" w:eastAsia="Times New Roman" w:hAnsi="Times New Roman"/>
          <w:sz w:val="18"/>
          <w:szCs w:val="18"/>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such court (a “</w:t>
      </w:r>
      <w:r>
        <w:rPr>
          <w:rFonts w:ascii="Times New Roman" w:cs="Times New Roman" w:eastAsia="Times New Roman" w:hAnsi="Times New Roman"/>
          <w:sz w:val="18"/>
          <w:szCs w:val="18"/>
          <w:b w:val="1"/>
          <w:bCs w:val="1"/>
          <w:color w:val="auto"/>
        </w:rPr>
        <w:t>Related Judgment</w:t>
      </w:r>
      <w:r>
        <w:rPr>
          <w:rFonts w:ascii="Times New Roman" w:cs="Times New Roman" w:eastAsia="Times New Roman" w:hAnsi="Times New Roman"/>
          <w:sz w:val="18"/>
          <w:szCs w:val="18"/>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has irrevocably appointed Cogency Global Inc., which currently maintains a New York City office at 122 East 42nd Street, 18th Floor, New York, N.Y. 10168, United States of America, as its agent to receive service of process or other legal summons for purposes of any such suit, action or proceeding that may be instituted in any state or federal court in the Borough of Manhattan in the City of New York, United States of America.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8.            This Amendment may be executed in two or more counterparts, each of which shall be deemed an original, but all of which together shall constitute one and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among the Company and the Agent, please so indicate in the space provided below for that purpose, whereupon this Amendment shall constitute a binding amendment to the Original Agreement between the Company and the Agent.</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Donald Lynaugh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as of the 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first-above written: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Zaccardelli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Zaccardelli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Open Market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165100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Dated as of 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w:t>
      </w:r>
    </w:p>
    <w:p>
      <w:pPr>
        <w:spacing w:after="0" w:line="2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737235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714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15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218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Definitions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1.3.</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1.4.</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Rules of Construction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Issuable in Series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2.2.</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Establishment of Terms of Series of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2.3.</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2.4.</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Registrar, Paying Agent and Notice Agent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2.5.</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2.6.</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Holder Lists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2.7.</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and Exchange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2.8.</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2.9.</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2.10.</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Temporary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2.12.</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2.13.</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Defaulted Interest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2.14.</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Global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2.15.</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CUSIP Numbers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REDEMPTION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to Trustee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Selection of Securities to be Redeemed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3.3.</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Redemption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3.4.</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3.5.</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3.6.</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4.2.</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Reports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4.3.</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Certificate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4.4.</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SUCCESSORS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When Company May Merge, Etc.</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5.2.</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Events of Default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6.2.</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6.3.</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6.4.</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6.5.</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6.6.</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6.7.</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Suits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6.8.</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Unconditional Right of Holders to Receive Principal and Interest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6.9.</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6.10.</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6.12.</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 by Holders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6.13.</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Past Defaults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6.14.</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Undertaking for Costs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TRUSTEE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Duties of Trustee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7.2.</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of Trustee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7.3.</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7.4.</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Trustee’s Disclaimer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7.5.</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Defaults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7.6.</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7.7.</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7.8.</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Replacement of Trustee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7.9.</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7.10.</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7.11.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SATISFACTION AND DISCHARGE; DEFEASANCE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8.2.</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 of Trust Funds; Indemnification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8.3.</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Defeasance of Securities of any Series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8.4.</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Covenant Defeasance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8.5.</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to Company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8.6.</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Reinstatement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9.2.</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Consent of Holders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9.3.</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9.4.</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9.5.</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9.6.</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9.7.</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Protected.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10.2.</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10.3.</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Communication by Holders with Other Holders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10.4.</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10.5.</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10.6.</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10.7.</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 Holidays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10.8.</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10.9.</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10.10.</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 Waiver of Jury Trial; Consent to Jurisdiction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10.11.</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10.12.</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10.13.</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10.14.</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10.15.</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Securities in a Foreign Currency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10.16.</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 Currency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10.17.</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Force Majeure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10.18.</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 Patriot Act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SINKING FUNDS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11.1.</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Applicability of Article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11.2.</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11.3.</w:t>
            </w:r>
          </w:p>
        </w:tc>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tbl>
      <w:tblPr>
        <w:tblLayout w:type="fixed"/>
        <w:tblInd w:w="32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924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1120" w:type="dxa"/>
            <w:vAlign w:val="bottom"/>
          </w:tcPr>
          <w:p>
            <w:pPr>
              <w:spacing w:after="0"/>
              <w:rPr>
                <w:sz w:val="24"/>
                <w:szCs w:val="24"/>
                <w:color w:val="auto"/>
              </w:rPr>
            </w:pP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Reconciliation and tie between Trust Indenture Act of 1939 and Indenture, dated as of ____________, 20__</w:t>
            </w:r>
          </w:p>
        </w:tc>
      </w:tr>
      <w:tr>
        <w:trPr>
          <w:trHeight w:val="414"/>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 310(a)(1)</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(a)(2)</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(a)(3)</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(a)(4)</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(a)(5)</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311(a)</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312(a)</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313(a)</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(b)(1)</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(b)(2)</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(c)(1)</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314(a)</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4.2, 10.5</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(c)(1)</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(c)(2)</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(c)(3)</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(e)</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(f)</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315(a)</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(e)</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316(a)</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(a)(1)(A)</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(a)(1)(B)</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 317(a)(1)</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(a)(2)</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318(a)</w:t>
            </w:r>
          </w:p>
        </w:tc>
        <w:tc>
          <w:tcPr>
            <w:tcW w:w="9240" w:type="dxa"/>
            <w:vAlign w:val="bottom"/>
          </w:tcPr>
          <w:p>
            <w:pPr>
              <w:ind w:left="812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part of the Indenture.</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900" w:right="899" w:bottom="1440" w:gutter="0" w:footer="0" w:header="0"/>
        </w:sectPr>
      </w:pPr>
    </w:p>
    <w:bookmarkStart w:id="131" w:name="page132"/>
    <w:bookmarkEnd w:id="131"/>
    <w:p>
      <w:pPr>
        <w:ind w:left="1300"/>
        <w:spacing w:after="0"/>
        <w:rPr>
          <w:sz w:val="20"/>
          <w:szCs w:val="20"/>
          <w:color w:val="auto"/>
        </w:rPr>
      </w:pPr>
      <w:r>
        <w:rPr>
          <w:rFonts w:ascii="Times New Roman" w:cs="Times New Roman" w:eastAsia="Times New Roman" w:hAnsi="Times New Roman"/>
          <w:sz w:val="18"/>
          <w:szCs w:val="18"/>
          <w:color w:val="auto"/>
        </w:rPr>
        <w:t>Indenture dated as of __________, 20__ between Verona Pharma plc, a company incorporated under the laws of the England and Wales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[______]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 issued under this Indenture.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Definitions.</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Notice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an Officer and delivered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related to this Indenture shall be principally administered.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passage of time or both would be, an Event of Default.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w:t>
      </w:r>
    </w:p>
    <w:p>
      <w:pPr>
        <w:spacing w:after="0" w:line="20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generally accepted accounting principles in the United States of America set forth in the opinions and pronouncements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0"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Security is registered on the Registrar’s books.</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with respect to any Discount Security which by its terms bears interest only after Maturity, means interest payable after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any Officer that meets the requirements of this Indenture.</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acceptable to the Trustee. The counsel may be an employee of or counsel to the Company. The opinion may contain customary limitations, conditions and exceptions.</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 Indenture.</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means each series of debentures, notes or other debt instruments of the Company created pursuant to Sections 2.1 and 2.2 hereof.</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4" w:name="page135"/>
    <w:bookmarkEnd w:id="134"/>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xml:space="preserve">” means the Trust Indenture Act of 1939 (15 U.S. Code §§ 77aaa-77bbbb) as in effect on the date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Trust Indenture Act of 1939 is amended after such date, “TIA” means, to the extent required by any such amendment, the Trust Indenture Act as so amended.</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Section 1.2.       Other Definitions.</w:t>
            </w:r>
          </w:p>
        </w:tc>
        <w:tc>
          <w:tcPr>
            <w:tcW w:w="37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68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126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6840" w:type="dxa"/>
            <w:vAlign w:val="bottom"/>
            <w:gridSpan w:val="3"/>
          </w:tcPr>
          <w:p>
            <w:pPr>
              <w:ind w:left="3780"/>
              <w:spacing w:after="0"/>
              <w:rPr>
                <w:sz w:val="20"/>
                <w:szCs w:val="20"/>
                <w:color w:val="auto"/>
              </w:rPr>
            </w:pPr>
            <w:r>
              <w:rPr>
                <w:rFonts w:ascii="Times New Roman" w:cs="Times New Roman" w:eastAsia="Times New Roman" w:hAnsi="Times New Roman"/>
                <w:sz w:val="18"/>
                <w:szCs w:val="18"/>
                <w:color w:val="auto"/>
              </w:rPr>
              <w:t>DEFINED IN SECTION</w:t>
            </w:r>
          </w:p>
        </w:tc>
      </w:tr>
      <w:tr>
        <w:trPr>
          <w:trHeight w:val="20"/>
        </w:trPr>
        <w:tc>
          <w:tcPr>
            <w:tcW w:w="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680" w:type="dxa"/>
            <w:vAlign w:val="bottom"/>
          </w:tcPr>
          <w:p>
            <w:pPr>
              <w:spacing w:after="0"/>
              <w:rPr>
                <w:sz w:val="19"/>
                <w:szCs w:val="19"/>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 Member</w:t>
            </w:r>
            <w:r>
              <w:rPr>
                <w:rFonts w:ascii="Times New Roman" w:cs="Times New Roman" w:eastAsia="Times New Roman" w:hAnsi="Times New Roman"/>
                <w:sz w:val="18"/>
                <w:szCs w:val="18"/>
                <w:color w:val="auto"/>
              </w:rPr>
              <w:t>”</w:t>
            </w:r>
          </w:p>
        </w:tc>
        <w:tc>
          <w:tcPr>
            <w:tcW w:w="5600" w:type="dxa"/>
            <w:vAlign w:val="bottom"/>
            <w:gridSpan w:val="2"/>
          </w:tcPr>
          <w:p>
            <w:pPr>
              <w:jc w:val="center"/>
              <w:ind w:left="3690"/>
              <w:spacing w:after="0"/>
              <w:rPr>
                <w:sz w:val="20"/>
                <w:szCs w:val="20"/>
                <w:color w:val="auto"/>
              </w:rPr>
            </w:pPr>
            <w:r>
              <w:rPr>
                <w:rFonts w:ascii="Times New Roman" w:cs="Times New Roman" w:eastAsia="Times New Roman" w:hAnsi="Times New Roman"/>
                <w:sz w:val="18"/>
                <w:szCs w:val="18"/>
                <w:color w:val="auto"/>
              </w:rPr>
              <w:t>2.14.6</w:t>
            </w:r>
          </w:p>
        </w:tc>
        <w:tc>
          <w:tcPr>
            <w:tcW w:w="1240" w:type="dxa"/>
            <w:vAlign w:val="bottom"/>
          </w:tcPr>
          <w:p>
            <w:pPr>
              <w:spacing w:after="0"/>
              <w:rPr>
                <w:sz w:val="19"/>
                <w:szCs w:val="19"/>
                <w:color w:val="auto"/>
              </w:rPr>
            </w:pPr>
          </w:p>
        </w:tc>
      </w:tr>
      <w:tr>
        <w:trPr>
          <w:trHeight w:val="216"/>
        </w:trPr>
        <w:tc>
          <w:tcPr>
            <w:tcW w:w="680" w:type="dxa"/>
            <w:vAlign w:val="bottom"/>
          </w:tcPr>
          <w:p>
            <w:pPr>
              <w:spacing w:after="0"/>
              <w:rPr>
                <w:sz w:val="18"/>
                <w:szCs w:val="18"/>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w:t>
            </w:r>
          </w:p>
        </w:tc>
        <w:tc>
          <w:tcPr>
            <w:tcW w:w="5600" w:type="dxa"/>
            <w:vAlign w:val="bottom"/>
            <w:gridSpan w:val="2"/>
          </w:tcPr>
          <w:p>
            <w:pPr>
              <w:jc w:val="center"/>
              <w:ind w:left="3690"/>
              <w:spacing w:after="0"/>
              <w:rPr>
                <w:sz w:val="20"/>
                <w:szCs w:val="20"/>
                <w:color w:val="auto"/>
              </w:rPr>
            </w:pPr>
            <w:r>
              <w:rPr>
                <w:rFonts w:ascii="Times New Roman" w:cs="Times New Roman" w:eastAsia="Times New Roman" w:hAnsi="Times New Roman"/>
                <w:sz w:val="18"/>
                <w:szCs w:val="18"/>
                <w:color w:val="auto"/>
                <w:w w:val="97"/>
              </w:rPr>
              <w:t>6.1</w:t>
            </w:r>
          </w:p>
        </w:tc>
        <w:tc>
          <w:tcPr>
            <w:tcW w:w="12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w:t>
            </w:r>
          </w:p>
        </w:tc>
        <w:tc>
          <w:tcPr>
            <w:tcW w:w="5600" w:type="dxa"/>
            <w:vAlign w:val="bottom"/>
            <w:gridSpan w:val="2"/>
          </w:tcPr>
          <w:p>
            <w:pPr>
              <w:jc w:val="center"/>
              <w:ind w:left="3690"/>
              <w:spacing w:after="0"/>
              <w:rPr>
                <w:sz w:val="20"/>
                <w:szCs w:val="20"/>
                <w:color w:val="auto"/>
              </w:rPr>
            </w:pPr>
            <w:r>
              <w:rPr>
                <w:rFonts w:ascii="Times New Roman" w:cs="Times New Roman" w:eastAsia="Times New Roman" w:hAnsi="Times New Roman"/>
                <w:sz w:val="18"/>
                <w:szCs w:val="18"/>
                <w:color w:val="auto"/>
                <w:w w:val="97"/>
              </w:rPr>
              <w:t>6.1</w:t>
            </w:r>
          </w:p>
        </w:tc>
        <w:tc>
          <w:tcPr>
            <w:tcW w:w="12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5600" w:type="dxa"/>
            <w:vAlign w:val="bottom"/>
            <w:gridSpan w:val="2"/>
          </w:tcPr>
          <w:p>
            <w:pPr>
              <w:jc w:val="center"/>
              <w:ind w:left="3690"/>
              <w:spacing w:after="0"/>
              <w:rPr>
                <w:sz w:val="20"/>
                <w:szCs w:val="20"/>
                <w:color w:val="auto"/>
              </w:rPr>
            </w:pPr>
            <w:r>
              <w:rPr>
                <w:rFonts w:ascii="Times New Roman" w:cs="Times New Roman" w:eastAsia="Times New Roman" w:hAnsi="Times New Roman"/>
                <w:sz w:val="18"/>
                <w:szCs w:val="18"/>
                <w:color w:val="auto"/>
                <w:w w:val="97"/>
              </w:rPr>
              <w:t>6.1</w:t>
            </w:r>
          </w:p>
        </w:tc>
        <w:tc>
          <w:tcPr>
            <w:tcW w:w="12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tc>
        <w:tc>
          <w:tcPr>
            <w:tcW w:w="5600" w:type="dxa"/>
            <w:vAlign w:val="bottom"/>
            <w:gridSpan w:val="2"/>
          </w:tcPr>
          <w:p>
            <w:pPr>
              <w:jc w:val="center"/>
              <w:ind w:left="3670"/>
              <w:spacing w:after="0"/>
              <w:rPr>
                <w:sz w:val="20"/>
                <w:szCs w:val="20"/>
                <w:color w:val="auto"/>
              </w:rPr>
            </w:pPr>
            <w:r>
              <w:rPr>
                <w:rFonts w:ascii="Times New Roman" w:cs="Times New Roman" w:eastAsia="Times New Roman" w:hAnsi="Times New Roman"/>
                <w:sz w:val="18"/>
                <w:szCs w:val="18"/>
                <w:color w:val="auto"/>
                <w:w w:val="98"/>
              </w:rPr>
              <w:t>10.16</w:t>
            </w:r>
          </w:p>
        </w:tc>
        <w:tc>
          <w:tcPr>
            <w:tcW w:w="12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w:t>
            </w:r>
          </w:p>
        </w:tc>
        <w:tc>
          <w:tcPr>
            <w:tcW w:w="5600" w:type="dxa"/>
            <w:vAlign w:val="bottom"/>
            <w:gridSpan w:val="2"/>
          </w:tcPr>
          <w:p>
            <w:pPr>
              <w:jc w:val="center"/>
              <w:ind w:left="3690"/>
              <w:spacing w:after="0"/>
              <w:rPr>
                <w:sz w:val="20"/>
                <w:szCs w:val="20"/>
                <w:color w:val="auto"/>
              </w:rPr>
            </w:pPr>
            <w:r>
              <w:rPr>
                <w:rFonts w:ascii="Times New Roman" w:cs="Times New Roman" w:eastAsia="Times New Roman" w:hAnsi="Times New Roman"/>
                <w:sz w:val="18"/>
                <w:szCs w:val="18"/>
                <w:color w:val="auto"/>
                <w:w w:val="95"/>
              </w:rPr>
              <w:t>11.1</w:t>
            </w:r>
          </w:p>
        </w:tc>
        <w:tc>
          <w:tcPr>
            <w:tcW w:w="12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w:t>
            </w:r>
          </w:p>
        </w:tc>
        <w:tc>
          <w:tcPr>
            <w:tcW w:w="5600" w:type="dxa"/>
            <w:vAlign w:val="bottom"/>
            <w:gridSpan w:val="2"/>
          </w:tcPr>
          <w:p>
            <w:pPr>
              <w:jc w:val="center"/>
              <w:ind w:left="3670"/>
              <w:spacing w:after="0"/>
              <w:rPr>
                <w:sz w:val="20"/>
                <w:szCs w:val="20"/>
                <w:color w:val="auto"/>
              </w:rPr>
            </w:pPr>
            <w:r>
              <w:rPr>
                <w:rFonts w:ascii="Times New Roman" w:cs="Times New Roman" w:eastAsia="Times New Roman" w:hAnsi="Times New Roman"/>
                <w:sz w:val="18"/>
                <w:szCs w:val="18"/>
                <w:color w:val="auto"/>
                <w:w w:val="98"/>
              </w:rPr>
              <w:t>10.16</w:t>
            </w:r>
          </w:p>
        </w:tc>
        <w:tc>
          <w:tcPr>
            <w:tcW w:w="12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w:t>
            </w:r>
          </w:p>
        </w:tc>
        <w:tc>
          <w:tcPr>
            <w:tcW w:w="5600" w:type="dxa"/>
            <w:vAlign w:val="bottom"/>
            <w:gridSpan w:val="2"/>
          </w:tcPr>
          <w:p>
            <w:pPr>
              <w:jc w:val="center"/>
              <w:ind w:left="3690"/>
              <w:spacing w:after="0"/>
              <w:rPr>
                <w:sz w:val="20"/>
                <w:szCs w:val="20"/>
                <w:color w:val="auto"/>
              </w:rPr>
            </w:pPr>
            <w:r>
              <w:rPr>
                <w:rFonts w:ascii="Times New Roman" w:cs="Times New Roman" w:eastAsia="Times New Roman" w:hAnsi="Times New Roman"/>
                <w:sz w:val="18"/>
                <w:szCs w:val="18"/>
                <w:color w:val="auto"/>
                <w:w w:val="97"/>
              </w:rPr>
              <w:t>2.4</w:t>
            </w:r>
          </w:p>
        </w:tc>
        <w:tc>
          <w:tcPr>
            <w:tcW w:w="12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w:t>
            </w:r>
          </w:p>
        </w:tc>
        <w:tc>
          <w:tcPr>
            <w:tcW w:w="5600" w:type="dxa"/>
            <w:vAlign w:val="bottom"/>
            <w:gridSpan w:val="2"/>
          </w:tcPr>
          <w:p>
            <w:pPr>
              <w:jc w:val="center"/>
              <w:ind w:left="3690"/>
              <w:spacing w:after="0"/>
              <w:rPr>
                <w:sz w:val="20"/>
                <w:szCs w:val="20"/>
                <w:color w:val="auto"/>
              </w:rPr>
            </w:pPr>
            <w:r>
              <w:rPr>
                <w:rFonts w:ascii="Times New Roman" w:cs="Times New Roman" w:eastAsia="Times New Roman" w:hAnsi="Times New Roman"/>
                <w:sz w:val="18"/>
                <w:szCs w:val="18"/>
                <w:color w:val="auto"/>
                <w:w w:val="95"/>
              </w:rPr>
              <w:t>11.1</w:t>
            </w:r>
          </w:p>
        </w:tc>
        <w:tc>
          <w:tcPr>
            <w:tcW w:w="12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5600" w:type="dxa"/>
            <w:vAlign w:val="bottom"/>
            <w:gridSpan w:val="2"/>
          </w:tcPr>
          <w:p>
            <w:pPr>
              <w:jc w:val="center"/>
              <w:ind w:left="3690"/>
              <w:spacing w:after="0"/>
              <w:rPr>
                <w:sz w:val="20"/>
                <w:szCs w:val="20"/>
                <w:color w:val="auto"/>
              </w:rPr>
            </w:pPr>
            <w:r>
              <w:rPr>
                <w:rFonts w:ascii="Times New Roman" w:cs="Times New Roman" w:eastAsia="Times New Roman" w:hAnsi="Times New Roman"/>
                <w:sz w:val="18"/>
                <w:szCs w:val="18"/>
                <w:color w:val="auto"/>
                <w:w w:val="97"/>
              </w:rPr>
              <w:t>2.4</w:t>
            </w:r>
          </w:p>
        </w:tc>
        <w:tc>
          <w:tcPr>
            <w:tcW w:w="12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5600" w:type="dxa"/>
            <w:vAlign w:val="bottom"/>
            <w:gridSpan w:val="2"/>
          </w:tcPr>
          <w:p>
            <w:pPr>
              <w:jc w:val="center"/>
              <w:ind w:left="3690"/>
              <w:spacing w:after="0"/>
              <w:rPr>
                <w:sz w:val="20"/>
                <w:szCs w:val="20"/>
                <w:color w:val="auto"/>
              </w:rPr>
            </w:pPr>
            <w:r>
              <w:rPr>
                <w:rFonts w:ascii="Times New Roman" w:cs="Times New Roman" w:eastAsia="Times New Roman" w:hAnsi="Times New Roman"/>
                <w:sz w:val="18"/>
                <w:szCs w:val="18"/>
                <w:color w:val="auto"/>
                <w:w w:val="97"/>
              </w:rPr>
              <w:t>2.4</w:t>
            </w:r>
          </w:p>
        </w:tc>
        <w:tc>
          <w:tcPr>
            <w:tcW w:w="12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w:t>
            </w:r>
          </w:p>
        </w:tc>
        <w:tc>
          <w:tcPr>
            <w:tcW w:w="5600" w:type="dxa"/>
            <w:vAlign w:val="bottom"/>
            <w:gridSpan w:val="2"/>
          </w:tcPr>
          <w:p>
            <w:pPr>
              <w:jc w:val="center"/>
              <w:ind w:left="3670"/>
              <w:spacing w:after="0"/>
              <w:rPr>
                <w:sz w:val="20"/>
                <w:szCs w:val="20"/>
                <w:color w:val="auto"/>
              </w:rPr>
            </w:pPr>
            <w:r>
              <w:rPr>
                <w:rFonts w:ascii="Times New Roman" w:cs="Times New Roman" w:eastAsia="Times New Roman" w:hAnsi="Times New Roman"/>
                <w:sz w:val="18"/>
                <w:szCs w:val="18"/>
                <w:color w:val="auto"/>
                <w:w w:val="98"/>
              </w:rPr>
              <w:t>10.16</w:t>
            </w:r>
          </w:p>
        </w:tc>
        <w:tc>
          <w:tcPr>
            <w:tcW w:w="12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w:t>
            </w:r>
          </w:p>
        </w:tc>
        <w:tc>
          <w:tcPr>
            <w:tcW w:w="5600" w:type="dxa"/>
            <w:vAlign w:val="bottom"/>
            <w:gridSpan w:val="2"/>
          </w:tcPr>
          <w:p>
            <w:pPr>
              <w:jc w:val="center"/>
              <w:ind w:left="3670"/>
              <w:spacing w:after="0"/>
              <w:rPr>
                <w:sz w:val="20"/>
                <w:szCs w:val="20"/>
                <w:color w:val="auto"/>
              </w:rPr>
            </w:pPr>
            <w:r>
              <w:rPr>
                <w:rFonts w:ascii="Times New Roman" w:cs="Times New Roman" w:eastAsia="Times New Roman" w:hAnsi="Times New Roman"/>
                <w:sz w:val="18"/>
                <w:szCs w:val="18"/>
                <w:color w:val="auto"/>
                <w:w w:val="98"/>
              </w:rPr>
              <w:t>10.10</w:t>
            </w:r>
          </w:p>
        </w:tc>
        <w:tc>
          <w:tcPr>
            <w:tcW w:w="1240" w:type="dxa"/>
            <w:vAlign w:val="bottom"/>
          </w:tcPr>
          <w:p>
            <w:pPr>
              <w:spacing w:after="0"/>
              <w:rPr>
                <w:sz w:val="18"/>
                <w:szCs w:val="18"/>
                <w:color w:val="auto"/>
              </w:rPr>
            </w:pPr>
          </w:p>
        </w:tc>
      </w:tr>
      <w:tr>
        <w:trPr>
          <w:trHeight w:val="236"/>
        </w:trPr>
        <w:tc>
          <w:tcPr>
            <w:tcW w:w="680" w:type="dxa"/>
            <w:vAlign w:val="bottom"/>
          </w:tcPr>
          <w:p>
            <w:pPr>
              <w:spacing w:after="0"/>
              <w:rPr>
                <w:sz w:val="20"/>
                <w:szCs w:val="20"/>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w:t>
            </w:r>
          </w:p>
        </w:tc>
        <w:tc>
          <w:tcPr>
            <w:tcW w:w="5600" w:type="dxa"/>
            <w:vAlign w:val="bottom"/>
            <w:gridSpan w:val="2"/>
          </w:tcPr>
          <w:p>
            <w:pPr>
              <w:jc w:val="center"/>
              <w:ind w:left="3690"/>
              <w:spacing w:after="0"/>
              <w:rPr>
                <w:sz w:val="20"/>
                <w:szCs w:val="20"/>
                <w:color w:val="auto"/>
              </w:rPr>
            </w:pPr>
            <w:r>
              <w:rPr>
                <w:rFonts w:ascii="Times New Roman" w:cs="Times New Roman" w:eastAsia="Times New Roman" w:hAnsi="Times New Roman"/>
                <w:sz w:val="18"/>
                <w:szCs w:val="18"/>
                <w:color w:val="auto"/>
                <w:w w:val="97"/>
              </w:rPr>
              <w:t>5.1</w:t>
            </w:r>
          </w:p>
        </w:tc>
        <w:tc>
          <w:tcPr>
            <w:tcW w:w="1240" w:type="dxa"/>
            <w:vAlign w:val="bottom"/>
          </w:tcPr>
          <w:p>
            <w:pPr>
              <w:spacing w:after="0"/>
              <w:rPr>
                <w:sz w:val="20"/>
                <w:szCs w:val="20"/>
                <w:color w:val="auto"/>
              </w:rPr>
            </w:pPr>
          </w:p>
        </w:tc>
      </w:tr>
      <w:tr>
        <w:trPr>
          <w:trHeight w:val="648"/>
        </w:trPr>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right"/>
              <w:ind w:right="2410"/>
              <w:spacing w:after="0"/>
              <w:rPr>
                <w:sz w:val="20"/>
                <w:szCs w:val="20"/>
                <w:color w:val="auto"/>
              </w:rPr>
            </w:pPr>
            <w:r>
              <w:rPr>
                <w:rFonts w:ascii="Times New Roman" w:cs="Times New Roman" w:eastAsia="Times New Roman" w:hAnsi="Times New Roman"/>
                <w:sz w:val="18"/>
                <w:szCs w:val="18"/>
                <w:color w:val="auto"/>
              </w:rPr>
              <w:t>4</w:t>
            </w:r>
          </w:p>
        </w:tc>
        <w:tc>
          <w:tcPr>
            <w:tcW w:w="18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Whenever this Indenture refers to a provision of the TIA, the provision is incorporated by reference in and made a part of this Indenture.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TIA terms used in this Indenture have the following meanings:</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Holder.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means this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2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 term has the meaning assigned to it;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 accounting term not otherwise defined has the meaning assigned to it in accordance with GAAP;</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is not exclusive;</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words in the singular include the plural, and in the plural include the singular;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provisions apply to successive events and transactions;</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(f)            in the computation of periods of time from a specified date to a later specified date, the word “from” means “from and including,” and the words “to” and “until” each mean “to but excluding”; and</w:t>
      </w:r>
    </w:p>
    <w:p>
      <w:pPr>
        <w:spacing w:after="0" w:line="162" w:lineRule="exact"/>
        <w:rPr>
          <w:sz w:val="20"/>
          <w:szCs w:val="20"/>
          <w:color w:val="auto"/>
        </w:rPr>
      </w:pPr>
    </w:p>
    <w:p>
      <w:pPr>
        <w:ind w:left="660" w:right="60" w:firstLine="648"/>
        <w:spacing w:after="0" w:line="282" w:lineRule="auto"/>
        <w:rPr>
          <w:sz w:val="20"/>
          <w:szCs w:val="20"/>
          <w:color w:val="auto"/>
        </w:rPr>
      </w:pPr>
      <w:r>
        <w:rPr>
          <w:rFonts w:ascii="Times New Roman" w:cs="Times New Roman" w:eastAsia="Times New Roman" w:hAnsi="Times New Roman"/>
          <w:sz w:val="18"/>
          <w:szCs w:val="18"/>
          <w:color w:val="auto"/>
        </w:rPr>
        <w:t>(g)            the phrase “in writing” as used herein shall be deemed to include PDFs, e-mails and other electronic means of transmission, unless otherwise indicated.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Issuable in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Establishment of Terms of Series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2.2.2.       the price or prices (expressed as a percentage of the principal amount thereof) at which the Securities of the Series will be issued;</w:t>
      </w:r>
    </w:p>
    <w:p>
      <w:pPr>
        <w:spacing w:after="0" w:line="23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2.2.4.       the date or dates on which the principal of the Securities of the Series is payable;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2.2.10.     if other than denominations of $1,000 and any integral multiple thereof, the denominations in which the Securities of the Series shall be issuable;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2.2.11.     the forms of the Securities of the Series and whether the Securities will be issuable as Global Securities;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2.2.14.     the designation of the currency, currencies or currency units in which payment of the principal of and interest, if any, on the Securities of the Series will be made;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2.2.17.     the provisions, if any, relating to any security provided for the Securities of the Series;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2.2.19.     any addition to, deletion of or change in the covenants applicable to Securities of the Series;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2.2.20.     any Depositaries, interest rate calculation agents, exchange rate calculation agents or other agents with respect to Securities of such Series if other than those appointed herein;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2.2.23.     whether any of the Company’s direct or indirect Subsidiaries will guarantee the Securities of that Series, including the terms of subordination, if any, of such guarantees.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 Officer shall sign the Securities for the Company by manual, facsimile or electronic signature.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Security is authenticated, the Security shall nevertheless be valid.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Prior to the issuance of Securities of any Series, the Trustee shall have received and (subject to Section 7.2) shall be fully protected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on: (a) the Board Resolution, supplemental indenture hereto or Officer’s Certificate establishing the form of the Securities of that Series 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within that Series and the terms of the Securities of that Series or of Securities within that Series, (b) an Officer’s Certificate complying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10.4 and 10.5, and (c) an Opinion of Counsel complying with Sections 10.4 and 10.5.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Registrar, Paying Agent and Notice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where Securities of such Series may be surrendered for registration of transfer 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where notices and demands to or upon the Company in respect of the Securities of such Series and this Indenture may be delivered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appointment of the Trustee as the Notice Agent shall exclude the appointment of the Trustee or any office of the Trustee as an agent to receive the service of legal process on the Company.</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includes any co-registrar; the term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includes any additional paying agent; and the term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includes any additional notice agent. The Company or any of its Affiliates may serve as Registrar or Paying Agent.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ind w:left="660"/>
        <w:spacing w:after="0"/>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Paying Agent to Hold Money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Every Holder, by receiving and holding Securities, agrees with the Company and the Trustee that neither the Company nor the Trustee or any agent of either of them shall be held 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2.7.          </w:t>
      </w:r>
      <w:r>
        <w:rPr>
          <w:rFonts w:ascii="Times New Roman" w:cs="Times New Roman" w:eastAsia="Times New Roman" w:hAnsi="Times New Roman"/>
          <w:sz w:val="18"/>
          <w:szCs w:val="18"/>
          <w:u w:val="single" w:color="auto"/>
          <w:color w:val="auto"/>
        </w:rPr>
        <w:t>  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2.8.          </w:t>
      </w:r>
      <w:r>
        <w:rPr>
          <w:rFonts w:ascii="Times New Roman" w:cs="Times New Roman" w:eastAsia="Times New Roman" w:hAnsi="Times New Roman"/>
          <w:sz w:val="18"/>
          <w:szCs w:val="18"/>
          <w:u w:val="single" w:color="auto"/>
          <w:color w:val="auto"/>
        </w:rPr>
        <w:t>  Mutilated, Destroyed, Lost and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2.9.          </w:t>
      </w:r>
      <w:r>
        <w:rPr>
          <w:rFonts w:ascii="Times New Roman" w:cs="Times New Roman" w:eastAsia="Times New Roman" w:hAnsi="Times New Roman"/>
          <w:sz w:val="18"/>
          <w:szCs w:val="18"/>
          <w:u w:val="single" w:color="auto"/>
          <w:color w:val="auto"/>
        </w:rPr>
        <w:t>  Outstanding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2.8, it ceases to be outstanding until the Trustee receives proof satisfactory to it that the replaced Security is held by a bona fide purchaser.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may purchase or otherwise acquire the Securities, whether by open market purchases, negotiated transactions or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Security does not cease to be outstanding because the Company or an Affiliate of the Company holds the Security (but see Section 2.10 below).</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u w:val="single" w:color="auto"/>
          <w:color w:val="auto"/>
        </w:rPr>
        <w:t>  Treasury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  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u w:val="single" w:color="auto"/>
          <w:color w:val="auto"/>
        </w:rPr>
        <w:t>  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2.13.        </w:t>
      </w:r>
      <w:r>
        <w:rPr>
          <w:rFonts w:ascii="Times New Roman" w:cs="Times New Roman" w:eastAsia="Times New Roman" w:hAnsi="Times New Roman"/>
          <w:sz w:val="18"/>
          <w:szCs w:val="18"/>
          <w:u w:val="single" w:color="auto"/>
          <w:color w:val="auto"/>
        </w:rPr>
        <w:t>  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If the Company defaults in a payment of interest on a Series of Securities, it shall pay the defaulted interest, plus, to the extent permitted by law, any interest payable on the defaulted interest, to the persons who are Holders of the Series on a subsequent special record date. 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2.14.        </w:t>
      </w:r>
      <w:r>
        <w:rPr>
          <w:rFonts w:ascii="Times New Roman" w:cs="Times New Roman" w:eastAsia="Times New Roman" w:hAnsi="Times New Roman"/>
          <w:sz w:val="18"/>
          <w:szCs w:val="18"/>
          <w:u w:val="single" w:color="auto"/>
          <w:color w:val="auto"/>
        </w:rPr>
        <w:t>  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2.14.1.   </w:t>
      </w:r>
      <w:r>
        <w:rPr>
          <w:rFonts w:ascii="Times New Roman" w:cs="Times New Roman" w:eastAsia="Times New Roman" w:hAnsi="Times New Roman"/>
          <w:sz w:val="18"/>
          <w:szCs w:val="18"/>
          <w:u w:val="single" w:color="auto"/>
          <w:color w:val="auto"/>
        </w:rPr>
        <w:t>  Terms of Securities</w:t>
      </w:r>
      <w:r>
        <w:rPr>
          <w:rFonts w:ascii="Times New Roman" w:cs="Times New Roman" w:eastAsia="Times New Roman" w:hAnsi="Times New Roman"/>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2.14.2.   </w:t>
      </w:r>
      <w:r>
        <w:rPr>
          <w:rFonts w:ascii="Times New Roman" w:cs="Times New Roman" w:eastAsia="Times New Roman" w:hAnsi="Times New Roman"/>
          <w:sz w:val="18"/>
          <w:szCs w:val="18"/>
          <w:u w:val="single" w:color="auto"/>
          <w:color w:val="auto"/>
        </w:rPr>
        <w:t>  Transfer and Exchange</w:t>
      </w:r>
      <w:r>
        <w:rPr>
          <w:rFonts w:ascii="Times New Roman" w:cs="Times New Roman" w:eastAsia="Times New Roman" w:hAnsi="Times New Roman"/>
          <w:sz w:val="18"/>
          <w:szCs w:val="18"/>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2.14.3.    </w:t>
      </w:r>
      <w:r>
        <w:rPr>
          <w:rFonts w:ascii="Times New Roman" w:cs="Times New Roman" w:eastAsia="Times New Roman" w:hAnsi="Times New Roman"/>
          <w:sz w:val="18"/>
          <w:szCs w:val="18"/>
          <w:u w:val="single" w:color="auto"/>
          <w:color w:val="auto"/>
        </w:rPr>
        <w:t>  Legends</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In addition, so long as the Depository Trust Company (“DTC”) is the Depositary, each Global Security registered in the name of DTC or its nominee shall bear a legend in substantially the following form:</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2.14.4.   </w:t>
      </w:r>
      <w:r>
        <w:rPr>
          <w:rFonts w:ascii="Times New Roman" w:cs="Times New Roman" w:eastAsia="Times New Roman" w:hAnsi="Times New Roman"/>
          <w:sz w:val="18"/>
          <w:szCs w:val="18"/>
          <w:u w:val="single" w:color="auto"/>
          <w:color w:val="auto"/>
        </w:rPr>
        <w:t>  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2.14.5.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2.14.6.   </w:t>
      </w:r>
      <w:r>
        <w:rPr>
          <w:rFonts w:ascii="Times New Roman" w:cs="Times New Roman" w:eastAsia="Times New Roman" w:hAnsi="Times New Roman"/>
          <w:sz w:val="18"/>
          <w:szCs w:val="18"/>
          <w:u w:val="single" w:color="auto"/>
          <w:color w:val="auto"/>
        </w:rPr>
        <w:t>  Agent Members</w:t>
      </w:r>
      <w:r>
        <w:rPr>
          <w:rFonts w:ascii="Times New Roman" w:cs="Times New Roman" w:eastAsia="Times New Roman" w:hAnsi="Times New Roman"/>
          <w:sz w:val="18"/>
          <w:szCs w:val="18"/>
          <w:color w:val="auto"/>
        </w:rPr>
        <w:t>. The registered Holder of a Security will be treated as the owner of such Security for all purposes and only registered Holders shall have rights under this Indenture and the Securities. Members of, or participants in, the Depositary (“</w:t>
      </w:r>
      <w:r>
        <w:rPr>
          <w:rFonts w:ascii="Times New Roman" w:cs="Times New Roman" w:eastAsia="Times New Roman" w:hAnsi="Times New Roman"/>
          <w:sz w:val="18"/>
          <w:szCs w:val="18"/>
          <w:i w:val="1"/>
          <w:iCs w:val="1"/>
          <w:color w:val="auto"/>
        </w:rPr>
        <w:t>Agent Members</w:t>
      </w:r>
      <w:r>
        <w:rPr>
          <w:rFonts w:ascii="Times New Roman" w:cs="Times New Roman" w:eastAsia="Times New Roman" w:hAnsi="Times New Roman"/>
          <w:sz w:val="18"/>
          <w:szCs w:val="18"/>
          <w:color w:val="auto"/>
        </w:rPr>
        <w:t>”)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2.15.        </w:t>
      </w:r>
      <w:r>
        <w:rPr>
          <w:rFonts w:ascii="Times New Roman" w:cs="Times New Roman" w:eastAsia="Times New Roman" w:hAnsi="Times New Roman"/>
          <w:sz w:val="18"/>
          <w:szCs w:val="18"/>
          <w:u w:val="single" w:color="auto"/>
          <w:color w:val="auto"/>
        </w:rPr>
        <w:t>  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Notice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Selection of Securities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Neither the Trustee nor the Paying Agent shall be liable for any selection made by it in accordance with this paragraph (including the procedures of the Depositary).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notice shall identify the Securities of the Series to be redeemed and shall state: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redemption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redemption price;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name and address of the Paying Agent;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ind w:left="1300"/>
        <w:spacing w:after="0"/>
        <w:rPr>
          <w:sz w:val="20"/>
          <w:szCs w:val="20"/>
          <w:color w:val="auto"/>
        </w:rPr>
      </w:pPr>
      <w:r>
        <w:rPr>
          <w:rFonts w:ascii="Times New Roman" w:cs="Times New Roman" w:eastAsia="Times New Roman" w:hAnsi="Times New Roman"/>
          <w:sz w:val="18"/>
          <w:szCs w:val="18"/>
          <w:color w:val="auto"/>
        </w:rPr>
        <w:t>(e)           that Securities of the Series called for redemption must be surrendered to the Paying Agent to collect the redemption price;</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(f)            that interest on Securities of the Series called for redemption ceases to accrue on and after the redemption date unless the Company defaults in the deposit of the redemption price;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“CUSIP” number, if any;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any other information as may be required by the terms of the particular Series or the Securities of a Series being redeemed.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 and the form of such notice.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3.6.          </w:t>
      </w:r>
      <w:r>
        <w:rPr>
          <w:rFonts w:ascii="Times New Roman" w:cs="Times New Roman" w:eastAsia="Times New Roman" w:hAnsi="Times New Roman"/>
          <w:sz w:val="18"/>
          <w:szCs w:val="18"/>
          <w:u w:val="single" w:color="auto"/>
          <w:color w:val="auto"/>
        </w:rPr>
        <w:t>  Securities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Payment of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SEC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u w:val="single" w:color="auto"/>
          <w:color w:val="auto"/>
        </w:rPr>
        <w:t>  Stay, Extension and Usury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When Company May Merge,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 unless: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the Company is the surviving entity or the successor person (if other than the Company) is a corporation, partnership, trust or other entity organized and validly existing under the laws of any U.S. domestic or United Kingdom jurisdiction or and expressly assumes by supplemental indenture the Company’s obligations on the Securities and under this Indenture;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immediately after giving effect to the transaction, no Default or Event of Default, shall have occurred and be continuing.</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Successor Corporation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right="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75" w:lineRule="exact"/>
        <w:rPr>
          <w:sz w:val="20"/>
          <w:szCs w:val="20"/>
          <w:color w:val="auto"/>
        </w:rPr>
      </w:pPr>
    </w:p>
    <w:p>
      <w:pPr>
        <w:jc w:val="both"/>
        <w:ind w:left="660" w:firstLine="648"/>
        <w:spacing w:after="0" w:line="276" w:lineRule="auto"/>
        <w:rPr>
          <w:sz w:val="20"/>
          <w:szCs w:val="20"/>
          <w:color w:val="auto"/>
        </w:rPr>
      </w:pPr>
      <w:r>
        <w:rPr>
          <w:rFonts w:ascii="Times New Roman" w:cs="Times New Roman" w:eastAsia="Times New Roman" w:hAnsi="Times New Roman"/>
          <w:sz w:val="18"/>
          <w:szCs w:val="18"/>
          <w:color w:val="auto"/>
        </w:rPr>
        <w:t>(a)           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such period);</w:t>
      </w:r>
    </w:p>
    <w:p>
      <w:pPr>
        <w:spacing w:after="0" w:line="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default in the payment of principal of any Security of that Series at its Maturity;</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(c)           default in the performance or breach of any covenant or warranty of the Company in this Indenture (other than defaults pursuant to paragraph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Company pursuant to or within the meaning of any Bankruptcy Law:</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commences a voluntary case,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consents to the entry of an order for relief against it in an involuntary case,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consents to the appointment of a Custodian of it or for all or substantially all of its property,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makes a general assignment for the benefit of its creditors,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generally is unable to pay its debts as the same become due;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 court of competent jurisdiction enters an order or decree under any Bankruptcy Law that: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is for relief against the Company in an involuntary case,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appoints a Custodian of the Company or for all or substantially all of its property,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orders the liquidation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days;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(f)            any other Event of Default provided with respect to Securities of that Series, which is specified in a Board Resolution, a supplemental indenture hereto or an Officer’s Certificate, in accordance with Section 2.2.18.</w:t>
      </w:r>
    </w:p>
    <w:p>
      <w:pPr>
        <w:spacing w:after="0" w:line="16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 or the United Kingdom Insolvency Act 1986.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Acceleration of Maturity;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w:t>
      </w:r>
    </w:p>
    <w:p>
      <w:pPr>
        <w:spacing w:after="0" w:line="5" w:lineRule="exact"/>
        <w:rPr>
          <w:sz w:val="20"/>
          <w:szCs w:val="20"/>
          <w:color w:val="auto"/>
        </w:rPr>
      </w:pPr>
    </w:p>
    <w:p>
      <w:pPr>
        <w:ind w:firstLine="8"/>
        <w:spacing w:after="0" w:line="260" w:lineRule="auto"/>
        <w:tabs>
          <w:tab w:leader="none" w:pos="25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occur, the principal amount (or specified amount) of and accrued and unpaid interest, if any, on all outstanding Securities shall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become and be immediately due and payable without any declaration or other act on the part of the Trustee or any Holder.</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Collection of Indebtedness and Suits for Enforcement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default is made in the payment of any interest on any Security when such interest becomes due and payable and such default continues for a period of 30 days,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ind w:left="1300"/>
        <w:spacing w:after="0"/>
        <w:rPr>
          <w:sz w:val="20"/>
          <w:szCs w:val="20"/>
          <w:color w:val="auto"/>
        </w:rPr>
      </w:pPr>
      <w:r>
        <w:rPr>
          <w:rFonts w:ascii="Times New Roman" w:cs="Times New Roman" w:eastAsia="Times New Roman" w:hAnsi="Times New Roman"/>
          <w:sz w:val="18"/>
          <w:szCs w:val="18"/>
          <w:color w:val="auto"/>
        </w:rPr>
        <w:t>(b)            default is made in the payment of principal of any Security at the Maturity thereof,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default is made in the deposit of any sinking fund payment, if any, when and as due by the terms of a Security,</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then, </w:t>
      </w:r>
      <w:r>
        <w:rPr>
          <w:rFonts w:ascii="Times New Roman" w:cs="Times New Roman" w:eastAsia="Times New Roman" w:hAnsi="Times New Roman"/>
          <w:sz w:val="18"/>
          <w:szCs w:val="18"/>
          <w:color w:val="auto"/>
        </w:rPr>
        <w:t>the Company will, upon demand of the Trustee, pay to it, for the benefit of the Holders of such Securities, the whole amount then due and payable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8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u w:val="single" w:color="auto"/>
          <w:color w:val="auto"/>
        </w:rPr>
        <w:t>  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to collect and receive any moneys or other property payable or deliverable on any such claims and to distribute the same,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u w:val="single" w:color="auto"/>
          <w:color w:val="auto"/>
        </w:rPr>
        <w:t>  Trustee May Enforce Claims Without Possession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6.6.          </w:t>
      </w:r>
      <w:r>
        <w:rPr>
          <w:rFonts w:ascii="Times New Roman" w:cs="Times New Roman" w:eastAsia="Times New Roman" w:hAnsi="Times New Roman"/>
          <w:sz w:val="18"/>
          <w:szCs w:val="18"/>
          <w:u w:val="single" w:color="auto"/>
          <w:color w:val="auto"/>
        </w:rPr>
        <w:t>  Application of Money Collected.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7.7; and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6.7.          </w:t>
      </w:r>
      <w:r>
        <w:rPr>
          <w:rFonts w:ascii="Times New Roman" w:cs="Times New Roman" w:eastAsia="Times New Roman" w:hAnsi="Times New Roman"/>
          <w:sz w:val="18"/>
          <w:szCs w:val="18"/>
          <w:u w:val="single" w:color="auto"/>
          <w:color w:val="auto"/>
        </w:rPr>
        <w:t>  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(a)            such Holder has previously given written notice to the Trustee of a continuing Event of Default with respect to the Securities of that Series;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(b)            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(c)            such Holder or Holders have offered to the Trustee indemnity or security satisfactory to the Trustee against the costs, expenses and liabilities which might be incurred by the Trustee in compliance with such request;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Trustee for 60 days after its receipt of such notice, request and offer of indemnity has failed to institute any such proceeding;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(e)            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6.8.          </w:t>
      </w:r>
      <w:r>
        <w:rPr>
          <w:rFonts w:ascii="Times New Roman" w:cs="Times New Roman" w:eastAsia="Times New Roman" w:hAnsi="Times New Roman"/>
          <w:sz w:val="18"/>
          <w:szCs w:val="18"/>
          <w:u w:val="single" w:color="auto"/>
          <w:color w:val="auto"/>
        </w:rPr>
        <w:t>  Unconditional Right of Holders to Receive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6.9.          </w:t>
      </w:r>
      <w:r>
        <w:rPr>
          <w:rFonts w:ascii="Times New Roman" w:cs="Times New Roman" w:eastAsia="Times New Roman" w:hAnsi="Times New Roman"/>
          <w:sz w:val="18"/>
          <w:szCs w:val="18"/>
          <w:u w:val="single" w:color="auto"/>
          <w:color w:val="auto"/>
        </w:rPr>
        <w:t>  Restoration of 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  Rights and Remedies Cumulative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ind w:left="660"/>
        <w:spacing w:after="0"/>
        <w:rPr>
          <w:sz w:val="20"/>
          <w:szCs w:val="20"/>
          <w:color w:val="auto"/>
        </w:rPr>
      </w:pPr>
      <w:r>
        <w:rPr>
          <w:rFonts w:ascii="Times New Roman" w:cs="Times New Roman" w:eastAsia="Times New Roman" w:hAnsi="Times New Roman"/>
          <w:sz w:val="18"/>
          <w:szCs w:val="18"/>
          <w:color w:val="auto"/>
        </w:rPr>
        <w:t>Section 6.11.        </w:t>
      </w:r>
      <w:r>
        <w:rPr>
          <w:rFonts w:ascii="Times New Roman" w:cs="Times New Roman" w:eastAsia="Times New Roman" w:hAnsi="Times New Roman"/>
          <w:sz w:val="18"/>
          <w:szCs w:val="18"/>
          <w:u w:val="single" w:color="auto"/>
          <w:color w:val="auto"/>
        </w:rPr>
        <w:t>  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6.12.        </w:t>
      </w:r>
      <w:r>
        <w:rPr>
          <w:rFonts w:ascii="Times New Roman" w:cs="Times New Roman" w:eastAsia="Times New Roman" w:hAnsi="Times New Roman"/>
          <w:sz w:val="18"/>
          <w:szCs w:val="18"/>
          <w:u w:val="single" w:color="auto"/>
          <w:color w:val="auto"/>
        </w:rPr>
        <w:t>  Control by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such direction shall not be in conflict with any rule of law or with this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Trustee may take any other action deemed proper by the Trustee which is not inconsistent with such direction,</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(d)            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6.13.        </w:t>
      </w:r>
      <w:r>
        <w:rPr>
          <w:rFonts w:ascii="Times New Roman" w:cs="Times New Roman" w:eastAsia="Times New Roman" w:hAnsi="Times New Roman"/>
          <w:sz w:val="18"/>
          <w:szCs w:val="18"/>
          <w:u w:val="single" w:color="auto"/>
          <w:color w:val="auto"/>
        </w:rPr>
        <w:t>  Waiver of Past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18"/>
          <w:szCs w:val="18"/>
          <w:color w:val="auto"/>
        </w:rPr>
        <w:t>Section 6.14.        </w:t>
      </w:r>
      <w:r>
        <w:rPr>
          <w:rFonts w:ascii="Times New Roman" w:cs="Times New Roman" w:eastAsia="Times New Roman" w:hAnsi="Times New Roman"/>
          <w:sz w:val="18"/>
          <w:szCs w:val="18"/>
          <w:u w:val="single" w:color="auto"/>
          <w:color w:val="auto"/>
        </w:rPr>
        <w:t>  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          </w:t>
      </w:r>
      <w:r>
        <w:rPr>
          <w:rFonts w:ascii="Times New Roman" w:cs="Times New Roman" w:eastAsia="Times New Roman" w:hAnsi="Times New Roman"/>
          <w:sz w:val="18"/>
          <w:szCs w:val="18"/>
          <w:u w:val="single" w:color="auto"/>
          <w:color w:val="auto"/>
        </w:rPr>
        <w:t>  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Except during the continuance of an Event of Default:</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            The Trustee need perform only those duties that are specifically set forth in this Indenture and no others, and no implied covenants or obligations will be read into this Indenture against the Trustee.</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83"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(c)            The Trustee may not be relieved from liability for its own negligent action, its own negligent failure to act or its own willful misconduct, except that: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This paragraph does not limit the effect of paragraph (b) of this Section.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            The Trustee shall not be liable for any error of judgment made in good faith by a Responsible Officer, unless it is proved that the Trustee was negligent in ascertaining the pertinent facts.</w:t>
      </w:r>
    </w:p>
    <w:p>
      <w:pPr>
        <w:spacing w:after="0" w:line="162"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Every provision of this Indenture that in any way relates to the Trustee is subject to paragraph (a), (b) and (c) of this Section.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            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            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The Paying Agent, the Notice Agent, the Registrar, any authenticating agent and the Trustee when acting in any other capacity hereunder shall be entitled to the protections and immunities as are set forth in this Article VII.</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            The rights, privileges, protections, immunities and benefits given to the Trustee, including its right to be indemnified, are extended to, and will be enforceable by, the Trustee in each of its capacities under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7.2.          </w:t>
      </w:r>
      <w:r>
        <w:rPr>
          <w:rFonts w:ascii="Times New Roman" w:cs="Times New Roman" w:eastAsia="Times New Roman" w:hAnsi="Times New Roman"/>
          <w:sz w:val="18"/>
          <w:szCs w:val="18"/>
          <w:u w:val="single" w:color="auto"/>
          <w:color w:val="auto"/>
        </w:rPr>
        <w:t>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8" w:name="page159"/>
    <w:bookmarkEnd w:id="158"/>
    <w:p>
      <w:pPr>
        <w:jc w:val="both"/>
        <w:ind w:left="660" w:right="20" w:firstLine="648"/>
        <w:spacing w:after="0" w:line="312" w:lineRule="auto"/>
        <w:rPr>
          <w:sz w:val="20"/>
          <w:szCs w:val="20"/>
          <w:color w:val="auto"/>
        </w:rPr>
      </w:pPr>
      <w:r>
        <w:rPr>
          <w:rFonts w:ascii="Times New Roman" w:cs="Times New Roman" w:eastAsia="Times New Roman" w:hAnsi="Times New Roman"/>
          <w:sz w:val="17"/>
          <w:szCs w:val="17"/>
          <w:color w:val="auto"/>
        </w:rPr>
        <w:t>(c)            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4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(d)            The Trustee shall not be liable for any action it takes or omits to take in good faith which it believes to be authorized or within its rights or powers.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(e)            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(f)            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(h)            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(j)            The permissive right of the Trustee to take the actions permitted by this Indenture shall not be construed as an obligation or duty to</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 so.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The Trustee will not be required to give any bond or surety in respect of the execution of this Indenture or otherwise.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7.3.          </w:t>
      </w:r>
      <w:r>
        <w:rPr>
          <w:rFonts w:ascii="Times New Roman" w:cs="Times New Roman" w:eastAsia="Times New Roman" w:hAnsi="Times New Roman"/>
          <w:sz w:val="18"/>
          <w:szCs w:val="18"/>
          <w:u w:val="single" w:color="auto"/>
          <w:color w:val="auto"/>
        </w:rPr>
        <w:t>  Individual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ind w:left="660"/>
        <w:spacing w:after="0"/>
        <w:rPr>
          <w:sz w:val="20"/>
          <w:szCs w:val="20"/>
          <w:color w:val="auto"/>
        </w:rPr>
      </w:pPr>
      <w:r>
        <w:rPr>
          <w:rFonts w:ascii="Times New Roman" w:cs="Times New Roman" w:eastAsia="Times New Roman" w:hAnsi="Times New Roman"/>
          <w:sz w:val="18"/>
          <w:szCs w:val="18"/>
          <w:color w:val="auto"/>
        </w:rPr>
        <w:t>Section 7.4.          </w:t>
      </w:r>
      <w:r>
        <w:rPr>
          <w:rFonts w:ascii="Times New Roman" w:cs="Times New Roman" w:eastAsia="Times New Roman" w:hAnsi="Times New Roman"/>
          <w:sz w:val="18"/>
          <w:szCs w:val="18"/>
          <w:u w:val="single" w:color="auto"/>
          <w:color w:val="auto"/>
        </w:rPr>
        <w:t>  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7.5.          </w:t>
      </w:r>
      <w:r>
        <w:rPr>
          <w:rFonts w:ascii="Times New Roman" w:cs="Times New Roman" w:eastAsia="Times New Roman" w:hAnsi="Times New Roman"/>
          <w:sz w:val="18"/>
          <w:szCs w:val="18"/>
          <w:u w:val="single" w:color="auto"/>
          <w:color w:val="auto"/>
        </w:rPr>
        <w:t>  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If a Default or Event of Default occurs and is continuing with respect to the Securities of any Series and if it is known to a Responsible Officer of the Trustee, the Trustee shall send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7.6.          </w:t>
      </w:r>
      <w:r>
        <w:rPr>
          <w:rFonts w:ascii="Times New Roman" w:cs="Times New Roman" w:eastAsia="Times New Roman" w:hAnsi="Times New Roman"/>
          <w:sz w:val="18"/>
          <w:szCs w:val="18"/>
          <w:u w:val="single" w:color="auto"/>
          <w:color w:val="auto"/>
        </w:rPr>
        <w:t>  Reports by Trustee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Within 60 days after each [ ] commencing [ ], [ ], the Trustee shall transmit by mail to all Holders, as their names and addresses appear on the register kept by the Registrar, a brief report dated as of such anniversary date, in accordance with, and to the extent required under, TIA § 313.</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mailing to 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7.7.          </w:t>
      </w:r>
      <w:r>
        <w:rPr>
          <w:rFonts w:ascii="Times New Roman" w:cs="Times New Roman" w:eastAsia="Times New Roman" w:hAnsi="Times New Roman"/>
          <w:sz w:val="18"/>
          <w:szCs w:val="18"/>
          <w:u w:val="single" w:color="auto"/>
          <w:color w:val="auto"/>
        </w:rPr>
        <w:t>  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7.8.          </w:t>
      </w:r>
      <w:r>
        <w:rPr>
          <w:rFonts w:ascii="Times New Roman" w:cs="Times New Roman" w:eastAsia="Times New Roman" w:hAnsi="Times New Roman"/>
          <w:sz w:val="18"/>
          <w:szCs w:val="18"/>
          <w:u w:val="single" w:color="auto"/>
          <w:color w:val="auto"/>
        </w:rPr>
        <w:t>  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Trustee fails to comply with Section 7.10;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the Trustee is adjudged a bankrupt or an insolvent or an order for relief is entered with respect to the Trustee under any Bankruptcy</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 Custodian or public officer takes charge of the Trustee or its property;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Trustee becomes incapable of acting.</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7.9.          </w:t>
      </w:r>
      <w:r>
        <w:rPr>
          <w:rFonts w:ascii="Times New Roman" w:cs="Times New Roman" w:eastAsia="Times New Roman" w:hAnsi="Times New Roman"/>
          <w:sz w:val="18"/>
          <w:szCs w:val="18"/>
          <w:u w:val="single" w:color="auto"/>
          <w:color w:val="auto"/>
        </w:rPr>
        <w:t>  Successor Trustee by Merger,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7.10.        </w:t>
      </w:r>
      <w:r>
        <w:rPr>
          <w:rFonts w:ascii="Times New Roman" w:cs="Times New Roman" w:eastAsia="Times New Roman" w:hAnsi="Times New Roman"/>
          <w:sz w:val="18"/>
          <w:szCs w:val="18"/>
          <w:u w:val="single" w:color="auto"/>
          <w:color w:val="auto"/>
        </w:rPr>
        <w:t>  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7.11.        </w:t>
      </w:r>
      <w:r>
        <w:rPr>
          <w:rFonts w:ascii="Times New Roman" w:cs="Times New Roman" w:eastAsia="Times New Roman" w:hAnsi="Times New Roman"/>
          <w:sz w:val="18"/>
          <w:szCs w:val="18"/>
          <w:u w:val="single" w:color="auto"/>
          <w:color w:val="auto"/>
        </w:rPr>
        <w:t>  Preferential Collection of Claims Against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Trustee is subject to TIA § 311(a), excluding any creditor relationship listed in TIA § 311(b). A Trustee who has resigned or been removed shall be subject to TIA § 311(a) to the extent indicated.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 DEFEASANCE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u w:val="single" w:color="auto"/>
          <w:color w:val="auto"/>
        </w:rPr>
        <w:t>  Satisfaction and 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either</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(i)            all Securities of such Series theretofore authenticated and delivered (other than Securities that have been destroyed, lost or stolen and that have been replaced or paid) have been delivered to the Trustee for cancellation; or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all such Securities of such Series not theretofore delivered to the Trustee for cancellation:</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            have become due and payable by reason of sending a notice of redemption or otherwise,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            will become due and payable at their Stated Maturity within one year,</w:t>
      </w:r>
    </w:p>
    <w:p>
      <w:pPr>
        <w:spacing w:after="0" w:line="225" w:lineRule="exact"/>
        <w:rPr>
          <w:sz w:val="20"/>
          <w:szCs w:val="20"/>
          <w:color w:val="auto"/>
        </w:rPr>
      </w:pPr>
    </w:p>
    <w:p>
      <w:pPr>
        <w:jc w:val="both"/>
        <w:ind w:left="1960" w:firstLine="648"/>
        <w:spacing w:after="0" w:line="266" w:lineRule="auto"/>
        <w:rPr>
          <w:sz w:val="20"/>
          <w:szCs w:val="20"/>
          <w:color w:val="auto"/>
        </w:rPr>
      </w:pPr>
      <w:r>
        <w:rPr>
          <w:rFonts w:ascii="Times New Roman" w:cs="Times New Roman" w:eastAsia="Times New Roman" w:hAnsi="Times New Roman"/>
          <w:sz w:val="18"/>
          <w:szCs w:val="18"/>
          <w:color w:val="auto"/>
        </w:rPr>
        <w:t>(3)            have been called for redemption or are to be called for redemption within one year under arrangements satisfactory to the Trustee for the giving of notice of redemption by the Trustee in the name, and at the expense, of the Company, or</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(4)            are deemed paid and discharged pursuant to Section 8.3, as applicable;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 Company, in the case of (1), (2) or (3) 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Company has paid or caused to be paid all other sums payable hereunder by the Company; and</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(c)            the Company has delivered to the Trustee an Officer’s Certificate and an Opinion of Counsel, each stating that all conditions precedent provided for relating to the satisfaction and discharge contemplated by this Section have been complied with.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ind w:left="1300"/>
        <w:spacing w:after="0"/>
        <w:rPr>
          <w:sz w:val="20"/>
          <w:szCs w:val="20"/>
          <w:color w:val="auto"/>
        </w:rPr>
      </w:pPr>
      <w:r>
        <w:rPr>
          <w:rFonts w:ascii="Times New Roman" w:cs="Times New Roman" w:eastAsia="Times New Roman" w:hAnsi="Times New Roman"/>
          <w:sz w:val="18"/>
          <w:szCs w:val="18"/>
          <w:color w:val="auto"/>
        </w:rPr>
        <w:t>Notwithstanding the satisfaction and discharge of this Indenture, (x) the obligations of the Company to the Trustee under Section 7.7,</w:t>
      </w:r>
    </w:p>
    <w:p>
      <w:pPr>
        <w:spacing w:after="0" w:line="27" w:lineRule="exact"/>
        <w:rPr>
          <w:sz w:val="20"/>
          <w:szCs w:val="20"/>
          <w:color w:val="auto"/>
        </w:rPr>
      </w:pPr>
    </w:p>
    <w:p>
      <w:pPr>
        <w:ind w:left="280" w:hanging="272"/>
        <w:spacing w:after="0"/>
        <w:tabs>
          <w:tab w:leader="none" w:pos="2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money shall have been deposited with the Trustee pursuant to clause (a) of this Section, the provisions of Sections 2.4, 2.7, 2.8, 8.2 and 8.5, and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and immunities of the Trustee hereunder and the Company’s obligations in connection therewith shall survive.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8.2.          </w:t>
      </w:r>
      <w:r>
        <w:rPr>
          <w:rFonts w:ascii="Times New Roman" w:cs="Times New Roman" w:eastAsia="Times New Roman" w:hAnsi="Times New Roman"/>
          <w:sz w:val="18"/>
          <w:szCs w:val="18"/>
          <w:u w:val="single" w:color="auto"/>
          <w:color w:val="auto"/>
        </w:rPr>
        <w:t>  Application of Trust Funds;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8.3.          </w:t>
      </w:r>
      <w:r>
        <w:rPr>
          <w:rFonts w:ascii="Times New Roman" w:cs="Times New Roman" w:eastAsia="Times New Roman" w:hAnsi="Times New Roman"/>
          <w:sz w:val="18"/>
          <w:szCs w:val="18"/>
          <w:u w:val="single" w:color="auto"/>
          <w:color w:val="auto"/>
        </w:rPr>
        <w:t>  Legal Defeasance of Securities of any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ind w:left="1300"/>
        <w:spacing w:after="0"/>
        <w:rPr>
          <w:sz w:val="20"/>
          <w:szCs w:val="20"/>
          <w:color w:val="auto"/>
        </w:rPr>
      </w:pPr>
      <w:r>
        <w:rPr>
          <w:rFonts w:ascii="Times New Roman" w:cs="Times New Roman" w:eastAsia="Times New Roman" w:hAnsi="Times New Roman"/>
          <w:sz w:val="18"/>
          <w:szCs w:val="18"/>
          <w:color w:val="auto"/>
        </w:rPr>
        <w:t>(b)            the provisions of Sections 2.4, 2.5, 2.7, 2.8, 7.7, 8.2, 8.3, 8.5 and 8.6;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rights, powers, trusts and immunities of the Trustee hereunder and the Company’s obligations in connection therewith;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following conditions shall have been satisfied:</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(d)            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88"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(e)            such deposit will not result in a breach or violation of, or constitute a default under, this Indenture or any other agreement or instrument to which the Company is a party or by which it is bound;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(f)            no Default or Event of Default with respect to the Securities of such Series shall have occurred and be continuing on the date of such deposit or during the period ending on the 91st day after such date;</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(h)           the Company shall have delivered to the Trustee an Officer’s Certificate stating that the deposit was not made by the Company with the intent of defeating, hindering, delaying or defrauding any other creditors of the Company; and</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the Company shall have delivered to the Trustee an Officer’s Certificate and an Opinion of Counsel, each stating that all conditions precedent provided for relating to the defeasance contemplated by this Section have been complied with.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8.4.          </w:t>
      </w:r>
      <w:r>
        <w:rPr>
          <w:rFonts w:ascii="Times New Roman" w:cs="Times New Roman" w:eastAsia="Times New Roman" w:hAnsi="Times New Roman"/>
          <w:sz w:val="18"/>
          <w:szCs w:val="18"/>
          <w:u w:val="single" w:color="auto"/>
          <w:color w:val="auto"/>
        </w:rPr>
        <w:t>  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9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w:t>
      </w:r>
    </w:p>
    <w:p>
      <w:pPr>
        <w:spacing w:after="0" w:line="194"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such deposit will not result in a breach or violation of, or constitute a default under, this Indenture or any other agreement or instrument to which the Company is a party or by which it is bound;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no Default or Event of Default with respect to the Securities of such Series shall have occurred and be continuing on the date of such deposit;</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(d)            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(e)            The Company shall have delivered to the Trustee an Officer’s Certificate stating the deposit was not made by the Company with the intent of defeating, hindering, delaying or defrauding any other creditors of the Company; and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(f)            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8.5.          </w:t>
      </w:r>
      <w:r>
        <w:rPr>
          <w:rFonts w:ascii="Times New Roman" w:cs="Times New Roman" w:eastAsia="Times New Roman" w:hAnsi="Times New Roman"/>
          <w:sz w:val="18"/>
          <w:szCs w:val="18"/>
          <w:u w:val="single" w:color="auto"/>
          <w:color w:val="auto"/>
        </w:rPr>
        <w:t>  Repayment to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8.6.          </w:t>
      </w:r>
      <w:r>
        <w:rPr>
          <w:rFonts w:ascii="Times New Roman" w:cs="Times New Roman" w:eastAsia="Times New Roman" w:hAnsi="Times New Roman"/>
          <w:sz w:val="18"/>
          <w:szCs w:val="18"/>
          <w:u w:val="single" w:color="auto"/>
          <w:color w:val="auto"/>
        </w:rPr>
        <w:t>  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 AND WAIVERS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          </w:t>
      </w:r>
      <w:r>
        <w:rPr>
          <w:rFonts w:ascii="Times New Roman" w:cs="Times New Roman" w:eastAsia="Times New Roman" w:hAnsi="Times New Roman"/>
          <w:sz w:val="18"/>
          <w:szCs w:val="18"/>
          <w:u w:val="single" w:color="auto"/>
          <w:color w:val="auto"/>
        </w:rPr>
        <w:t>  Without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Company and the Trustee may amend or supplement this Indenture or the Securities of one or more Series without the consent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to cure any ambiguity, defect or inconsistency;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ind w:left="1300"/>
        <w:spacing w:after="0"/>
        <w:rPr>
          <w:sz w:val="20"/>
          <w:szCs w:val="20"/>
          <w:color w:val="auto"/>
        </w:rPr>
      </w:pPr>
      <w:r>
        <w:rPr>
          <w:rFonts w:ascii="Times New Roman" w:cs="Times New Roman" w:eastAsia="Times New Roman" w:hAnsi="Times New Roman"/>
          <w:sz w:val="18"/>
          <w:szCs w:val="18"/>
          <w:color w:val="auto"/>
        </w:rPr>
        <w:t>(b)           to comply with Article V;</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to provide for uncertificated Securities in addition to or in place of certificated Securities;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to add guarantees with respect to Securities of any Series or secure Securities of any Series;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to surrender any of the Company’s rights or powers under this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to add covenants or events of default for the benefit of the holders of Securities of any Series;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to comply with the applicable procedures of the applicable depositary;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to make any change that does not adversely affect the rights of any Holder;</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to provide for the issuance of and establish the form and terms and conditions of Securities of any Series as permitted by this Indenture;</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to comply with requirements of the SEC in order to effect or maintain the qualification of this Indenture under the TIA.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9.2.          </w:t>
      </w:r>
      <w:r>
        <w:rPr>
          <w:rFonts w:ascii="Times New Roman" w:cs="Times New Roman" w:eastAsia="Times New Roman" w:hAnsi="Times New Roman"/>
          <w:sz w:val="18"/>
          <w:szCs w:val="18"/>
          <w:u w:val="single" w:color="auto"/>
          <w:color w:val="auto"/>
        </w:rPr>
        <w:t>  With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Subject to Section 9.3,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ind w:left="660"/>
        <w:spacing w:after="0"/>
        <w:rPr>
          <w:sz w:val="20"/>
          <w:szCs w:val="20"/>
          <w:color w:val="auto"/>
        </w:rPr>
      </w:pPr>
      <w:r>
        <w:rPr>
          <w:rFonts w:ascii="Times New Roman" w:cs="Times New Roman" w:eastAsia="Times New Roman" w:hAnsi="Times New Roman"/>
          <w:sz w:val="18"/>
          <w:szCs w:val="18"/>
          <w:color w:val="auto"/>
        </w:rPr>
        <w:t>Section 9.3.          </w:t>
      </w:r>
      <w:r>
        <w:rPr>
          <w:rFonts w:ascii="Times New Roman" w:cs="Times New Roman" w:eastAsia="Times New Roman" w:hAnsi="Times New Roman"/>
          <w:sz w:val="18"/>
          <w:szCs w:val="18"/>
          <w:u w:val="single" w:color="auto"/>
          <w:color w:val="auto"/>
        </w:rPr>
        <w:t>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Without the consent of each Holder affected, an amendment or waiver may not: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reduce the principal amount of Securities whose Holders must consent to an amendment, supplement or waiver;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reduce the rate of or extend the time for payment of interest (including default interest) on any Security;</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(c)            reduce the principal or change the Stated Maturity of any Security or reduce the amount of, or postpone the date fixed for, the payment of any sinking fund or analogous obligation;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reduce the principal amount of Discount Securities payable upon acceleration of the maturity thereof;</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make the principal of or interest, if any, on any Security payable in any currency other than that stated in the Security;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make any change in Sections 6.8, 6.13 or 9.3 (this sentence);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waive a redemption payment with respect to any Security, provided that such redemption is made at the Company’s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9.4.          </w:t>
      </w:r>
      <w:r>
        <w:rPr>
          <w:rFonts w:ascii="Times New Roman" w:cs="Times New Roman" w:eastAsia="Times New Roman" w:hAnsi="Times New Roman"/>
          <w:sz w:val="18"/>
          <w:szCs w:val="18"/>
          <w:u w:val="single" w:color="auto"/>
          <w:color w:val="auto"/>
        </w:rPr>
        <w:t>  Compliance with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Every amendment to this Indenture or the Securities of one or more Series shall be set forth in a supplemental indenture hereto that complies with the TIA as then in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9.5.          </w:t>
      </w:r>
      <w:r>
        <w:rPr>
          <w:rFonts w:ascii="Times New Roman" w:cs="Times New Roman" w:eastAsia="Times New Roman" w:hAnsi="Times New Roman"/>
          <w:sz w:val="18"/>
          <w:szCs w:val="18"/>
          <w:u w:val="single" w:color="auto"/>
          <w:color w:val="auto"/>
        </w:rPr>
        <w:t>  Revocation and Effect of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 amendment or waiver once effective shall bind every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9.6.          </w:t>
      </w:r>
      <w:r>
        <w:rPr>
          <w:rFonts w:ascii="Times New Roman" w:cs="Times New Roman" w:eastAsia="Times New Roman" w:hAnsi="Times New Roman"/>
          <w:sz w:val="18"/>
          <w:szCs w:val="18"/>
          <w:u w:val="single" w:color="auto"/>
          <w:color w:val="auto"/>
        </w:rPr>
        <w:t>  Notation on or Exchange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9.7.          </w:t>
      </w:r>
      <w:r>
        <w:rPr>
          <w:rFonts w:ascii="Times New Roman" w:cs="Times New Roman" w:eastAsia="Times New Roman" w:hAnsi="Times New Roman"/>
          <w:sz w:val="18"/>
          <w:szCs w:val="18"/>
          <w:u w:val="single" w:color="auto"/>
          <w:color w:val="auto"/>
        </w:rPr>
        <w:t>  Trustee Protected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permitted by this Article or the modifications thereby of the trusts created by this Indenture, the Trustee shall be entitled to receive, upon request, an Officer’s Certificate and/or an Opinion of Counsel complying with Sections 10.4 and 10.5 and (subject to Section 7.1) shall be fully protected in relying upon such Officer’s Certificate and/or Opinion of Counsel.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Trust Indenture Act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ind w:left="660"/>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email or overnight air courier guaranteeing next day delivery, to the others’ address: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London SE1 2RE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Mark W. Hahn, CFO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+(44) 203 283 4200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legal@veronapharma.com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Peter N. Handrinos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+1 617 948-6000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[____]</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[____]</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[____]</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a notice or communication is sent or published in the manner provided above, within the time prescribed, it is duly given, whether or not the Holder receives it.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ind w:left="1300"/>
        <w:spacing w:after="0"/>
        <w:rPr>
          <w:sz w:val="20"/>
          <w:szCs w:val="20"/>
          <w:color w:val="auto"/>
        </w:rPr>
      </w:pPr>
      <w:r>
        <w:rPr>
          <w:rFonts w:ascii="Times New Roman" w:cs="Times New Roman" w:eastAsia="Times New Roman" w:hAnsi="Times New Roman"/>
          <w:sz w:val="18"/>
          <w:szCs w:val="18"/>
          <w:color w:val="auto"/>
        </w:rPr>
        <w:t>If the Company sends a notice or communication to Holders, it shall send a copy to the Trustee and each Agent at the same time.</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Communication by Holders with Other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10.4.        </w:t>
      </w:r>
      <w:r>
        <w:rPr>
          <w:rFonts w:ascii="Times New Roman" w:cs="Times New Roman" w:eastAsia="Times New Roman" w:hAnsi="Times New Roman"/>
          <w:sz w:val="18"/>
          <w:szCs w:val="18"/>
          <w:u w:val="single" w:color="auto"/>
          <w:color w:val="auto"/>
        </w:rPr>
        <w:t>  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an Officer’s Certificate stating that, in the opinion of the signers, all conditions precedent, if any, provided for in this Indenture relating to the proposed action have been complied with;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 Opinion of Counsel stating that, in the opinion of such counsel, all such conditions precedent have been complied with.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10.5.        </w:t>
      </w:r>
      <w:r>
        <w:rPr>
          <w:rFonts w:ascii="Times New Roman" w:cs="Times New Roman" w:eastAsia="Times New Roman" w:hAnsi="Times New Roman"/>
          <w:sz w:val="18"/>
          <w:szCs w:val="18"/>
          <w:u w:val="single" w:color="auto"/>
          <w:color w:val="auto"/>
        </w:rPr>
        <w:t>  Statements Required in Certificate or Opinion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 statement that the person making such certificate or opinion has read such covenant or condition;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(b)            a brief statement as to the nature and scope of the examination or investigation upon which the statements or opinions contained in such certificate or opinion are based;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(c)            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 statement as to whether or not, in the opinion of such person, such condition or covenant has been complied with.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u w:val="single" w:color="auto"/>
          <w:color w:val="auto"/>
        </w:rPr>
        <w:t>  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 meeting of Holders of one or more Series. Any Agent may make reasonable rules and set reasonable requirements for its functions.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10.7.        </w:t>
      </w:r>
      <w:r>
        <w:rPr>
          <w:rFonts w:ascii="Times New Roman" w:cs="Times New Roman" w:eastAsia="Times New Roman" w:hAnsi="Times New Roman"/>
          <w:sz w:val="18"/>
          <w:szCs w:val="18"/>
          <w:u w:val="single" w:color="auto"/>
          <w:color w:val="auto"/>
        </w:rPr>
        <w:t>  Legal Holidays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a payment date for any payment made under this Indenture is not a Business Day, payment may be made on the next succeeding Business Day, and no interest shall accrue for the intervening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10.8.        </w:t>
      </w:r>
      <w:r>
        <w:rPr>
          <w:rFonts w:ascii="Times New Roman" w:cs="Times New Roman" w:eastAsia="Times New Roman" w:hAnsi="Times New Roman"/>
          <w:sz w:val="18"/>
          <w:szCs w:val="18"/>
          <w:u w:val="single" w:color="auto"/>
          <w:color w:val="auto"/>
        </w:rPr>
        <w:t>  No Recourse Against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10.9.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ind w:left="660"/>
        <w:spacing w:after="0"/>
        <w:rPr>
          <w:sz w:val="20"/>
          <w:szCs w:val="20"/>
          <w:color w:val="auto"/>
        </w:rPr>
      </w:pPr>
      <w:r>
        <w:rPr>
          <w:rFonts w:ascii="Times New Roman" w:cs="Times New Roman" w:eastAsia="Times New Roman" w:hAnsi="Times New Roman"/>
          <w:sz w:val="18"/>
          <w:szCs w:val="18"/>
          <w:color w:val="auto"/>
        </w:rPr>
        <w:t>Section 10.10.      </w:t>
      </w:r>
      <w:r>
        <w:rPr>
          <w:rFonts w:ascii="Times New Roman" w:cs="Times New Roman" w:eastAsia="Times New Roman" w:hAnsi="Times New Roman"/>
          <w:sz w:val="18"/>
          <w:szCs w:val="18"/>
          <w:u w:val="single" w:color="auto"/>
          <w:color w:val="auto"/>
        </w:rPr>
        <w:t>  Governing Law; Waiver of Jury Trial; Consent to Jurisdiction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THIS INDENTURE AND THE SECURITIES, INCLUDING ANY CLAIM OR CONTROVERSY ARISING OUT OF OR RELATING TO THE INDENTURE OR THE SECURITIES, SHALL BE GOVERNED BY THE LAWS OF THE STATE OF NEW YORK.</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10.11.      </w:t>
      </w:r>
      <w:r>
        <w:rPr>
          <w:rFonts w:ascii="Times New Roman" w:cs="Times New Roman" w:eastAsia="Times New Roman" w:hAnsi="Times New Roman"/>
          <w:sz w:val="18"/>
          <w:szCs w:val="18"/>
          <w:u w:val="single" w:color="auto"/>
          <w:color w:val="auto"/>
        </w:rPr>
        <w:t>  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 Subsidiary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10.12.      </w:t>
      </w:r>
      <w:r>
        <w:rPr>
          <w:rFonts w:ascii="Times New Roman" w:cs="Times New Roman" w:eastAsia="Times New Roman" w:hAnsi="Times New Roman"/>
          <w:sz w:val="18"/>
          <w:szCs w:val="18"/>
          <w:u w:val="single" w:color="auto"/>
          <w:color w:val="auto"/>
        </w:rPr>
        <w:t>  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Securities shall bind its successor. All agreements of the Trustee in this Indenture shall bind its successor.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10.13.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ind w:left="660"/>
        <w:spacing w:after="0"/>
        <w:rPr>
          <w:sz w:val="20"/>
          <w:szCs w:val="20"/>
          <w:color w:val="auto"/>
        </w:rPr>
      </w:pPr>
      <w:r>
        <w:rPr>
          <w:rFonts w:ascii="Times New Roman" w:cs="Times New Roman" w:eastAsia="Times New Roman" w:hAnsi="Times New Roman"/>
          <w:sz w:val="18"/>
          <w:szCs w:val="18"/>
          <w:color w:val="auto"/>
        </w:rPr>
        <w:t>Section 10.14.      </w:t>
      </w:r>
      <w:r>
        <w:rPr>
          <w:rFonts w:ascii="Times New Roman" w:cs="Times New Roman" w:eastAsia="Times New Roman" w:hAnsi="Times New Roman"/>
          <w:sz w:val="18"/>
          <w:szCs w:val="18"/>
          <w:u w:val="single" w:color="auto"/>
          <w:color w:val="auto"/>
        </w:rPr>
        <w:t>  Table of Contents, Headings,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Table of Contents, Cross Reference Table, headings of the Articles and Sections of this Indenture have been inserted for convenience of reference only, are not to be considered a part hereof and shall in no way modify or restrict any of the terms or provisions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10.15.      </w:t>
      </w:r>
      <w:r>
        <w:rPr>
          <w:rFonts w:ascii="Times New Roman" w:cs="Times New Roman" w:eastAsia="Times New Roman" w:hAnsi="Times New Roman"/>
          <w:sz w:val="18"/>
          <w:szCs w:val="18"/>
          <w:u w:val="single" w:color="auto"/>
          <w:color w:val="auto"/>
        </w:rPr>
        <w:t>  Securities in a Foreign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9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10.16.      </w:t>
      </w:r>
      <w:r>
        <w:rPr>
          <w:rFonts w:ascii="Times New Roman" w:cs="Times New Roman" w:eastAsia="Times New Roman" w:hAnsi="Times New Roman"/>
          <w:sz w:val="18"/>
          <w:szCs w:val="18"/>
          <w:u w:val="single" w:color="auto"/>
          <w:color w:val="auto"/>
        </w:rPr>
        <w:t>  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 into a currency in which a judgment will be rendered (the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 means any day except a Saturday, Sunday or a legal holiday in the City of New York on which banking institutions are authorized or required by law, regulation or executive order to close.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ind w:left="660"/>
        <w:spacing w:after="0"/>
        <w:rPr>
          <w:sz w:val="20"/>
          <w:szCs w:val="20"/>
          <w:color w:val="auto"/>
        </w:rPr>
      </w:pPr>
      <w:r>
        <w:rPr>
          <w:rFonts w:ascii="Times New Roman" w:cs="Times New Roman" w:eastAsia="Times New Roman" w:hAnsi="Times New Roman"/>
          <w:sz w:val="18"/>
          <w:szCs w:val="18"/>
          <w:color w:val="auto"/>
        </w:rPr>
        <w:t>Section 10.17.      </w:t>
      </w:r>
      <w:r>
        <w:rPr>
          <w:rFonts w:ascii="Times New Roman" w:cs="Times New Roman" w:eastAsia="Times New Roman" w:hAnsi="Times New Roman"/>
          <w:sz w:val="18"/>
          <w:szCs w:val="18"/>
          <w:u w:val="single" w:color="auto"/>
          <w:color w:val="auto"/>
        </w:rPr>
        <w:t>  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or other public health emergencies,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10.18.      </w:t>
      </w:r>
      <w:r>
        <w:rPr>
          <w:rFonts w:ascii="Times New Roman" w:cs="Times New Roman" w:eastAsia="Times New Roman" w:hAnsi="Times New Roman"/>
          <w:sz w:val="18"/>
          <w:szCs w:val="18"/>
          <w:u w:val="single" w:color="auto"/>
          <w:color w:val="auto"/>
        </w:rPr>
        <w:t>  U.S.A.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SINKING FUNDS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        </w:t>
      </w:r>
      <w:r>
        <w:rPr>
          <w:rFonts w:ascii="Times New Roman" w:cs="Times New Roman" w:eastAsia="Times New Roman" w:hAnsi="Times New Roman"/>
          <w:sz w:val="18"/>
          <w:szCs w:val="18"/>
          <w:u w:val="single" w:color="auto"/>
          <w:color w:val="auto"/>
        </w:rPr>
        <w:t>  Applicability of Article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the Securities of any Series is herein referred to as a “</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 and any other amount provided for by the terms of Securities of such Series is herein referred to as an “</w:t>
      </w:r>
      <w:r>
        <w:rPr>
          <w:rFonts w:ascii="Times New Roman" w:cs="Times New Roman" w:eastAsia="Times New Roman" w:hAnsi="Times New Roman"/>
          <w:sz w:val="18"/>
          <w:szCs w:val="18"/>
          <w:i w:val="1"/>
          <w:iCs w:val="1"/>
          <w:color w:val="auto"/>
        </w:rPr>
        <w:t>optional sinking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 reduction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in Section 11.2. Each sinking fund payment shall be applied to the redemption of Securities of any Series as provided for by the terms of the Securities of such Series.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ind w:left="660"/>
        <w:spacing w:after="0"/>
        <w:rPr>
          <w:sz w:val="20"/>
          <w:szCs w:val="20"/>
          <w:color w:val="auto"/>
        </w:rPr>
      </w:pPr>
      <w:r>
        <w:rPr>
          <w:rFonts w:ascii="Times New Roman" w:cs="Times New Roman" w:eastAsia="Times New Roman" w:hAnsi="Times New Roman"/>
          <w:sz w:val="18"/>
          <w:szCs w:val="18"/>
          <w:color w:val="auto"/>
        </w:rPr>
        <w:t>Section 11.2.        </w:t>
      </w:r>
      <w:r>
        <w:rPr>
          <w:rFonts w:ascii="Times New Roman" w:cs="Times New Roman" w:eastAsia="Times New Roman" w:hAnsi="Times New Roman"/>
          <w:sz w:val="18"/>
          <w:szCs w:val="18"/>
          <w:u w:val="single" w:color="auto"/>
          <w:color w:val="auto"/>
        </w:rPr>
        <w:t>  Satisfaction of Sinking Fund Payments with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11.3.        </w:t>
      </w:r>
      <w:r>
        <w:rPr>
          <w:rFonts w:ascii="Times New Roman" w:cs="Times New Roman" w:eastAsia="Times New Roman" w:hAnsi="Times New Roman"/>
          <w:sz w:val="18"/>
          <w:szCs w:val="18"/>
          <w:u w:val="single" w:color="auto"/>
          <w:color w:val="auto"/>
        </w:rPr>
        <w:t>  Redemption of Securities for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center"/>
        <w:ind w:right="-179"/>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as of the day and year first above written.</w:t>
      </w: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Its:</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 as Trustee</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60"/>
          </w:cols>
          <w:pgMar w:left="1440" w:top="904" w:right="59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99 Bishopsgate</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London EC2M 3XF</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Tel: +44(0)20.7710.1000 Fax: +44(0)20.7374.4460</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www.lw.com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5880" w:type="dxa"/>
            <w:vAlign w:val="bottom"/>
            <w:gridSpan w:val="2"/>
          </w:tcPr>
          <w:p>
            <w:pPr>
              <w:ind w:left="2920"/>
              <w:spacing w:after="0"/>
              <w:rPr>
                <w:sz w:val="20"/>
                <w:szCs w:val="20"/>
                <w:color w:val="auto"/>
              </w:rPr>
            </w:pPr>
            <w:r>
              <w:rPr>
                <w:rFonts w:ascii="Times New Roman" w:cs="Times New Roman" w:eastAsia="Times New Roman" w:hAnsi="Times New Roman"/>
                <w:sz w:val="18"/>
                <w:szCs w:val="18"/>
                <w:color w:val="auto"/>
              </w:rPr>
              <w:t>FIRM / AFFILIATE OFFICES</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42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Austin</w:t>
            </w:r>
          </w:p>
        </w:tc>
        <w:tc>
          <w:tcPr>
            <w:tcW w:w="1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Milan</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42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Beijing</w:t>
            </w:r>
          </w:p>
        </w:tc>
        <w:tc>
          <w:tcPr>
            <w:tcW w:w="1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Munich</w:t>
            </w:r>
          </w:p>
        </w:tc>
        <w:tc>
          <w:tcPr>
            <w:tcW w:w="0" w:type="dxa"/>
            <w:vAlign w:val="bottom"/>
          </w:tcPr>
          <w:p>
            <w:pPr>
              <w:spacing w:after="0"/>
              <w:rPr>
                <w:sz w:val="1"/>
                <w:szCs w:val="1"/>
                <w:color w:val="auto"/>
              </w:rPr>
            </w:pPr>
          </w:p>
        </w:tc>
      </w:tr>
      <w:tr>
        <w:trPr>
          <w:trHeight w:val="216"/>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March 7, 2023</w:t>
            </w:r>
          </w:p>
        </w:tc>
        <w:tc>
          <w:tcPr>
            <w:tcW w:w="42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Boston</w:t>
            </w:r>
          </w:p>
        </w:tc>
        <w:tc>
          <w:tcPr>
            <w:tcW w:w="1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16"/>
        </w:trPr>
        <w:tc>
          <w:tcPr>
            <w:tcW w:w="4400" w:type="dxa"/>
            <w:vAlign w:val="bottom"/>
            <w:vMerge w:val="continue"/>
          </w:tcPr>
          <w:p>
            <w:pPr>
              <w:spacing w:after="0"/>
              <w:rPr>
                <w:sz w:val="18"/>
                <w:szCs w:val="18"/>
                <w:color w:val="auto"/>
              </w:rPr>
            </w:pPr>
          </w:p>
        </w:tc>
        <w:tc>
          <w:tcPr>
            <w:tcW w:w="42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Brussels</w:t>
            </w:r>
          </w:p>
        </w:tc>
        <w:tc>
          <w:tcPr>
            <w:tcW w:w="1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Orange County</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42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Century City</w:t>
            </w:r>
          </w:p>
        </w:tc>
        <w:tc>
          <w:tcPr>
            <w:tcW w:w="1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Paris</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42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Chicago</w:t>
            </w:r>
          </w:p>
        </w:tc>
        <w:tc>
          <w:tcPr>
            <w:tcW w:w="1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Riyadh*</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42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Dubai</w:t>
            </w:r>
          </w:p>
        </w:tc>
        <w:tc>
          <w:tcPr>
            <w:tcW w:w="1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San Diego</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42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Düsseldorf</w:t>
            </w:r>
          </w:p>
        </w:tc>
        <w:tc>
          <w:tcPr>
            <w:tcW w:w="1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San Francisco</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42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Frankfurt</w:t>
            </w:r>
          </w:p>
        </w:tc>
        <w:tc>
          <w:tcPr>
            <w:tcW w:w="1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Seoul</w:t>
            </w:r>
          </w:p>
        </w:tc>
        <w:tc>
          <w:tcPr>
            <w:tcW w:w="0" w:type="dxa"/>
            <w:vAlign w:val="bottom"/>
          </w:tcPr>
          <w:p>
            <w:pPr>
              <w:spacing w:after="0"/>
              <w:rPr>
                <w:sz w:val="1"/>
                <w:szCs w:val="1"/>
                <w:color w:val="auto"/>
              </w:rPr>
            </w:pPr>
          </w:p>
        </w:tc>
      </w:tr>
      <w:tr>
        <w:trPr>
          <w:trHeight w:val="216"/>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42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Hamburg</w:t>
            </w:r>
          </w:p>
        </w:tc>
        <w:tc>
          <w:tcPr>
            <w:tcW w:w="1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Shanghai</w:t>
            </w:r>
          </w:p>
        </w:tc>
        <w:tc>
          <w:tcPr>
            <w:tcW w:w="0" w:type="dxa"/>
            <w:vAlign w:val="bottom"/>
          </w:tcPr>
          <w:p>
            <w:pPr>
              <w:spacing w:after="0"/>
              <w:rPr>
                <w:sz w:val="1"/>
                <w:szCs w:val="1"/>
                <w:color w:val="auto"/>
              </w:rPr>
            </w:pPr>
          </w:p>
        </w:tc>
      </w:tr>
      <w:tr>
        <w:trPr>
          <w:trHeight w:val="180"/>
        </w:trPr>
        <w:tc>
          <w:tcPr>
            <w:tcW w:w="4400" w:type="dxa"/>
            <w:vAlign w:val="bottom"/>
            <w:vMerge w:val="continue"/>
          </w:tcPr>
          <w:p>
            <w:pPr>
              <w:spacing w:after="0"/>
              <w:rPr>
                <w:sz w:val="15"/>
                <w:szCs w:val="15"/>
                <w:color w:val="auto"/>
              </w:rPr>
            </w:pPr>
          </w:p>
        </w:tc>
        <w:tc>
          <w:tcPr>
            <w:tcW w:w="4220" w:type="dxa"/>
            <w:vAlign w:val="bottom"/>
          </w:tcPr>
          <w:p>
            <w:pPr>
              <w:ind w:left="2920"/>
              <w:spacing w:after="0" w:line="181" w:lineRule="exact"/>
              <w:rPr>
                <w:sz w:val="20"/>
                <w:szCs w:val="20"/>
                <w:color w:val="auto"/>
              </w:rPr>
            </w:pPr>
            <w:r>
              <w:rPr>
                <w:rFonts w:ascii="Times New Roman" w:cs="Times New Roman" w:eastAsia="Times New Roman" w:hAnsi="Times New Roman"/>
                <w:sz w:val="18"/>
                <w:szCs w:val="18"/>
                <w:color w:val="auto"/>
              </w:rPr>
              <w:t>Hong Kong</w:t>
            </w:r>
          </w:p>
        </w:tc>
        <w:tc>
          <w:tcPr>
            <w:tcW w:w="1660" w:type="dxa"/>
            <w:vAlign w:val="bottom"/>
          </w:tcPr>
          <w:p>
            <w:pPr>
              <w:ind w:left="380"/>
              <w:spacing w:after="0" w:line="181" w:lineRule="exact"/>
              <w:rPr>
                <w:sz w:val="20"/>
                <w:szCs w:val="20"/>
                <w:color w:val="auto"/>
              </w:rPr>
            </w:pPr>
            <w:r>
              <w:rPr>
                <w:rFonts w:ascii="Times New Roman" w:cs="Times New Roman" w:eastAsia="Times New Roman" w:hAnsi="Times New Roman"/>
                <w:sz w:val="18"/>
                <w:szCs w:val="18"/>
                <w:color w:val="auto"/>
              </w:rPr>
              <w:t>Silicon Valley</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One Central Square</w:t>
            </w:r>
          </w:p>
        </w:tc>
        <w:tc>
          <w:tcPr>
            <w:tcW w:w="42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Houston</w:t>
            </w:r>
          </w:p>
        </w:tc>
        <w:tc>
          <w:tcPr>
            <w:tcW w:w="1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Cardiff</w:t>
            </w:r>
          </w:p>
        </w:tc>
        <w:tc>
          <w:tcPr>
            <w:tcW w:w="42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London</w:t>
            </w:r>
          </w:p>
        </w:tc>
        <w:tc>
          <w:tcPr>
            <w:tcW w:w="1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Tel Aviv</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CF10 1FS</w:t>
            </w:r>
          </w:p>
        </w:tc>
        <w:tc>
          <w:tcPr>
            <w:tcW w:w="42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Los Angeles</w:t>
            </w:r>
          </w:p>
        </w:tc>
        <w:tc>
          <w:tcPr>
            <w:tcW w:w="1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Tokyo</w:t>
            </w:r>
          </w:p>
        </w:tc>
        <w:tc>
          <w:tcPr>
            <w:tcW w:w="0" w:type="dxa"/>
            <w:vAlign w:val="bottom"/>
          </w:tcPr>
          <w:p>
            <w:pPr>
              <w:spacing w:after="0"/>
              <w:rPr>
                <w:sz w:val="1"/>
                <w:szCs w:val="1"/>
                <w:color w:val="auto"/>
              </w:rPr>
            </w:pPr>
          </w:p>
        </w:tc>
      </w:tr>
      <w:tr>
        <w:trPr>
          <w:trHeight w:val="27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2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Madrid</w:t>
            </w:r>
          </w:p>
        </w:tc>
        <w:tc>
          <w:tcPr>
            <w:tcW w:w="1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Washington, D.C.</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Verona Pharma plc – Registration Statement on Form S-3 Exhibit 5.2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acted as English legal advisers to Verona Pharma plc, a public limited company incorporated in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and filing of a registration statement on Form S-3 (such registration statement, including the documents incorporated by reference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on March 7,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Registration Statement has been filed in connection with (i) the registration for issuance, offering, sale and delivery from time to time of ordinary shares in the capital of the Company with a nominal value of £0.05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including Ordinary Shares in the form of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New Ordinary Shares</w:t>
      </w:r>
      <w:r>
        <w:rPr>
          <w:rFonts w:ascii="Times New Roman" w:cs="Times New Roman" w:eastAsia="Times New Roman" w:hAnsi="Times New Roman"/>
          <w:sz w:val="18"/>
          <w:szCs w:val="18"/>
          <w:color w:val="auto"/>
        </w:rPr>
        <w:t>”) and certain other securities and (ii) the registration of the issuance, offering, sale by the Company of up to a maximum aggregate offering price of $200,000,000 of the Ordinary Shares, in the form of ADSs, that may be issued and sold under a sales agreement with Jefferies LLC (the “</w:t>
      </w:r>
      <w:r>
        <w:rPr>
          <w:rFonts w:ascii="Times New Roman" w:cs="Times New Roman" w:eastAsia="Times New Roman" w:hAnsi="Times New Roman"/>
          <w:sz w:val="18"/>
          <w:szCs w:val="18"/>
          <w:b w:val="1"/>
          <w:bCs w:val="1"/>
          <w:color w:val="auto"/>
        </w:rPr>
        <w:t>Sales Ordinary Shares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40" w:hanging="632"/>
        <w:spacing w:after="0"/>
        <w:tabs>
          <w:tab w:leader="none" w:pos="6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18"/>
          <w:szCs w:val="18"/>
          <w:color w:val="auto"/>
        </w:rPr>
        <w:t>In connection with the Registration Statement, we have been asked to provide an opinion on certain matters, as set out below. We have taken instruction in this regard solely from the Company.</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color w:val="auto"/>
        </w:rPr>
        <w:t>Defined terms and headings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this letter:</w:t>
      </w:r>
    </w:p>
    <w:p>
      <w:pPr>
        <w:spacing w:after="0" w:line="225" w:lineRule="exact"/>
        <w:rPr>
          <w:sz w:val="20"/>
          <w:szCs w:val="20"/>
          <w:color w:val="auto"/>
        </w:rPr>
      </w:pPr>
    </w:p>
    <w:p>
      <w:pPr>
        <w:ind w:left="1280" w:hanging="638"/>
        <w:spacing w:after="0" w:line="282" w:lineRule="auto"/>
        <w:tabs>
          <w:tab w:leader="none" w:pos="1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without definition in this letter or the schedules hereto have the meanings assigned to them in the Registration Statement unless a contrary indication appears; and</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ease of reference only and shall not affect interpretation.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managers authorised by the SRA. We are affiliated with the firm Latham &amp; Watkins LLP, a limited liability partnership organised under the laws of Delaware.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cooperation with the Law Firm of Salman M. Al-Sudairi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9" w:name="page180"/>
    <w:bookmarkEnd w:id="179"/>
    <w:p>
      <w:pPr>
        <w:spacing w:after="0"/>
        <w:tabs>
          <w:tab w:leader="none" w:pos="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17015" cy="1200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1517015" cy="120015"/>
                    </a:xfrm>
                    <a:prstGeom prst="rect">
                      <a:avLst/>
                    </a:prstGeom>
                    <a:noFill/>
                  </pic:spPr>
                </pic:pic>
              </a:graphicData>
            </a:graphic>
          </wp:anchor>
        </w:drawing>
        <w:t>1.3</w:t>
      </w:r>
      <w:r>
        <w:rPr>
          <w:sz w:val="20"/>
          <w:szCs w:val="20"/>
          <w:color w:val="auto"/>
        </w:rPr>
        <w:tab/>
      </w:r>
      <w:r>
        <w:rPr>
          <w:rFonts w:ascii="Times New Roman" w:cs="Times New Roman" w:eastAsia="Times New Roman" w:hAnsi="Times New Roman"/>
          <w:sz w:val="17"/>
          <w:szCs w:val="17"/>
          <w:b w:val="1"/>
          <w:bCs w:val="1"/>
          <w:color w:val="auto"/>
        </w:rPr>
        <w:t>Legal review</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purpose of issuing this letter we have reviewed only the following documents and conducted only the following enquiries and searches:</w:t>
      </w:r>
    </w:p>
    <w:p>
      <w:pPr>
        <w:spacing w:after="0" w:line="225" w:lineRule="exact"/>
        <w:rPr>
          <w:sz w:val="20"/>
          <w:szCs w:val="20"/>
          <w:color w:val="auto"/>
        </w:rPr>
      </w:pPr>
    </w:p>
    <w:p>
      <w:pPr>
        <w:ind w:left="1280" w:hanging="638"/>
        <w:spacing w:after="0"/>
        <w:tabs>
          <w:tab w:leader="none" w:pos="1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search at Companies House in respect of the Company conducted on 20 December 2022;</w:t>
      </w:r>
    </w:p>
    <w:p>
      <w:pPr>
        <w:spacing w:after="0" w:line="22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enquiry at the Central Registry of Winding Up Petitions, London on 20 December 2022 at 10:06 a.m. (London time) with respect to the Company ((a) and (b) together,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80" w:hanging="638"/>
        <w:spacing w:after="0" w:line="286" w:lineRule="auto"/>
        <w:tabs>
          <w:tab w:leader="none" w:pos="1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written resolutions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dated 19 December 2022 approving,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alia</w:t>
      </w:r>
      <w:r>
        <w:rPr>
          <w:rFonts w:ascii="Times New Roman" w:cs="Times New Roman" w:eastAsia="Times New Roman" w:hAnsi="Times New Roman"/>
          <w:sz w:val="18"/>
          <w:szCs w:val="18"/>
          <w:color w:val="auto"/>
        </w:rPr>
        <w:t>, the preparation and filing of the Registration Statement,</w:t>
      </w:r>
    </w:p>
    <w:p>
      <w:pPr>
        <w:spacing w:after="0" w:line="154" w:lineRule="exact"/>
        <w:rPr>
          <w:rFonts w:ascii="Times New Roman" w:cs="Times New Roman" w:eastAsia="Times New Roman" w:hAnsi="Times New Roman"/>
          <w:sz w:val="18"/>
          <w:szCs w:val="18"/>
          <w:color w:val="auto"/>
        </w:rPr>
      </w:pPr>
    </w:p>
    <w:p>
      <w:pPr>
        <w:ind w:left="1280" w:hanging="638"/>
        <w:spacing w:after="0" w:line="286" w:lineRule="auto"/>
        <w:tabs>
          <w:tab w:leader="none" w:pos="1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minutes of the annual general meeting of the Company held on 27 April 2022 (the “</w:t>
      </w:r>
      <w:r>
        <w:rPr>
          <w:rFonts w:ascii="Times New Roman" w:cs="Times New Roman" w:eastAsia="Times New Roman" w:hAnsi="Times New Roman"/>
          <w:sz w:val="18"/>
          <w:szCs w:val="18"/>
          <w:b w:val="1"/>
          <w:bCs w:val="1"/>
          <w:color w:val="auto"/>
        </w:rPr>
        <w:t>Annual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Minutes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1280" w:hanging="638"/>
        <w:spacing w:after="0" w:line="286" w:lineRule="auto"/>
        <w:tabs>
          <w:tab w:leader="none" w:pos="1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New York governed sales agreement between the Company and Jefferies LLC dated 19 March 2021 (“</w:t>
      </w:r>
      <w:r>
        <w:rPr>
          <w:rFonts w:ascii="Times New Roman" w:cs="Times New Roman" w:eastAsia="Times New Roman" w:hAnsi="Times New Roman"/>
          <w:sz w:val="18"/>
          <w:szCs w:val="18"/>
          <w:b w:val="1"/>
          <w:bCs w:val="1"/>
          <w:color w:val="auto"/>
        </w:rPr>
        <w:t>Original 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amended by the Amendment Agreement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280" w:right="20" w:hanging="638"/>
        <w:spacing w:after="0" w:line="282" w:lineRule="auto"/>
        <w:tabs>
          <w:tab w:leader="none" w:pos="1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New York governed amendment agreement between the Company and Jefferies LLC dated 7 March 2023 amending the terms of the Original Sales Agreement (“</w:t>
      </w:r>
      <w:r>
        <w:rPr>
          <w:rFonts w:ascii="Times New Roman" w:cs="Times New Roman" w:eastAsia="Times New Roman" w:hAnsi="Times New Roman"/>
          <w:sz w:val="18"/>
          <w:szCs w:val="18"/>
          <w:b w:val="1"/>
          <w:bCs w:val="1"/>
          <w:color w:val="auto"/>
        </w:rPr>
        <w:t>Amendment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of the Company dated 24 February 2005;</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on change of name of the Company dated 18 September 2006;</w:t>
      </w:r>
    </w:p>
    <w:p>
      <w:pPr>
        <w:spacing w:after="0" w:line="22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current articles of association of the Company adopted pursuant to a special resolution of shareholders passed at the general meeting held on 18 December 2020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copy of the Registration Statement as at 20 December 2022 and to be filed with the SEC on March 7, 2023.</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color w:val="auto"/>
        </w:rPr>
        <w:t>Applicable law</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This letter, the opinions given in it, and any non-contractual obligations arising out of or in connection with this letter and/or the opinions given in it, are governed by, and shall be construed in accordance with English law, and relate only to English law, as applied by the English courts as at today’s date. In particular:</w:t>
      </w:r>
    </w:p>
    <w:p>
      <w:pPr>
        <w:spacing w:after="0" w:line="176" w:lineRule="exact"/>
        <w:rPr>
          <w:sz w:val="20"/>
          <w:szCs w:val="20"/>
          <w:color w:val="auto"/>
        </w:rPr>
      </w:pPr>
    </w:p>
    <w:p>
      <w:pPr>
        <w:ind w:left="1280" w:hanging="638"/>
        <w:spacing w:after="0" w:line="282" w:lineRule="auto"/>
        <w:tabs>
          <w:tab w:leader="none" w:pos="12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investigated the laws of any country other than England and we assume that no foreign law (including, for the avoidance of doubt, European Union law on and after 1 January 2021) affects any of the opinions stated below; and</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in this letter on the laws of any jurisdiction other than England.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0" w:name="page181"/>
    <w:bookmarkEnd w:id="180"/>
    <w:p>
      <w:pPr>
        <w:spacing w:after="0"/>
        <w:tabs>
          <w:tab w:leader="none" w:pos="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17015" cy="1200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1517015" cy="120015"/>
                    </a:xfrm>
                    <a:prstGeom prst="rect">
                      <a:avLst/>
                    </a:prstGeom>
                    <a:noFill/>
                  </pic:spPr>
                </pic:pic>
              </a:graphicData>
            </a:graphic>
          </wp:anchor>
        </w:drawing>
        <w:t>1.5</w:t>
      </w:r>
      <w:r>
        <w:rPr>
          <w:sz w:val="20"/>
          <w:szCs w:val="20"/>
          <w:color w:val="auto"/>
        </w:rPr>
        <w:tab/>
      </w:r>
      <w:r>
        <w:rPr>
          <w:rFonts w:ascii="Times New Roman" w:cs="Times New Roman" w:eastAsia="Times New Roman" w:hAnsi="Times New Roman"/>
          <w:sz w:val="17"/>
          <w:szCs w:val="17"/>
          <w:b w:val="1"/>
          <w:bCs w:val="1"/>
          <w:color w:val="auto"/>
        </w:rPr>
        <w:t>Assumptions and reservations</w:t>
      </w:r>
    </w:p>
    <w:p>
      <w:pPr>
        <w:spacing w:after="0" w:line="227" w:lineRule="exact"/>
        <w:rPr>
          <w:sz w:val="20"/>
          <w:szCs w:val="20"/>
          <w:color w:val="auto"/>
        </w:rPr>
      </w:pPr>
    </w:p>
    <w:p>
      <w:pPr>
        <w:jc w:val="both"/>
        <w:ind w:left="640"/>
        <w:spacing w:after="0" w:line="267" w:lineRule="auto"/>
        <w:rPr>
          <w:sz w:val="20"/>
          <w:szCs w:val="20"/>
          <w:color w:val="auto"/>
        </w:rPr>
      </w:pPr>
      <w:r>
        <w:rPr>
          <w:rFonts w:ascii="Times New Roman" w:cs="Times New Roman" w:eastAsia="Times New Roman" w:hAnsi="Times New Roman"/>
          <w:sz w:val="18"/>
          <w:szCs w:val="18"/>
          <w:color w:val="auto"/>
        </w:rPr>
        <w:t>The opinions given in this letter are given on the basis of each of the assumptions set out in Schedule 1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and are subject to each of the reservations set out in Schedule 2 (</w:t>
      </w:r>
      <w:r>
        <w:rPr>
          <w:rFonts w:ascii="Times New Roman" w:cs="Times New Roman" w:eastAsia="Times New Roman" w:hAnsi="Times New Roman"/>
          <w:sz w:val="18"/>
          <w:szCs w:val="18"/>
          <w:i w:val="1"/>
          <w:iCs w:val="1"/>
          <w:color w:val="auto"/>
        </w:rPr>
        <w:t>Reservations</w:t>
      </w:r>
      <w:r>
        <w:rPr>
          <w:rFonts w:ascii="Times New Roman" w:cs="Times New Roman" w:eastAsia="Times New Roman" w:hAnsi="Times New Roman"/>
          <w:sz w:val="18"/>
          <w:szCs w:val="18"/>
          <w:color w:val="auto"/>
        </w:rPr>
        <w:t>) to this letter. The opinions given in this letter are strictly limited to the matters stated in paragraph 2 (</w:t>
      </w:r>
      <w:r>
        <w:rPr>
          <w:rFonts w:ascii="Times New Roman" w:cs="Times New Roman" w:eastAsia="Times New Roman" w:hAnsi="Times New Roman"/>
          <w:sz w:val="18"/>
          <w:szCs w:val="18"/>
          <w:i w:val="1"/>
          <w:iCs w:val="1"/>
          <w:color w:val="auto"/>
        </w:rPr>
        <w:t>Opinions</w:t>
      </w:r>
      <w:r>
        <w:rPr>
          <w:rFonts w:ascii="Times New Roman" w:cs="Times New Roman" w:eastAsia="Times New Roman" w:hAnsi="Times New Roman"/>
          <w:sz w:val="18"/>
          <w:szCs w:val="18"/>
          <w:color w:val="auto"/>
        </w:rPr>
        <w:t>) below and do not extend, and should not be read as extending, by implication or otherwise, to any other matters.</w:t>
      </w:r>
    </w:p>
    <w:p>
      <w:pPr>
        <w:spacing w:after="0" w:line="171" w:lineRule="exact"/>
        <w:rPr>
          <w:sz w:val="20"/>
          <w:szCs w:val="20"/>
          <w:color w:val="auto"/>
        </w:rPr>
      </w:pPr>
    </w:p>
    <w:p>
      <w:pPr>
        <w:ind w:left="640" w:hanging="632"/>
        <w:spacing w:after="0"/>
        <w:tabs>
          <w:tab w:leader="none" w:pos="6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22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paragraph 1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and the other matters set out in this letter and its Schedules, and subject further to the following:</w:t>
      </w:r>
    </w:p>
    <w:p>
      <w:pPr>
        <w:spacing w:after="0" w:line="227"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finally amended, having become effective under the Securities Act;</w:t>
      </w:r>
    </w:p>
    <w:p>
      <w:pPr>
        <w:spacing w:after="0" w:line="225" w:lineRule="exact"/>
        <w:rPr>
          <w:rFonts w:ascii="Times New Roman" w:cs="Times New Roman" w:eastAsia="Times New Roman" w:hAnsi="Times New Roman"/>
          <w:sz w:val="18"/>
          <w:szCs w:val="18"/>
          <w:color w:val="auto"/>
        </w:rPr>
      </w:pPr>
    </w:p>
    <w:p>
      <w:pPr>
        <w:jc w:val="both"/>
        <w:ind w:left="1280" w:hanging="638"/>
        <w:spacing w:after="0" w:line="261" w:lineRule="auto"/>
        <w:tabs>
          <w:tab w:leader="none" w:pos="12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at the time of any allotment and issue of New Ordinary Shares and/or Sales Ordinary Shares (as applicable) being duly authorised pursuant to the articles of association of the Company in force at the time of such allotment and issue, the Companies Act and any relevant authority given by the members of the Company to allot such New Ordinary Shares and any rights of pre-emption under such articles of association or the Companies Act in respect of such allotment having been validly disapplied;</w:t>
      </w:r>
    </w:p>
    <w:p>
      <w:pPr>
        <w:spacing w:after="0" w:line="179"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duly authorised committee thereof) having validly resolved to allot the New Ordinary Shares and/or Sales Ordinary Shares (as applicable);</w:t>
      </w:r>
    </w:p>
    <w:p>
      <w:pPr>
        <w:spacing w:after="0" w:line="161"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in full of payment for the New Ordinary Shares and/or Sales Ordinary Shares (as applicable) in an amount of “cash consideration” (as defined in section 583(3) of the Companies Act) of not less than the aggregate nominal value for the New Ordinary Shares and/or Sales Ordinary Shares (as applicable);</w:t>
      </w:r>
    </w:p>
    <w:p>
      <w:pPr>
        <w:spacing w:after="0" w:line="17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Sales Ordinary Shares only, the Sales Agreement and Amendment Agreement having become unconditional in all respects; and</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entries having been made in relation to the allotment and issue of the New Ordinary Shares and/or Sales Ordinary Shares (as applicable) in the books and registers of the Company,</w:t>
      </w:r>
    </w:p>
    <w:p>
      <w:pPr>
        <w:spacing w:after="0" w:line="16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it is our opinion that the New Ordinary Shares and/or Sales Ordinary Shares (as applicable), if and when issued and delivered in accordance with the terms of the Registration Statement and as described therein, will be duly and validly authorised and issued, fully paid or credited as fully paid (subject to the receipt of valid consideration by the Company for the issue thereof) and will not be subject to any call for payment of further capital.</w:t>
      </w:r>
    </w:p>
    <w:p>
      <w:pPr>
        <w:spacing w:after="0" w:line="176" w:lineRule="exact"/>
        <w:rPr>
          <w:sz w:val="20"/>
          <w:szCs w:val="20"/>
          <w:color w:val="auto"/>
        </w:rPr>
      </w:pPr>
    </w:p>
    <w:p>
      <w:pPr>
        <w:ind w:left="640" w:hanging="632"/>
        <w:spacing w:after="0"/>
        <w:tabs>
          <w:tab w:leader="none" w:pos="6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EXTENT OF OPINIONS</w:t>
      </w:r>
    </w:p>
    <w:p>
      <w:pPr>
        <w:spacing w:after="0" w:line="229" w:lineRule="exact"/>
        <w:rPr>
          <w:rFonts w:ascii="Times New Roman" w:cs="Times New Roman" w:eastAsia="Times New Roman" w:hAnsi="Times New Roman"/>
          <w:sz w:val="18"/>
          <w:szCs w:val="18"/>
          <w:b w:val="1"/>
          <w:bCs w:val="1"/>
          <w:color w:val="auto"/>
        </w:rPr>
      </w:pPr>
    </w:p>
    <w:p>
      <w:pPr>
        <w:ind w:lef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express no opinion as to any agreement, instrument or other document other than as specified in this letter or as to any liability to tax which may arise or be suffered as a result of or in connection with the transactions contemplated by the Registration Statement.</w:t>
      </w:r>
    </w:p>
    <w:p>
      <w:pPr>
        <w:spacing w:after="0" w:line="161" w:lineRule="exact"/>
        <w:rPr>
          <w:rFonts w:ascii="Times New Roman" w:cs="Times New Roman" w:eastAsia="Times New Roman" w:hAnsi="Times New Roman"/>
          <w:sz w:val="18"/>
          <w:szCs w:val="18"/>
          <w:b w:val="1"/>
          <w:bCs w:val="1"/>
          <w:color w:val="auto"/>
        </w:rPr>
      </w:pPr>
    </w:p>
    <w:p>
      <w:pPr>
        <w:jc w:val="both"/>
        <w:ind w:left="6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7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 AND DISCLOSURE</w:t>
      </w:r>
    </w:p>
    <w:p>
      <w:pPr>
        <w:spacing w:after="0" w:line="229" w:lineRule="exact"/>
        <w:rPr>
          <w:rFonts w:ascii="Times New Roman" w:cs="Times New Roman" w:eastAsia="Times New Roman" w:hAnsi="Times New Roman"/>
          <w:sz w:val="18"/>
          <w:szCs w:val="18"/>
          <w:b w:val="1"/>
          <w:bCs w:val="1"/>
          <w:color w:val="auto"/>
        </w:rPr>
      </w:pPr>
    </w:p>
    <w:p>
      <w:pPr>
        <w:jc w:val="both"/>
        <w:ind w:left="6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76"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LATHAM &amp; WATKINS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has been given on the basis of the following assumptions:</w:t>
      </w:r>
    </w:p>
    <w:p>
      <w:pPr>
        <w:spacing w:after="0" w:line="225" w:lineRule="exact"/>
        <w:rPr>
          <w:sz w:val="20"/>
          <w:szCs w:val="20"/>
          <w:color w:val="auto"/>
        </w:rPr>
      </w:pPr>
    </w:p>
    <w:p>
      <w:pPr>
        <w:ind w:left="1280" w:hanging="638"/>
        <w:spacing w:after="0" w:line="282" w:lineRule="auto"/>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case of a document signed electronically, the person signing it intended to sign and be bound by the document;</w:t>
      </w:r>
    </w:p>
    <w:p>
      <w:pPr>
        <w:spacing w:after="0" w:line="225" w:lineRule="exact"/>
        <w:rPr>
          <w:rFonts w:ascii="Times New Roman" w:cs="Times New Roman" w:eastAsia="Times New Roman" w:hAnsi="Times New Roman"/>
          <w:sz w:val="18"/>
          <w:szCs w:val="18"/>
          <w:color w:val="auto"/>
        </w:rPr>
      </w:pPr>
    </w:p>
    <w:p>
      <w:pPr>
        <w:ind w:left="1280" w:right="20" w:hanging="638"/>
        <w:spacing w:after="0" w:line="282" w:lineRule="auto"/>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examined by us in draft or specimen form, it will be or has been duly executed in the form of that draft or specimen;</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filing of the Registration Statement with the SEC has been authorised by all necessary actions under all applicable laws other than English law;</w:t>
      </w:r>
    </w:p>
    <w:p>
      <w:pPr>
        <w:spacing w:after="0" w:line="161"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articles of association of the Company referred to in paragraph 1.3(i) of this letter remain in full force and effect, and no alteration had been made to such articles of association, in each case, prior to the date on which the Shares are allotted, issued or rights are granted to subscribe for Shares (each such date being an “</w:t>
      </w:r>
      <w:r>
        <w:rPr>
          <w:rFonts w:ascii="Times New Roman" w:cs="Times New Roman" w:eastAsia="Times New Roman" w:hAnsi="Times New Roman"/>
          <w:sz w:val="18"/>
          <w:szCs w:val="18"/>
          <w:b w:val="1"/>
          <w:bCs w:val="1"/>
          <w:color w:val="auto"/>
        </w:rPr>
        <w:t>Allotment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complete prospectus supplement will have been prepared and filed with the SEC describing the New Ordinary Shares and/or Sales Ordinary Shares (as applicable) offered before each Allotment Date;</w:t>
      </w:r>
    </w:p>
    <w:p>
      <w:pPr>
        <w:spacing w:after="0" w:line="161"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forms and notices which should have been delivered to Companies House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p>
      <w:pPr>
        <w:spacing w:after="0" w:line="17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Sales Agreement, Amendment Agreement (and the other documents referred to therein) remains accurate and complete and has not been amended, terminated or otherwise discharged as at the date of this letter;</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persons executing the Original Sales Agreement and Amendment Agreement on behalf of the relevant parties thereto executed an identical final version of such document, in each case in the form reviewed by us;</w:t>
      </w:r>
    </w:p>
    <w:p>
      <w:pPr>
        <w:spacing w:after="0" w:line="161"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fraud or mutual mistake of fact or law or any other arrangements, agreements, understandings or course of conduct or prior or subsequent dealings, amending, rescinding or modifying or suspending any of the terms of the Sales Agreement or which would result in the inclusion of additional terms therein, and that the parties have acted in accordance with the terms of the Sales Agreement;</w:t>
      </w:r>
    </w:p>
    <w:p>
      <w:pPr>
        <w:spacing w:after="0" w:line="175" w:lineRule="exact"/>
        <w:rPr>
          <w:rFonts w:ascii="Times New Roman" w:cs="Times New Roman" w:eastAsia="Times New Roman" w:hAnsi="Times New Roman"/>
          <w:sz w:val="18"/>
          <w:szCs w:val="18"/>
          <w:color w:val="auto"/>
        </w:rPr>
      </w:pPr>
    </w:p>
    <w:p>
      <w:pPr>
        <w:jc w:val="both"/>
        <w:ind w:left="1280" w:hanging="638"/>
        <w:spacing w:after="0" w:line="261" w:lineRule="auto"/>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Sales Agreement and all obligations thereunder have been entered into and the ADSs have been offered in good faith and on bona fide commercial terms and on arms' length terms and for the purpose of carrying on the business of the Company and that there are reasonable grounds for believing that the entry into of the Sales Agreement and Amendment Agreement and the offering of the ADSs will promote the success of the Company for the benefit of its members as a whole;</w:t>
      </w:r>
    </w:p>
    <w:p>
      <w:pPr>
        <w:spacing w:after="0" w:line="179"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requirements and conditions precedent for the Sale Agreement to be entered into have been satisfied</w:t>
      </w:r>
    </w:p>
    <w:p>
      <w:pPr>
        <w:spacing w:after="0" w:line="225" w:lineRule="exact"/>
        <w:rPr>
          <w:rFonts w:ascii="Times New Roman" w:cs="Times New Roman" w:eastAsia="Times New Roman" w:hAnsi="Times New Roman"/>
          <w:sz w:val="18"/>
          <w:szCs w:val="18"/>
          <w:color w:val="auto"/>
        </w:rPr>
      </w:pPr>
    </w:p>
    <w:p>
      <w:pPr>
        <w:jc w:val="both"/>
        <w:ind w:left="1280" w:hanging="638"/>
        <w:spacing w:after="0" w:line="261" w:lineRule="auto"/>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resolutions described in the written resolutions of the board of directors of the Company provided to us in connection with the giving of this opinion or otherwise contemplated in connection with the matters referred to herein were/or will be duly passed as written resolutions of the board of directors of the Company, all constitutional, statutory and other formalities were and such resolutions have not been and/or will not be revoked or varied and remain in full force and effect and will remain so at each Allotment Date</w:t>
      </w:r>
    </w:p>
    <w:p>
      <w:pPr>
        <w:spacing w:after="0" w:line="179" w:lineRule="exact"/>
        <w:rPr>
          <w:rFonts w:ascii="Times New Roman" w:cs="Times New Roman" w:eastAsia="Times New Roman" w:hAnsi="Times New Roman"/>
          <w:sz w:val="18"/>
          <w:szCs w:val="18"/>
          <w:color w:val="auto"/>
        </w:rPr>
      </w:pPr>
    </w:p>
    <w:p>
      <w:pPr>
        <w:jc w:val="both"/>
        <w:ind w:left="1280" w:hanging="638"/>
        <w:spacing w:after="0" w:line="261" w:lineRule="auto"/>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proceedings and resolutions described in the Annual General Meeting Minutes were duly conducted as so described and that the meeting referred to therein was duly constituted and convened and all constitutional, statutory and other formalities were duly observed, a quorum was present throughout, the requisite majority of shareholders voted in favour of approving the resolutions and the resolutions passed thereat were duly adopted, have not been revoked or varied and remain in full force and effect;</w:t>
      </w:r>
    </w:p>
    <w:p>
      <w:pPr>
        <w:spacing w:after="0" w:line="179" w:lineRule="exact"/>
        <w:rPr>
          <w:rFonts w:ascii="Times New Roman" w:cs="Times New Roman" w:eastAsia="Times New Roman" w:hAnsi="Times New Roman"/>
          <w:sz w:val="18"/>
          <w:szCs w:val="18"/>
          <w:color w:val="auto"/>
        </w:rPr>
      </w:pPr>
    </w:p>
    <w:p>
      <w:pPr>
        <w:jc w:val="both"/>
        <w:ind w:left="1280" w:hanging="638"/>
        <w:spacing w:after="0" w:line="254" w:lineRule="auto"/>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at each Allotment Date, the authority granted pursuant to the resolutions in the Annual General Meeting Minutes, will remain unutilised to the extent necessary to permit such allotment and issue of New Ordinary Shares and/or Sales Ordinary Shares (as applicable), or if at any Allotment Date, the authority granted pursuant to the resolutions in the Annual General Meeting Minutes has expired, the Company in general meeting duly and validly having resolved (i) as an ordinary resolution to authorise the board of directors of the Company pursuant to section 551 of the Companies Act to allot such New Ordinary Shares and/or Sales Ordinary Shares (as applicable), and (ii) as may be required, as a special resolution to empower the directors of the Company pursuant to section 570 or section 571 (as applicable) of the Companies Act to allot such New Ordinary Shares and/or Sales Ordinary Shares (as applicable), free of the restrictions in section 561 of the Companies Act, and such resolutions and authorities remaining in full force and effect and not having expired, been rescinded or amended;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906" w:gutter="0" w:footer="0" w:header="0"/>
        </w:sectPr>
      </w:pPr>
    </w:p>
    <w:bookmarkStart w:id="182" w:name="page183"/>
    <w:bookmarkEnd w:id="182"/>
    <w:p>
      <w:pPr>
        <w:jc w:val="both"/>
        <w:ind w:left="638" w:hanging="638"/>
        <w:spacing w:after="0" w:line="261" w:lineRule="auto"/>
        <w:tabs>
          <w:tab w:leader="none" w:pos="63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subsequent general meeting referred to in (k) above will be validly constituted, convened and conducted in accordance with the articles of association, that all constitutional, statutory and other formalities will be observed at the general meeting in connection with the passing of the resolutions and no such resolution will have been revoked or varied prior to each Allotment Date and will remain in full force and effect at each Allotment Date;</w:t>
      </w:r>
    </w:p>
    <w:p>
      <w:pPr>
        <w:spacing w:after="0" w:line="179" w:lineRule="exact"/>
        <w:rPr>
          <w:rFonts w:ascii="Times New Roman" w:cs="Times New Roman" w:eastAsia="Times New Roman" w:hAnsi="Times New Roman"/>
          <w:sz w:val="18"/>
          <w:szCs w:val="18"/>
          <w:color w:val="auto"/>
        </w:rPr>
      </w:pPr>
    </w:p>
    <w:p>
      <w:pPr>
        <w:jc w:val="both"/>
        <w:ind w:left="638" w:hanging="638"/>
        <w:spacing w:after="0" w:line="258" w:lineRule="auto"/>
        <w:tabs>
          <w:tab w:leader="none" w:pos="63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each allotment and issue of any New Ordinary Shares and/or Sales Ordinary Shares (as applicable), the Company shall have received “cash consideration” (as such term is defined in section 583(3) of the Companies Act) in full, equal to the subscription price payable for such New Ordinary Shares and/or Sales Ordinary Shares (as applicable) and shall have entered the holder or holders thereof in the register of members of the Company showing that all such New Ordinary Shares and/or Sales Ordinary Shares (as applicable) shall have been fully paid up as to their nominal value and any premium thereon as at each Allotment Date;</w:t>
      </w:r>
    </w:p>
    <w:p>
      <w:pPr>
        <w:spacing w:after="0" w:line="183" w:lineRule="exact"/>
        <w:rPr>
          <w:rFonts w:ascii="Times New Roman" w:cs="Times New Roman" w:eastAsia="Times New Roman" w:hAnsi="Times New Roman"/>
          <w:sz w:val="18"/>
          <w:szCs w:val="18"/>
          <w:color w:val="auto"/>
        </w:rPr>
      </w:pPr>
    </w:p>
    <w:p>
      <w:pPr>
        <w:jc w:val="both"/>
        <w:ind w:left="638" w:hanging="638"/>
        <w:spacing w:after="0" w:line="256" w:lineRule="auto"/>
        <w:tabs>
          <w:tab w:leader="none" w:pos="63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immediately prior to allotment, the directors of the Company had or shall have sufficient authority and powers conferred upon them to allot and issue such New Ordinary Shares and/or Sales Ordinary Shares (as applicable) under section 551 of the Companies Act and under section 570 or section 571 (as applicable) of the Companies Act as if section 561 of the Companies Act did not apply to such allotment and issue, and the directors of the Company shall not allot or issue (or purport to allot or issue) New Ordinary Shares and/or Sales Ordinary Shares (as applicable) in excess of such powers or in breach of any other limitation on their power to allot and issue New Ordinary Shares and/or Sales Ordinary Shares (as applicable);</w:t>
      </w:r>
    </w:p>
    <w:p>
      <w:pPr>
        <w:spacing w:after="0" w:line="187" w:lineRule="exact"/>
        <w:rPr>
          <w:rFonts w:ascii="Times New Roman" w:cs="Times New Roman" w:eastAsia="Times New Roman" w:hAnsi="Times New Roman"/>
          <w:sz w:val="18"/>
          <w:szCs w:val="18"/>
          <w:color w:val="auto"/>
        </w:rPr>
      </w:pPr>
    </w:p>
    <w:p>
      <w:pPr>
        <w:ind w:left="638" w:hanging="638"/>
        <w:spacing w:after="0" w:line="282" w:lineRule="auto"/>
        <w:tabs>
          <w:tab w:leader="none" w:pos="63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New Ordinary Shares and/or Sales Ordinary Shares (as applicable) shall be allotted or issued, or are or shall be committed to be allotted or issued, at a discount to their nominal value (whether in pounds sterling or equivalent in any other currency);</w:t>
      </w:r>
    </w:p>
    <w:p>
      <w:pPr>
        <w:spacing w:after="0" w:line="161" w:lineRule="exact"/>
        <w:rPr>
          <w:rFonts w:ascii="Times New Roman" w:cs="Times New Roman" w:eastAsia="Times New Roman" w:hAnsi="Times New Roman"/>
          <w:sz w:val="18"/>
          <w:szCs w:val="18"/>
          <w:color w:val="auto"/>
        </w:rPr>
      </w:pPr>
    </w:p>
    <w:p>
      <w:pPr>
        <w:jc w:val="both"/>
        <w:ind w:left="638" w:hanging="638"/>
        <w:spacing w:after="0" w:line="261" w:lineRule="auto"/>
        <w:tabs>
          <w:tab w:leader="none" w:pos="63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allotment and issue of New Ordinary Shares and/or Sales Ordinary Shares (as applicable) will be duly made in accordance with both the articles of association (as may be amended), the Companies Act and the applicable law, rules and regulations in force at the time of such allotment and issue, including without limitation, the rules of any stock exchange on which the Company’s securities may be traded;</w:t>
      </w:r>
    </w:p>
    <w:p>
      <w:pPr>
        <w:spacing w:after="0" w:line="179" w:lineRule="exact"/>
        <w:rPr>
          <w:rFonts w:ascii="Times New Roman" w:cs="Times New Roman" w:eastAsia="Times New Roman" w:hAnsi="Times New Roman"/>
          <w:sz w:val="18"/>
          <w:szCs w:val="18"/>
          <w:color w:val="auto"/>
        </w:rPr>
      </w:pPr>
    </w:p>
    <w:p>
      <w:pPr>
        <w:ind w:left="638" w:right="20" w:hanging="638"/>
        <w:spacing w:after="0" w:line="282" w:lineRule="auto"/>
        <w:tabs>
          <w:tab w:leader="none" w:pos="63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is, at each Allotment Date, no matter affecting the authority of the directors to issue and allot the New Ordinary Shares and/or Sales Ordinary Shares (as applicable) which would have any adverse implications in relation to the opinion given above;</w:t>
      </w:r>
    </w:p>
    <w:p>
      <w:pPr>
        <w:spacing w:after="0" w:line="161" w:lineRule="exact"/>
        <w:rPr>
          <w:rFonts w:ascii="Times New Roman" w:cs="Times New Roman" w:eastAsia="Times New Roman" w:hAnsi="Times New Roman"/>
          <w:sz w:val="18"/>
          <w:szCs w:val="18"/>
          <w:color w:val="auto"/>
        </w:rPr>
      </w:pPr>
    </w:p>
    <w:p>
      <w:pPr>
        <w:jc w:val="both"/>
        <w:ind w:left="638" w:hanging="638"/>
        <w:spacing w:after="0" w:line="256" w:lineRule="auto"/>
        <w:tabs>
          <w:tab w:leader="none" w:pos="63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New Ordinary Shares and/or Sales Ordinary Shares (as applicable) or rights to subscribe for New Ordinary Shares and/or Sales Ordinary Shares (as applicable) have been or shall be offered to the public in the United Kingdom in breach of the Financial Services and Markets Act 2000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or of any other United Kingdom laws or regulations concerning offers of securities to the public, and no communication has been or shall be made in relation to the New Ordinary Shares and/or Sales Ordinary Shares (as applicable) in breach of section 21 of the FSMA or any other United Kingdom laws or regulations relating to offers or invitations to subscribe for, or to acquire rights to subscribe for or otherwise acquire, New Ordinary Shares and/or Sales Ordinary Shares (as applicable) or other securities;</w:t>
      </w:r>
    </w:p>
    <w:p>
      <w:pPr>
        <w:spacing w:after="0" w:line="200" w:lineRule="exact"/>
        <w:rPr>
          <w:sz w:val="20"/>
          <w:szCs w:val="20"/>
          <w:color w:val="auto"/>
        </w:rPr>
      </w:pPr>
    </w:p>
    <w:p>
      <w:pPr>
        <w:spacing w:after="0" w:line="203" w:lineRule="exact"/>
        <w:rPr>
          <w:sz w:val="20"/>
          <w:szCs w:val="20"/>
          <w:color w:val="auto"/>
        </w:rPr>
      </w:pPr>
    </w:p>
    <w:p>
      <w:pPr>
        <w:ind w:left="4938"/>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17145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98"/>
          </w:cols>
          <w:pgMar w:left="962" w:top="904" w:right="339" w:bottom="1440" w:gutter="0" w:footer="0" w:header="0"/>
        </w:sectPr>
      </w:pPr>
    </w:p>
    <w:bookmarkStart w:id="183" w:name="page184"/>
    <w:bookmarkEnd w:id="183"/>
    <w:p>
      <w:pPr>
        <w:ind w:left="638" w:hanging="638"/>
        <w:spacing w:after="0" w:line="282" w:lineRule="auto"/>
        <w:tabs>
          <w:tab w:leader="none" w:pos="63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issuing and allotting New Ordinary Shares and/or Sales Ordinary Shares (as applicable), the Company is not carrying on a regulated activity for the purposes of section 19 of FSMA;</w:t>
      </w:r>
    </w:p>
    <w:p>
      <w:pPr>
        <w:spacing w:after="0" w:line="161" w:lineRule="exact"/>
        <w:rPr>
          <w:rFonts w:ascii="Times New Roman" w:cs="Times New Roman" w:eastAsia="Times New Roman" w:hAnsi="Times New Roman"/>
          <w:sz w:val="18"/>
          <w:szCs w:val="18"/>
          <w:color w:val="auto"/>
        </w:rPr>
      </w:pPr>
    </w:p>
    <w:p>
      <w:pPr>
        <w:jc w:val="both"/>
        <w:ind w:left="638" w:hanging="638"/>
        <w:spacing w:after="0" w:line="266" w:lineRule="auto"/>
        <w:tabs>
          <w:tab w:leader="none" w:pos="63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complied and will comply with all applicable anti-terrorism, anti-money laundering, sanctions and human rights laws and regulations and that each allotment and issue of New Ordinary Shares and/or Sales Ordinary Shares (as applicable) will be consistent with all such laws and regulations;</w:t>
      </w:r>
    </w:p>
    <w:p>
      <w:pPr>
        <w:spacing w:after="0" w:line="175" w:lineRule="exact"/>
        <w:rPr>
          <w:rFonts w:ascii="Times New Roman" w:cs="Times New Roman" w:eastAsia="Times New Roman" w:hAnsi="Times New Roman"/>
          <w:sz w:val="18"/>
          <w:szCs w:val="18"/>
          <w:color w:val="auto"/>
        </w:rPr>
      </w:pPr>
    </w:p>
    <w:p>
      <w:pPr>
        <w:jc w:val="both"/>
        <w:ind w:left="638" w:hanging="638"/>
        <w:spacing w:after="0" w:line="261" w:lineRule="auto"/>
        <w:tabs>
          <w:tab w:leader="none" w:pos="63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New Ordinary Shares and/or Sales Ordinary Shares (as applicable) will be allotted and issued in good faith and on bona fide commercial terms and on arms’ length terms and for the purpose of carrying on the business of the Company and that there will be reasonable grounds for believing that the allotment and issue of the New Ordinary Shares and/or Sales Ordinary Shares (as applicable) will promote the success of the Company for the benefit of its members as a whole;</w:t>
      </w:r>
    </w:p>
    <w:p>
      <w:pPr>
        <w:spacing w:after="0" w:line="179" w:lineRule="exact"/>
        <w:rPr>
          <w:rFonts w:ascii="Times New Roman" w:cs="Times New Roman" w:eastAsia="Times New Roman" w:hAnsi="Times New Roman"/>
          <w:sz w:val="18"/>
          <w:szCs w:val="18"/>
          <w:color w:val="auto"/>
        </w:rPr>
      </w:pPr>
    </w:p>
    <w:p>
      <w:pPr>
        <w:jc w:val="both"/>
        <w:ind w:left="638" w:hanging="638"/>
        <w:spacing w:after="0" w:line="266" w:lineRule="auto"/>
        <w:tabs>
          <w:tab w:leader="none" w:pos="63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has not and shall not be any bad faith, breach of duty, breach of trust, fraud, coercion, duress or undue influence on the part of any of the directors of the Company in relation to any allotment and issue of New Ordinary Shares and/or Sales Ordinary Shares (as applicable); and</w:t>
      </w:r>
    </w:p>
    <w:p>
      <w:pPr>
        <w:spacing w:after="0" w:line="176" w:lineRule="exact"/>
        <w:rPr>
          <w:sz w:val="20"/>
          <w:szCs w:val="20"/>
          <w:color w:val="auto"/>
        </w:rPr>
      </w:pPr>
    </w:p>
    <w:p>
      <w:pPr>
        <w:ind w:left="638" w:hanging="638"/>
        <w:spacing w:after="0" w:line="282" w:lineRule="auto"/>
        <w:tabs>
          <w:tab w:leader="none" w:pos="63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not taken any corporate or other action nor have any steps been taken or legal proceedings been started against the Company for:</w:t>
      </w:r>
    </w:p>
    <w:p>
      <w:pPr>
        <w:spacing w:after="0" w:line="161" w:lineRule="exact"/>
        <w:rPr>
          <w:rFonts w:ascii="Times New Roman" w:cs="Times New Roman" w:eastAsia="Times New Roman" w:hAnsi="Times New Roman"/>
          <w:sz w:val="18"/>
          <w:szCs w:val="18"/>
          <w:color w:val="auto"/>
        </w:rPr>
      </w:pPr>
    </w:p>
    <w:p>
      <w:pPr>
        <w:ind w:left="1278" w:hanging="643"/>
        <w:spacing w:after="0" w:line="282" w:lineRule="auto"/>
        <w:tabs>
          <w:tab w:leader="none" w:pos="127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administration, winding up, dissolution, reorganisation , or bankruptcy or similar procedures in other relevant jurisdictions, of; or</w:t>
      </w:r>
    </w:p>
    <w:p>
      <w:pPr>
        <w:spacing w:after="0" w:line="161" w:lineRule="exact"/>
        <w:rPr>
          <w:rFonts w:ascii="Times New Roman" w:cs="Times New Roman" w:eastAsia="Times New Roman" w:hAnsi="Times New Roman"/>
          <w:sz w:val="18"/>
          <w:szCs w:val="18"/>
          <w:color w:val="auto"/>
        </w:rPr>
      </w:pPr>
    </w:p>
    <w:p>
      <w:pPr>
        <w:ind w:left="1278" w:hanging="643"/>
        <w:spacing w:after="0"/>
        <w:tabs>
          <w:tab w:leader="none" w:pos="127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 moratorium in respect of; or</w:t>
      </w:r>
    </w:p>
    <w:p>
      <w:pPr>
        <w:spacing w:after="0" w:line="225" w:lineRule="exact"/>
        <w:rPr>
          <w:rFonts w:ascii="Times New Roman" w:cs="Times New Roman" w:eastAsia="Times New Roman" w:hAnsi="Times New Roman"/>
          <w:sz w:val="18"/>
          <w:szCs w:val="18"/>
          <w:color w:val="auto"/>
        </w:rPr>
      </w:pPr>
    </w:p>
    <w:p>
      <w:pPr>
        <w:jc w:val="both"/>
        <w:ind w:left="1278" w:hanging="643"/>
        <w:spacing w:after="0" w:line="254" w:lineRule="auto"/>
        <w:tabs>
          <w:tab w:leader="none" w:pos="127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liquidator, receiver, trustee, administrator, administrative receiver, monitor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administrator, administrative receiver, monitor or similar officer has been made with respect to the Company), and such actions and steps will not have been taken as at any Allotment Date.</w:t>
      </w:r>
    </w:p>
    <w:p>
      <w:pPr>
        <w:spacing w:after="0" w:line="200" w:lineRule="exact"/>
        <w:rPr>
          <w:sz w:val="20"/>
          <w:szCs w:val="20"/>
          <w:color w:val="auto"/>
        </w:rPr>
      </w:pPr>
    </w:p>
    <w:p>
      <w:pPr>
        <w:spacing w:after="0" w:line="208" w:lineRule="exact"/>
        <w:rPr>
          <w:sz w:val="20"/>
          <w:szCs w:val="20"/>
          <w:color w:val="auto"/>
        </w:rPr>
      </w:pPr>
    </w:p>
    <w:p>
      <w:pPr>
        <w:ind w:left="4938"/>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17145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98"/>
          </w:cols>
          <w:pgMar w:left="962" w:top="904"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is subject to the following reservations:</w:t>
      </w:r>
    </w:p>
    <w:p>
      <w:pPr>
        <w:spacing w:after="0" w:line="225" w:lineRule="exact"/>
        <w:rPr>
          <w:sz w:val="20"/>
          <w:szCs w:val="20"/>
          <w:color w:val="auto"/>
        </w:rPr>
      </w:pPr>
    </w:p>
    <w:p>
      <w:pPr>
        <w:jc w:val="both"/>
        <w:ind w:left="1280" w:hanging="638"/>
        <w:spacing w:after="0" w:line="266" w:lineRule="auto"/>
        <w:tabs>
          <w:tab w:leader="none" w:pos="12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1920" w:right="20" w:hanging="643"/>
        <w:spacing w:after="0" w:line="282" w:lineRule="auto"/>
        <w:tabs>
          <w:tab w:leader="none" w:pos="19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arising from applicable laws relating to insolvency, bankruptcy, administration, reorganisation, liquidation, moratoria, schemes, restructuring plans or analogous circumstances; and</w:t>
      </w:r>
    </w:p>
    <w:p>
      <w:pPr>
        <w:spacing w:after="0" w:line="161" w:lineRule="exact"/>
        <w:rPr>
          <w:rFonts w:ascii="Times New Roman" w:cs="Times New Roman" w:eastAsia="Times New Roman" w:hAnsi="Times New Roman"/>
          <w:sz w:val="18"/>
          <w:szCs w:val="18"/>
          <w:color w:val="auto"/>
        </w:rPr>
      </w:pPr>
    </w:p>
    <w:p>
      <w:pPr>
        <w:jc w:val="both"/>
        <w:ind w:left="1920" w:hanging="643"/>
        <w:spacing w:after="0" w:line="266" w:lineRule="auto"/>
        <w:tabs>
          <w:tab w:leader="none" w:pos="19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English court exercising its discretion under section 426 of the Insolvency Act 1986 (co-operation between courts exercising jurisdiction in relation to insolvency) to assist the courts having the corresponding jurisdiction in any part of the United Kingdom or any relevant country or territory;</w:t>
      </w:r>
    </w:p>
    <w:p>
      <w:pPr>
        <w:spacing w:after="0" w:line="17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matters of fact;</w:t>
      </w:r>
    </w:p>
    <w:p>
      <w:pPr>
        <w:spacing w:after="0" w:line="225"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w:t>
      </w:r>
    </w:p>
    <w:p>
      <w:pPr>
        <w:spacing w:after="0" w:line="171" w:lineRule="exact"/>
        <w:rPr>
          <w:rFonts w:ascii="Times New Roman" w:cs="Times New Roman" w:eastAsia="Times New Roman" w:hAnsi="Times New Roman"/>
          <w:sz w:val="18"/>
          <w:szCs w:val="18"/>
          <w:color w:val="auto"/>
        </w:rPr>
      </w:pPr>
    </w:p>
    <w:p>
      <w:pPr>
        <w:jc w:val="both"/>
        <w:ind w:left="1280" w:hanging="638"/>
        <w:spacing w:after="0" w:line="255" w:lineRule="auto"/>
        <w:tabs>
          <w:tab w:leader="none" w:pos="12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to the Original Sales Agreement or the Amendment Agreement (the “</w:t>
      </w:r>
      <w:r>
        <w:rPr>
          <w:rFonts w:ascii="Times New Roman" w:cs="Times New Roman" w:eastAsia="Times New Roman" w:hAnsi="Times New Roman"/>
          <w:sz w:val="18"/>
          <w:szCs w:val="18"/>
          <w:b w:val="1"/>
          <w:bCs w:val="1"/>
          <w:color w:val="auto"/>
        </w:rPr>
        <w:t>Affected Person</w:t>
      </w:r>
      <w:r>
        <w:rPr>
          <w:rFonts w:ascii="Times New Roman" w:cs="Times New Roman" w:eastAsia="Times New Roman" w:hAnsi="Times New Roman"/>
          <w:sz w:val="18"/>
          <w:szCs w:val="18"/>
          <w:color w:val="auto"/>
        </w:rPr>
        <w:t>”) is: (a) the target of economic or financial sanctions, including sanctions or restrictive measures imposed by the United Kingdom or the United Nations or restrictive measures implemented or effective in the United Kingdom (“</w:t>
      </w:r>
      <w:r>
        <w:rPr>
          <w:rFonts w:ascii="Times New Roman" w:cs="Times New Roman" w:eastAsia="Times New Roman" w:hAnsi="Times New Roman"/>
          <w:sz w:val="18"/>
          <w:szCs w:val="18"/>
          <w:b w:val="1"/>
          <w:bCs w:val="1"/>
          <w:color w:val="auto"/>
        </w:rPr>
        <w:t>Applicable Sanctions</w:t>
      </w:r>
      <w:r>
        <w:rPr>
          <w:rFonts w:ascii="Times New Roman" w:cs="Times New Roman" w:eastAsia="Times New Roman" w:hAnsi="Times New Roman"/>
          <w:sz w:val="18"/>
          <w:szCs w:val="18"/>
          <w:color w:val="auto"/>
        </w:rPr>
        <w:t>”); (b) owned or controlled (directly or indirectly) by or is acting on behalf of or at the direction of or is otherwise connected with a person who is a target of Applicable Sanctions; or (c) resident in, operating from or incorporated under the laws of a country or a territory that is a target of Applicable Sanctions, or, if the rights or obligations of the Affected Person under the Original Sales Agreement or the Amendment Agreement are otherwise affected by Applicable Sanctions, then the rights and obligations of such Affected Person under the Original Sales Agreement or the Amendment Agreement may be unenforceable or void;</w:t>
      </w:r>
    </w:p>
    <w:p>
      <w:pPr>
        <w:spacing w:after="0" w:line="188" w:lineRule="exact"/>
        <w:rPr>
          <w:rFonts w:ascii="Times New Roman" w:cs="Times New Roman" w:eastAsia="Times New Roman" w:hAnsi="Times New Roman"/>
          <w:sz w:val="18"/>
          <w:szCs w:val="18"/>
          <w:color w:val="auto"/>
        </w:rPr>
      </w:pPr>
    </w:p>
    <w:p>
      <w:pPr>
        <w:jc w:val="both"/>
        <w:ind w:left="1280" w:hanging="638"/>
        <w:spacing w:after="0" w:line="261" w:lineRule="auto"/>
        <w:tabs>
          <w:tab w:leader="none" w:pos="12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undertaken any consideration, analysis or assessment of whether the National Security &amp; Investment Act 2021 (NS&amp;IA) may or will apply to any of the transactions contemplated in the Registration Statement for the purposes of the opinions in this letter. We express no opinion on the application or potential application of the NS&amp;IA in relation to the Company or any transaction contemplated by the Registration Statement.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2"/>
          <w:szCs w:val="22"/>
          <w:b w:val="1"/>
          <w:bCs w:val="1"/>
          <w:color w:val="auto"/>
        </w:rPr>
        <w:t>Exhibit 5.2</w:t>
      </w:r>
    </w:p>
    <w:p>
      <w:pPr>
        <w:spacing w:after="0" w:line="22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Tel: +1.617.948.6000 Fax: +1.617.948.6001</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www.lw.com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56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414"/>
        </w:trPr>
        <w:tc>
          <w:tcPr>
            <w:tcW w:w="5220" w:type="dxa"/>
            <w:vAlign w:val="bottom"/>
          </w:tcPr>
          <w:p>
            <w:pPr>
              <w:spacing w:after="0"/>
              <w:rPr>
                <w:sz w:val="24"/>
                <w:szCs w:val="24"/>
                <w:color w:val="auto"/>
              </w:rPr>
            </w:pPr>
          </w:p>
        </w:tc>
        <w:tc>
          <w:tcPr>
            <w:tcW w:w="3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Austin</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5220" w:type="dxa"/>
            <w:vAlign w:val="bottom"/>
          </w:tcPr>
          <w:p>
            <w:pPr>
              <w:spacing w:after="0"/>
              <w:rPr>
                <w:sz w:val="18"/>
                <w:szCs w:val="18"/>
                <w:color w:val="auto"/>
              </w:rPr>
            </w:pPr>
          </w:p>
        </w:tc>
        <w:tc>
          <w:tcPr>
            <w:tcW w:w="3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Beijing</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5220" w:type="dxa"/>
            <w:vAlign w:val="bottom"/>
          </w:tcPr>
          <w:p>
            <w:pPr>
              <w:spacing w:after="0"/>
              <w:rPr>
                <w:sz w:val="18"/>
                <w:szCs w:val="18"/>
                <w:color w:val="auto"/>
              </w:rPr>
            </w:pPr>
          </w:p>
        </w:tc>
        <w:tc>
          <w:tcPr>
            <w:tcW w:w="3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Boston</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220" w:type="dxa"/>
            <w:vAlign w:val="bottom"/>
          </w:tcPr>
          <w:p>
            <w:pPr>
              <w:spacing w:after="0"/>
              <w:rPr>
                <w:sz w:val="18"/>
                <w:szCs w:val="18"/>
                <w:color w:val="auto"/>
              </w:rPr>
            </w:pPr>
          </w:p>
        </w:tc>
        <w:tc>
          <w:tcPr>
            <w:tcW w:w="3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Brussels</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5220" w:type="dxa"/>
            <w:vAlign w:val="bottom"/>
          </w:tcPr>
          <w:p>
            <w:pPr>
              <w:spacing w:after="0"/>
              <w:rPr>
                <w:sz w:val="18"/>
                <w:szCs w:val="18"/>
                <w:color w:val="auto"/>
              </w:rPr>
            </w:pPr>
          </w:p>
        </w:tc>
        <w:tc>
          <w:tcPr>
            <w:tcW w:w="3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Century City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5220" w:type="dxa"/>
            <w:vAlign w:val="bottom"/>
          </w:tcPr>
          <w:p>
            <w:pPr>
              <w:spacing w:after="0"/>
              <w:rPr>
                <w:sz w:val="18"/>
                <w:szCs w:val="18"/>
                <w:color w:val="auto"/>
              </w:rPr>
            </w:pPr>
          </w:p>
        </w:tc>
        <w:tc>
          <w:tcPr>
            <w:tcW w:w="3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Chicago</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March 7, 2023</w:t>
            </w:r>
          </w:p>
        </w:tc>
        <w:tc>
          <w:tcPr>
            <w:tcW w:w="3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Dubai</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5220" w:type="dxa"/>
            <w:vAlign w:val="bottom"/>
          </w:tcPr>
          <w:p>
            <w:pPr>
              <w:spacing w:after="0"/>
              <w:rPr>
                <w:sz w:val="18"/>
                <w:szCs w:val="18"/>
                <w:color w:val="auto"/>
              </w:rPr>
            </w:pPr>
          </w:p>
        </w:tc>
        <w:tc>
          <w:tcPr>
            <w:tcW w:w="3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Düsseldorf</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5220" w:type="dxa"/>
            <w:vAlign w:val="bottom"/>
          </w:tcPr>
          <w:p>
            <w:pPr>
              <w:spacing w:after="0"/>
              <w:rPr>
                <w:sz w:val="18"/>
                <w:szCs w:val="18"/>
                <w:color w:val="auto"/>
              </w:rPr>
            </w:pPr>
          </w:p>
        </w:tc>
        <w:tc>
          <w:tcPr>
            <w:tcW w:w="3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Frankfurt</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5220" w:type="dxa"/>
            <w:vAlign w:val="bottom"/>
          </w:tcPr>
          <w:p>
            <w:pPr>
              <w:spacing w:after="0"/>
              <w:rPr>
                <w:sz w:val="18"/>
                <w:szCs w:val="18"/>
                <w:color w:val="auto"/>
              </w:rPr>
            </w:pPr>
          </w:p>
        </w:tc>
        <w:tc>
          <w:tcPr>
            <w:tcW w:w="3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Hamburg</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5220" w:type="dxa"/>
            <w:vAlign w:val="bottom"/>
          </w:tcPr>
          <w:p>
            <w:pPr>
              <w:spacing w:after="0"/>
              <w:rPr>
                <w:sz w:val="18"/>
                <w:szCs w:val="18"/>
                <w:color w:val="auto"/>
              </w:rPr>
            </w:pPr>
          </w:p>
        </w:tc>
        <w:tc>
          <w:tcPr>
            <w:tcW w:w="3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Hong Kong</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5220" w:type="dxa"/>
            <w:vAlign w:val="bottom"/>
          </w:tcPr>
          <w:p>
            <w:pPr>
              <w:spacing w:after="0"/>
              <w:rPr>
                <w:sz w:val="18"/>
                <w:szCs w:val="18"/>
                <w:color w:val="auto"/>
              </w:rPr>
            </w:pPr>
          </w:p>
        </w:tc>
        <w:tc>
          <w:tcPr>
            <w:tcW w:w="3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Houston</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Verona Pharma plc</w:t>
            </w:r>
          </w:p>
        </w:tc>
        <w:tc>
          <w:tcPr>
            <w:tcW w:w="3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London</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3 More London Riverside</w:t>
            </w:r>
          </w:p>
        </w:tc>
        <w:tc>
          <w:tcPr>
            <w:tcW w:w="3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Los Angeles</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Tokyo</w:t>
            </w: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London 2E1 2RE, United Kingdom</w:t>
            </w:r>
          </w:p>
        </w:tc>
        <w:tc>
          <w:tcPr>
            <w:tcW w:w="3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Madrid</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-2331085</wp:posOffset>
            </wp:positionV>
            <wp:extent cx="2400300" cy="2400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2400300" cy="24003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w:t>
      </w:r>
      <w:r>
        <w:rPr>
          <w:rFonts w:ascii="Times New Roman" w:cs="Times New Roman" w:eastAsia="Times New Roman" w:hAnsi="Times New Roman"/>
          <w:sz w:val="18"/>
          <w:szCs w:val="18"/>
          <w:u w:val="single" w:color="auto"/>
          <w:color w:val="auto"/>
        </w:rPr>
        <w:t>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have acted as special counsel to Verona Pharma plc, a public limited company incorporated under the laws of England and Wales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its filing on the date hereof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Form S-3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including a base prospectus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which provides that it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by one or more prospectus supplements (each such prospectus supplement, together with the Base Prospectus, a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registration for issue and sale by the Company of (i) ordinary shares, nominal value of £0.05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including ordinary shares in the form of American Depositary Shares (the “</w:t>
      </w:r>
      <w:r>
        <w:rPr>
          <w:rFonts w:ascii="Times New Roman" w:cs="Times New Roman" w:eastAsia="Times New Roman" w:hAnsi="Times New Roman"/>
          <w:sz w:val="18"/>
          <w:szCs w:val="18"/>
          <w:b w:val="1"/>
          <w:bCs w:val="1"/>
          <w:i w:val="1"/>
          <w:iCs w:val="1"/>
          <w:color w:val="auto"/>
        </w:rPr>
        <w:t>ADSs</w:t>
      </w:r>
      <w:r>
        <w:rPr>
          <w:rFonts w:ascii="Times New Roman" w:cs="Times New Roman" w:eastAsia="Times New Roman" w:hAnsi="Times New Roman"/>
          <w:sz w:val="18"/>
          <w:szCs w:val="18"/>
          <w:color w:val="auto"/>
        </w:rPr>
        <w:t>”), (ii) one or more series of the Company’s debt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to be issued under an indenture to be entered into between the Company, as issuer, and a trustee (a form of which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as Exhibit 4.4 to the Registration Statement) and one or more board resolutions, supplements thereto or officer’s certificates thereunder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together with the applicable board resolution, supplement or officer’s certificate pertaining to the applicable series of Debt Securities,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Indenture</w:t>
      </w:r>
      <w:r>
        <w:rPr>
          <w:rFonts w:ascii="Times New Roman" w:cs="Times New Roman" w:eastAsia="Times New Roman" w:hAnsi="Times New Roman"/>
          <w:sz w:val="18"/>
          <w:szCs w:val="18"/>
          <w:color w:val="auto"/>
        </w:rPr>
        <w:t>”) (iii) warrants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and (iv) units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The Debt Securities, Warrants and Units are referred to herein collectively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New York, and we express no opinion with respect to the applicability thereto, or the effect thereon, of the laws of any other jurisdiction or as to any matters of municipal law or the laws of any local agencies within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March 7,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71320"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1671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ind w:firstLine="656"/>
        <w:spacing w:after="0" w:line="256" w:lineRule="auto"/>
        <w:tabs>
          <w:tab w:leader="none" w:pos="1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187" w:lineRule="exact"/>
        <w:rPr>
          <w:rFonts w:ascii="Times New Roman" w:cs="Times New Roman" w:eastAsia="Times New Roman" w:hAnsi="Times New Roman"/>
          <w:sz w:val="18"/>
          <w:szCs w:val="18"/>
          <w:color w:val="auto"/>
        </w:rPr>
      </w:pPr>
    </w:p>
    <w:p>
      <w:pPr>
        <w:ind w:right="40" w:firstLine="656"/>
        <w:spacing w:after="0" w:line="255" w:lineRule="auto"/>
        <w:tabs>
          <w:tab w:leader="none" w:pos="1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188" w:lineRule="exact"/>
        <w:rPr>
          <w:rFonts w:ascii="Times New Roman" w:cs="Times New Roman" w:eastAsia="Times New Roman" w:hAnsi="Times New Roman"/>
          <w:sz w:val="18"/>
          <w:szCs w:val="18"/>
          <w:color w:val="auto"/>
        </w:rPr>
      </w:pPr>
    </w:p>
    <w:p>
      <w:pPr>
        <w:ind w:right="20" w:firstLine="656"/>
        <w:spacing w:after="0" w:line="256" w:lineRule="auto"/>
        <w:tabs>
          <w:tab w:leader="none" w:pos="1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color w:val="auto"/>
        </w:rPr>
        <w:t>March 7,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71320"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1671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19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With your consent, we have assumed (a) that each of the Debt Securities, Warrants and Units and the Applicable Indenture, warrant agreements and unit agreements governing such Securities (collectively, the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w:t>
      </w:r>
    </w:p>
    <w:p>
      <w:pPr>
        <w:spacing w:after="0" w:line="3" w:lineRule="exact"/>
        <w:rPr>
          <w:sz w:val="20"/>
          <w:szCs w:val="20"/>
          <w:color w:val="auto"/>
        </w:rPr>
      </w:pPr>
    </w:p>
    <w:p>
      <w:pPr>
        <w:ind w:right="20" w:firstLine="8"/>
        <w:spacing w:after="0" w:line="260" w:lineRule="auto"/>
        <w:tabs>
          <w:tab w:leader="none" w:pos="2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8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2"/>
          <w:szCs w:val="22"/>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045845" cy="7715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104584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Verona Pharma PLC of our report dated March 7, 2023 relating to the financial statements, which appears in Verona Pharma PLC's Annual Report on Form 10-K for the year ended December 31, 2022.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292215" cy="2311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629221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20"/>
        <w:spacing w:after="0" w:line="284" w:lineRule="auto"/>
        <w:rPr>
          <w:sz w:val="20"/>
          <w:szCs w:val="20"/>
          <w:color w:val="auto"/>
        </w:rPr>
      </w:pPr>
      <w:r>
        <w:rPr>
          <w:rFonts w:ascii="Times New Roman" w:cs="Times New Roman" w:eastAsia="Times New Roman" w:hAnsi="Times New Roman"/>
          <w:sz w:val="18"/>
          <w:szCs w:val="18"/>
          <w:i w:val="1"/>
          <w:iCs w:val="1"/>
          <w:color w:val="auto"/>
        </w:rPr>
        <w:t>PricewaterhouseCoopers LLP, 3 Forbury Place, 23 Forbury Road, Reading, Berkshire, RG1 3JH T: +44 (0) 118 597 111, F: +44 (0) 1189 383 020, www.pwc.co.uk</w:t>
      </w:r>
    </w:p>
    <w:p>
      <w:pPr>
        <w:spacing w:after="0" w:line="16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PricewaterhouseCoopers LLP is a limited liability partnership registered in England with registered number OC303525. The registered office of PricewaterhouseCoopers LLP is 1 Embankment Place, London WC2N 6RH. PricewaterhouseCoopers LLP is authorised and regulated by the Financial Conduct Authority for designated investment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9" w:name="page190"/>
    <w:bookmarkEnd w:id="189"/>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 Type)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1220" w:type="dxa"/>
            <w:vAlign w:val="bottom"/>
            <w:tcBorders>
              <w:top w:val="single" w:sz="8" w:color="auto"/>
              <w:left w:val="single" w:sz="8" w:color="auto"/>
              <w:right w:val="single" w:sz="8" w:color="auto"/>
            </w:tcBorders>
          </w:tcPr>
          <w:p>
            <w:pPr>
              <w:spacing w:after="0"/>
              <w:rPr>
                <w:sz w:val="11"/>
                <w:szCs w:val="11"/>
                <w:color w:val="auto"/>
              </w:rPr>
            </w:pPr>
          </w:p>
        </w:tc>
        <w:tc>
          <w:tcPr>
            <w:tcW w:w="520" w:type="dxa"/>
            <w:vAlign w:val="bottom"/>
            <w:tcBorders>
              <w:top w:val="single" w:sz="8" w:color="auto"/>
              <w:right w:val="single" w:sz="8" w:color="auto"/>
            </w:tcBorders>
          </w:tcPr>
          <w:p>
            <w:pPr>
              <w:spacing w:after="0"/>
              <w:rPr>
                <w:sz w:val="11"/>
                <w:szCs w:val="11"/>
                <w:color w:val="auto"/>
              </w:rPr>
            </w:pPr>
          </w:p>
        </w:tc>
        <w:tc>
          <w:tcPr>
            <w:tcW w:w="226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82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spacing w:after="0"/>
              <w:rPr>
                <w:sz w:val="11"/>
                <w:szCs w:val="11"/>
                <w:color w:val="auto"/>
              </w:rPr>
            </w:pPr>
          </w:p>
        </w:tc>
        <w:tc>
          <w:tcPr>
            <w:tcW w:w="92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Filing Fee</w:t>
            </w:r>
          </w:p>
        </w:tc>
      </w:tr>
      <w:tr>
        <w:trPr>
          <w:trHeight w:val="135"/>
        </w:trPr>
        <w:tc>
          <w:tcPr>
            <w:tcW w:w="122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Previously</w:t>
            </w:r>
          </w:p>
        </w:tc>
      </w:tr>
      <w:tr>
        <w:trPr>
          <w:trHeight w:val="135"/>
        </w:trPr>
        <w:tc>
          <w:tcPr>
            <w:tcW w:w="122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In</w:t>
            </w:r>
          </w:p>
        </w:tc>
      </w:tr>
      <w:tr>
        <w:trPr>
          <w:trHeight w:val="135"/>
        </w:trPr>
        <w:tc>
          <w:tcPr>
            <w:tcW w:w="122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Carry</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Connection</w:t>
            </w:r>
          </w:p>
        </w:tc>
      </w:tr>
      <w:tr>
        <w:trPr>
          <w:trHeight w:val="135"/>
        </w:trPr>
        <w:tc>
          <w:tcPr>
            <w:tcW w:w="122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Calculation</w:t>
            </w: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ind w:right="58"/>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Carry</w:t>
            </w:r>
          </w:p>
        </w:tc>
        <w:tc>
          <w:tcPr>
            <w:tcW w:w="540" w:type="dxa"/>
            <w:vAlign w:val="bottom"/>
            <w:tcBorders>
              <w:right w:val="single" w:sz="8" w:color="auto"/>
            </w:tcBorders>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Carry</w:t>
            </w:r>
          </w:p>
        </w:tc>
        <w:tc>
          <w:tcPr>
            <w:tcW w:w="54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With Unheld</w:t>
            </w:r>
          </w:p>
        </w:tc>
      </w:tr>
      <w:tr>
        <w:trPr>
          <w:trHeight w:val="135"/>
        </w:trPr>
        <w:tc>
          <w:tcPr>
            <w:tcW w:w="122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Carry</w:t>
            </w: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92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ind w:right="58"/>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54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54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54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Initial</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 to</w:t>
            </w:r>
          </w:p>
        </w:tc>
      </w:tr>
      <w:tr>
        <w:trPr>
          <w:trHeight w:val="135"/>
        </w:trPr>
        <w:tc>
          <w:tcPr>
            <w:tcW w:w="122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22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820" w:type="dxa"/>
            <w:vAlign w:val="bottom"/>
            <w:tcBorders>
              <w:right w:val="single" w:sz="8" w:color="auto"/>
            </w:tcBorders>
          </w:tcPr>
          <w:p>
            <w:pPr>
              <w:jc w:val="right"/>
              <w:ind w:right="199"/>
              <w:spacing w:after="0" w:line="135" w:lineRule="exact"/>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tcBorders>
              <w:right w:val="single" w:sz="8" w:color="auto"/>
            </w:tcBorders>
          </w:tcPr>
          <w:p>
            <w:pPr>
              <w:jc w:val="center"/>
              <w:ind w:right="98"/>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92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ind w:right="58"/>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540" w:type="dxa"/>
            <w:vAlign w:val="bottom"/>
            <w:tcBorders>
              <w:right w:val="single" w:sz="8" w:color="auto"/>
            </w:tcBorders>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540" w:type="dxa"/>
            <w:vAlign w:val="bottom"/>
            <w:tcBorders>
              <w:right w:val="single" w:sz="8" w:color="auto"/>
            </w:tcBorders>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File</w:t>
            </w:r>
          </w:p>
        </w:tc>
        <w:tc>
          <w:tcPr>
            <w:tcW w:w="540" w:type="dxa"/>
            <w:vAlign w:val="bottom"/>
            <w:tcBorders>
              <w:right w:val="single" w:sz="8" w:color="auto"/>
            </w:tcBorders>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effective</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be Carried</w:t>
            </w:r>
          </w:p>
        </w:tc>
      </w:tr>
      <w:tr>
        <w:trPr>
          <w:trHeight w:val="155"/>
        </w:trPr>
        <w:tc>
          <w:tcPr>
            <w:tcW w:w="1220" w:type="dxa"/>
            <w:vAlign w:val="bottom"/>
            <w:tcBorders>
              <w:left w:val="single" w:sz="8" w:color="auto"/>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226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3"/>
                <w:szCs w:val="13"/>
                <w:b w:val="1"/>
                <w:bCs w:val="1"/>
                <w:color w:val="auto"/>
              </w:rPr>
              <w:t>Security Class Title</w:t>
            </w:r>
          </w:p>
        </w:tc>
        <w:tc>
          <w:tcPr>
            <w:tcW w:w="740" w:type="dxa"/>
            <w:vAlign w:val="bottom"/>
            <w:tcBorders>
              <w:bottom w:val="single" w:sz="8" w:color="auto"/>
              <w:right w:val="single" w:sz="8" w:color="auto"/>
            </w:tcBorders>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820" w:type="dxa"/>
            <w:vAlign w:val="bottom"/>
            <w:tcBorders>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Registered</w:t>
            </w:r>
          </w:p>
        </w:tc>
        <w:tc>
          <w:tcPr>
            <w:tcW w:w="840" w:type="dxa"/>
            <w:vAlign w:val="bottom"/>
            <w:tcBorders>
              <w:bottom w:val="single" w:sz="8" w:color="auto"/>
              <w:right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w w:val="98"/>
              </w:rPr>
              <w:t>per Unit</w:t>
            </w:r>
          </w:p>
        </w:tc>
        <w:tc>
          <w:tcPr>
            <w:tcW w:w="920" w:type="dxa"/>
            <w:vAlign w:val="bottom"/>
            <w:tcBorders>
              <w:bottom w:val="single" w:sz="8" w:color="auto"/>
              <w:right w:val="single" w:sz="8" w:color="auto"/>
            </w:tcBorders>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w w:val="95"/>
              </w:rPr>
              <w:t>Offering Price</w:t>
            </w:r>
          </w:p>
        </w:tc>
        <w:tc>
          <w:tcPr>
            <w:tcW w:w="780" w:type="dxa"/>
            <w:vAlign w:val="bottom"/>
            <w:tcBorders>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Fee Rate</w:t>
            </w:r>
          </w:p>
        </w:tc>
        <w:tc>
          <w:tcPr>
            <w:tcW w:w="780" w:type="dxa"/>
            <w:vAlign w:val="bottom"/>
            <w:tcBorders>
              <w:bottom w:val="single" w:sz="8" w:color="auto"/>
              <w:right w:val="single" w:sz="8" w:color="auto"/>
            </w:tcBorders>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54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54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54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Forward</w:t>
            </w:r>
          </w:p>
        </w:tc>
      </w:tr>
      <w:tr>
        <w:trPr>
          <w:trHeight w:val="128"/>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r>
      <w:tr>
        <w:trPr>
          <w:trHeight w:val="129"/>
        </w:trPr>
        <w:tc>
          <w:tcPr>
            <w:tcW w:w="1220" w:type="dxa"/>
            <w:vAlign w:val="bottom"/>
            <w:tcBorders>
              <w:left w:val="single" w:sz="8" w:color="auto"/>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Newly Registered Securities</w:t>
            </w:r>
          </w:p>
        </w:tc>
        <w:tc>
          <w:tcPr>
            <w:tcW w:w="9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r>
      <w:tr>
        <w:trPr>
          <w:trHeight w:val="110"/>
        </w:trPr>
        <w:tc>
          <w:tcPr>
            <w:tcW w:w="1220" w:type="dxa"/>
            <w:vAlign w:val="bottom"/>
            <w:tcBorders>
              <w:left w:val="single" w:sz="8" w:color="auto"/>
              <w:right w:val="single" w:sz="8" w:color="auto"/>
            </w:tcBorders>
          </w:tcPr>
          <w:p>
            <w:pPr>
              <w:ind w:left="20"/>
              <w:spacing w:after="0" w:line="110" w:lineRule="exact"/>
              <w:rPr>
                <w:sz w:val="20"/>
                <w:szCs w:val="20"/>
                <w:color w:val="auto"/>
              </w:rPr>
            </w:pPr>
            <w:r>
              <w:rPr>
                <w:rFonts w:ascii="Times New Roman" w:cs="Times New Roman" w:eastAsia="Times New Roman" w:hAnsi="Times New Roman"/>
                <w:sz w:val="12"/>
                <w:szCs w:val="12"/>
                <w:color w:val="auto"/>
              </w:rPr>
              <w:t>Fees to be Paid</w:t>
            </w:r>
          </w:p>
        </w:tc>
        <w:tc>
          <w:tcPr>
            <w:tcW w:w="52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Equity</w:t>
            </w:r>
          </w:p>
        </w:tc>
        <w:tc>
          <w:tcPr>
            <w:tcW w:w="2260" w:type="dxa"/>
            <w:vAlign w:val="bottom"/>
            <w:tcBorders>
              <w:right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Ordinary Shares, nominal value £0.05 per</w:t>
            </w:r>
          </w:p>
        </w:tc>
        <w:tc>
          <w:tcPr>
            <w:tcW w:w="740" w:type="dxa"/>
            <w:vAlign w:val="bottom"/>
            <w:tcBorders>
              <w:right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Rule 457(r)</w:t>
            </w:r>
          </w:p>
        </w:tc>
        <w:tc>
          <w:tcPr>
            <w:tcW w:w="82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(2)(3)</w:t>
            </w:r>
          </w:p>
        </w:tc>
        <w:tc>
          <w:tcPr>
            <w:tcW w:w="840" w:type="dxa"/>
            <w:vAlign w:val="bottom"/>
            <w:tcBorders>
              <w:right w:val="single" w:sz="8" w:color="auto"/>
            </w:tcBorders>
          </w:tcPr>
          <w:p>
            <w:pPr>
              <w:jc w:val="right"/>
              <w:ind w:right="58"/>
              <w:spacing w:after="0" w:line="110" w:lineRule="exact"/>
              <w:rPr>
                <w:sz w:val="20"/>
                <w:szCs w:val="20"/>
                <w:color w:val="auto"/>
              </w:rPr>
            </w:pPr>
            <w:r>
              <w:rPr>
                <w:rFonts w:ascii="Times New Roman" w:cs="Times New Roman" w:eastAsia="Times New Roman" w:hAnsi="Times New Roman"/>
                <w:sz w:val="12"/>
                <w:szCs w:val="12"/>
                <w:color w:val="auto"/>
              </w:rPr>
              <w:t>(2)</w:t>
            </w:r>
          </w:p>
        </w:tc>
        <w:tc>
          <w:tcPr>
            <w:tcW w:w="920" w:type="dxa"/>
            <w:vAlign w:val="bottom"/>
            <w:tcBorders>
              <w:right w:val="single" w:sz="8" w:color="auto"/>
            </w:tcBorders>
          </w:tcPr>
          <w:p>
            <w:pPr>
              <w:jc w:val="right"/>
              <w:ind w:right="19"/>
              <w:spacing w:after="0" w:line="110" w:lineRule="exact"/>
              <w:rPr>
                <w:sz w:val="20"/>
                <w:szCs w:val="20"/>
                <w:color w:val="auto"/>
              </w:rPr>
            </w:pPr>
            <w:r>
              <w:rPr>
                <w:rFonts w:ascii="Times New Roman" w:cs="Times New Roman" w:eastAsia="Times New Roman" w:hAnsi="Times New Roman"/>
                <w:sz w:val="12"/>
                <w:szCs w:val="12"/>
                <w:color w:val="auto"/>
              </w:rPr>
              <w:t>(2)</w:t>
            </w:r>
          </w:p>
        </w:tc>
        <w:tc>
          <w:tcPr>
            <w:tcW w:w="78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(4)</w:t>
            </w:r>
          </w:p>
        </w:tc>
        <w:tc>
          <w:tcPr>
            <w:tcW w:w="780" w:type="dxa"/>
            <w:vAlign w:val="bottom"/>
            <w:tcBorders>
              <w:right w:val="single" w:sz="8" w:color="auto"/>
            </w:tcBorders>
          </w:tcPr>
          <w:p>
            <w:pPr>
              <w:jc w:val="right"/>
              <w:ind w:right="58"/>
              <w:spacing w:after="0" w:line="110" w:lineRule="exact"/>
              <w:rPr>
                <w:sz w:val="20"/>
                <w:szCs w:val="20"/>
                <w:color w:val="auto"/>
              </w:rPr>
            </w:pPr>
            <w:r>
              <w:rPr>
                <w:rFonts w:ascii="Times New Roman" w:cs="Times New Roman" w:eastAsia="Times New Roman" w:hAnsi="Times New Roman"/>
                <w:sz w:val="12"/>
                <w:szCs w:val="12"/>
                <w:color w:val="auto"/>
              </w:rPr>
              <w:t>(4)</w:t>
            </w:r>
          </w:p>
        </w:tc>
        <w:tc>
          <w:tcPr>
            <w:tcW w:w="54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r>
      <w:tr>
        <w:trPr>
          <w:trHeight w:val="153"/>
        </w:trPr>
        <w:tc>
          <w:tcPr>
            <w:tcW w:w="1220" w:type="dxa"/>
            <w:vAlign w:val="bottom"/>
            <w:tcBorders>
              <w:left w:val="single" w:sz="8" w:color="auto"/>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share(1)</w:t>
            </w:r>
          </w:p>
        </w:tc>
        <w:tc>
          <w:tcPr>
            <w:tcW w:w="7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r>
      <w:tr>
        <w:trPr>
          <w:trHeight w:val="128"/>
        </w:trPr>
        <w:tc>
          <w:tcPr>
            <w:tcW w:w="122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Fees to be Paid</w:t>
            </w:r>
          </w:p>
        </w:tc>
        <w:tc>
          <w:tcPr>
            <w:tcW w:w="520" w:type="dxa"/>
            <w:vAlign w:val="bottom"/>
            <w:tcBorders>
              <w:bottom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4"/>
              </w:rPr>
              <w:t>Debt</w:t>
            </w:r>
          </w:p>
        </w:tc>
        <w:tc>
          <w:tcPr>
            <w:tcW w:w="226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Debt Securities</w:t>
            </w:r>
          </w:p>
        </w:tc>
        <w:tc>
          <w:tcPr>
            <w:tcW w:w="74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Rule 457(r)</w:t>
            </w:r>
          </w:p>
        </w:tc>
        <w:tc>
          <w:tcPr>
            <w:tcW w:w="820" w:type="dxa"/>
            <w:vAlign w:val="bottom"/>
            <w:tcBorders>
              <w:bottom w:val="single" w:sz="8" w:color="auto"/>
              <w:right w:val="single" w:sz="8" w:color="auto"/>
            </w:tcBorders>
          </w:tcPr>
          <w:p>
            <w:pPr>
              <w:jc w:val="right"/>
              <w:ind w:right="59"/>
              <w:spacing w:after="0" w:line="129" w:lineRule="exact"/>
              <w:rPr>
                <w:sz w:val="20"/>
                <w:szCs w:val="20"/>
                <w:color w:val="auto"/>
              </w:rPr>
            </w:pPr>
            <w:r>
              <w:rPr>
                <w:rFonts w:ascii="Times New Roman" w:cs="Times New Roman" w:eastAsia="Times New Roman" w:hAnsi="Times New Roman"/>
                <w:sz w:val="13"/>
                <w:szCs w:val="13"/>
                <w:color w:val="auto"/>
              </w:rPr>
              <w:t>(2)</w:t>
            </w:r>
          </w:p>
        </w:tc>
        <w:tc>
          <w:tcPr>
            <w:tcW w:w="840" w:type="dxa"/>
            <w:vAlign w:val="bottom"/>
            <w:tcBorders>
              <w:bottom w:val="single" w:sz="8" w:color="auto"/>
              <w:right w:val="single" w:sz="8" w:color="auto"/>
            </w:tcBorders>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(2)</w:t>
            </w:r>
          </w:p>
        </w:tc>
        <w:tc>
          <w:tcPr>
            <w:tcW w:w="920" w:type="dxa"/>
            <w:vAlign w:val="bottom"/>
            <w:tcBorders>
              <w:bottom w:val="single" w:sz="8" w:color="auto"/>
              <w:right w:val="single" w:sz="8" w:color="auto"/>
            </w:tcBorders>
          </w:tcPr>
          <w:p>
            <w:pPr>
              <w:jc w:val="right"/>
              <w:ind w:right="19"/>
              <w:spacing w:after="0" w:line="129" w:lineRule="exact"/>
              <w:rPr>
                <w:sz w:val="20"/>
                <w:szCs w:val="20"/>
                <w:color w:val="auto"/>
              </w:rPr>
            </w:pPr>
            <w:r>
              <w:rPr>
                <w:rFonts w:ascii="Times New Roman" w:cs="Times New Roman" w:eastAsia="Times New Roman" w:hAnsi="Times New Roman"/>
                <w:sz w:val="13"/>
                <w:szCs w:val="13"/>
                <w:color w:val="auto"/>
              </w:rPr>
              <w:t>(2)</w:t>
            </w:r>
          </w:p>
        </w:tc>
        <w:tc>
          <w:tcPr>
            <w:tcW w:w="780" w:type="dxa"/>
            <w:vAlign w:val="bottom"/>
            <w:tcBorders>
              <w:bottom w:val="single" w:sz="8" w:color="auto"/>
              <w:right w:val="single" w:sz="8" w:color="auto"/>
            </w:tcBorders>
          </w:tcPr>
          <w:p>
            <w:pPr>
              <w:jc w:val="right"/>
              <w:ind w:right="59"/>
              <w:spacing w:after="0" w:line="129" w:lineRule="exact"/>
              <w:rPr>
                <w:sz w:val="20"/>
                <w:szCs w:val="20"/>
                <w:color w:val="auto"/>
              </w:rPr>
            </w:pPr>
            <w:r>
              <w:rPr>
                <w:rFonts w:ascii="Times New Roman" w:cs="Times New Roman" w:eastAsia="Times New Roman" w:hAnsi="Times New Roman"/>
                <w:sz w:val="13"/>
                <w:szCs w:val="13"/>
                <w:color w:val="auto"/>
              </w:rPr>
              <w:t>(4)</w:t>
            </w:r>
          </w:p>
        </w:tc>
        <w:tc>
          <w:tcPr>
            <w:tcW w:w="780" w:type="dxa"/>
            <w:vAlign w:val="bottom"/>
            <w:tcBorders>
              <w:bottom w:val="single" w:sz="8" w:color="auto"/>
              <w:right w:val="single" w:sz="8" w:color="auto"/>
            </w:tcBorders>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(4)</w:t>
            </w: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r>
      <w:tr>
        <w:trPr>
          <w:trHeight w:val="128"/>
        </w:trPr>
        <w:tc>
          <w:tcPr>
            <w:tcW w:w="122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Fees to be Paid</w:t>
            </w:r>
          </w:p>
        </w:tc>
        <w:tc>
          <w:tcPr>
            <w:tcW w:w="520" w:type="dxa"/>
            <w:vAlign w:val="bottom"/>
            <w:tcBorders>
              <w:bottom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rPr>
              <w:t>Other</w:t>
            </w:r>
          </w:p>
        </w:tc>
        <w:tc>
          <w:tcPr>
            <w:tcW w:w="226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Warrants</w:t>
            </w:r>
          </w:p>
        </w:tc>
        <w:tc>
          <w:tcPr>
            <w:tcW w:w="74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Rule 457(r)</w:t>
            </w:r>
          </w:p>
        </w:tc>
        <w:tc>
          <w:tcPr>
            <w:tcW w:w="820" w:type="dxa"/>
            <w:vAlign w:val="bottom"/>
            <w:tcBorders>
              <w:bottom w:val="single" w:sz="8" w:color="auto"/>
              <w:right w:val="single" w:sz="8" w:color="auto"/>
            </w:tcBorders>
          </w:tcPr>
          <w:p>
            <w:pPr>
              <w:jc w:val="right"/>
              <w:ind w:right="59"/>
              <w:spacing w:after="0" w:line="129" w:lineRule="exact"/>
              <w:rPr>
                <w:sz w:val="20"/>
                <w:szCs w:val="20"/>
                <w:color w:val="auto"/>
              </w:rPr>
            </w:pPr>
            <w:r>
              <w:rPr>
                <w:rFonts w:ascii="Times New Roman" w:cs="Times New Roman" w:eastAsia="Times New Roman" w:hAnsi="Times New Roman"/>
                <w:sz w:val="13"/>
                <w:szCs w:val="13"/>
                <w:color w:val="auto"/>
              </w:rPr>
              <w:t>(2)</w:t>
            </w:r>
          </w:p>
        </w:tc>
        <w:tc>
          <w:tcPr>
            <w:tcW w:w="840" w:type="dxa"/>
            <w:vAlign w:val="bottom"/>
            <w:tcBorders>
              <w:bottom w:val="single" w:sz="8" w:color="auto"/>
              <w:right w:val="single" w:sz="8" w:color="auto"/>
            </w:tcBorders>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(2)</w:t>
            </w:r>
          </w:p>
        </w:tc>
        <w:tc>
          <w:tcPr>
            <w:tcW w:w="920" w:type="dxa"/>
            <w:vAlign w:val="bottom"/>
            <w:tcBorders>
              <w:bottom w:val="single" w:sz="8" w:color="auto"/>
              <w:right w:val="single" w:sz="8" w:color="auto"/>
            </w:tcBorders>
          </w:tcPr>
          <w:p>
            <w:pPr>
              <w:jc w:val="right"/>
              <w:ind w:right="19"/>
              <w:spacing w:after="0" w:line="129" w:lineRule="exact"/>
              <w:rPr>
                <w:sz w:val="20"/>
                <w:szCs w:val="20"/>
                <w:color w:val="auto"/>
              </w:rPr>
            </w:pPr>
            <w:r>
              <w:rPr>
                <w:rFonts w:ascii="Times New Roman" w:cs="Times New Roman" w:eastAsia="Times New Roman" w:hAnsi="Times New Roman"/>
                <w:sz w:val="13"/>
                <w:szCs w:val="13"/>
                <w:color w:val="auto"/>
              </w:rPr>
              <w:t>(2)</w:t>
            </w:r>
          </w:p>
        </w:tc>
        <w:tc>
          <w:tcPr>
            <w:tcW w:w="780" w:type="dxa"/>
            <w:vAlign w:val="bottom"/>
            <w:tcBorders>
              <w:bottom w:val="single" w:sz="8" w:color="auto"/>
              <w:right w:val="single" w:sz="8" w:color="auto"/>
            </w:tcBorders>
          </w:tcPr>
          <w:p>
            <w:pPr>
              <w:jc w:val="right"/>
              <w:ind w:right="59"/>
              <w:spacing w:after="0" w:line="129" w:lineRule="exact"/>
              <w:rPr>
                <w:sz w:val="20"/>
                <w:szCs w:val="20"/>
                <w:color w:val="auto"/>
              </w:rPr>
            </w:pPr>
            <w:r>
              <w:rPr>
                <w:rFonts w:ascii="Times New Roman" w:cs="Times New Roman" w:eastAsia="Times New Roman" w:hAnsi="Times New Roman"/>
                <w:sz w:val="13"/>
                <w:szCs w:val="13"/>
                <w:color w:val="auto"/>
              </w:rPr>
              <w:t>(4)</w:t>
            </w:r>
          </w:p>
        </w:tc>
        <w:tc>
          <w:tcPr>
            <w:tcW w:w="780" w:type="dxa"/>
            <w:vAlign w:val="bottom"/>
            <w:tcBorders>
              <w:bottom w:val="single" w:sz="8" w:color="auto"/>
              <w:right w:val="single" w:sz="8" w:color="auto"/>
            </w:tcBorders>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(4)</w:t>
            </w: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r>
      <w:tr>
        <w:trPr>
          <w:trHeight w:val="129"/>
        </w:trPr>
        <w:tc>
          <w:tcPr>
            <w:tcW w:w="122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Fees to be Paid</w:t>
            </w:r>
          </w:p>
        </w:tc>
        <w:tc>
          <w:tcPr>
            <w:tcW w:w="520" w:type="dxa"/>
            <w:vAlign w:val="bottom"/>
            <w:tcBorders>
              <w:bottom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rPr>
              <w:t>Other</w:t>
            </w:r>
          </w:p>
        </w:tc>
        <w:tc>
          <w:tcPr>
            <w:tcW w:w="226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Units</w:t>
            </w:r>
          </w:p>
        </w:tc>
        <w:tc>
          <w:tcPr>
            <w:tcW w:w="74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Rule 457(r)</w:t>
            </w:r>
          </w:p>
        </w:tc>
        <w:tc>
          <w:tcPr>
            <w:tcW w:w="820" w:type="dxa"/>
            <w:vAlign w:val="bottom"/>
            <w:tcBorders>
              <w:bottom w:val="single" w:sz="8" w:color="auto"/>
              <w:right w:val="single" w:sz="8" w:color="auto"/>
            </w:tcBorders>
          </w:tcPr>
          <w:p>
            <w:pPr>
              <w:jc w:val="right"/>
              <w:ind w:right="59"/>
              <w:spacing w:after="0" w:line="129" w:lineRule="exact"/>
              <w:rPr>
                <w:sz w:val="20"/>
                <w:szCs w:val="20"/>
                <w:color w:val="auto"/>
              </w:rPr>
            </w:pPr>
            <w:r>
              <w:rPr>
                <w:rFonts w:ascii="Times New Roman" w:cs="Times New Roman" w:eastAsia="Times New Roman" w:hAnsi="Times New Roman"/>
                <w:sz w:val="13"/>
                <w:szCs w:val="13"/>
                <w:color w:val="auto"/>
              </w:rPr>
              <w:t>(2)</w:t>
            </w:r>
          </w:p>
        </w:tc>
        <w:tc>
          <w:tcPr>
            <w:tcW w:w="840" w:type="dxa"/>
            <w:vAlign w:val="bottom"/>
            <w:tcBorders>
              <w:bottom w:val="single" w:sz="8" w:color="auto"/>
              <w:right w:val="single" w:sz="8" w:color="auto"/>
            </w:tcBorders>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(2)</w:t>
            </w:r>
          </w:p>
        </w:tc>
        <w:tc>
          <w:tcPr>
            <w:tcW w:w="920" w:type="dxa"/>
            <w:vAlign w:val="bottom"/>
            <w:tcBorders>
              <w:bottom w:val="single" w:sz="8" w:color="auto"/>
              <w:right w:val="single" w:sz="8" w:color="auto"/>
            </w:tcBorders>
          </w:tcPr>
          <w:p>
            <w:pPr>
              <w:jc w:val="right"/>
              <w:ind w:right="19"/>
              <w:spacing w:after="0" w:line="129" w:lineRule="exact"/>
              <w:rPr>
                <w:sz w:val="20"/>
                <w:szCs w:val="20"/>
                <w:color w:val="auto"/>
              </w:rPr>
            </w:pPr>
            <w:r>
              <w:rPr>
                <w:rFonts w:ascii="Times New Roman" w:cs="Times New Roman" w:eastAsia="Times New Roman" w:hAnsi="Times New Roman"/>
                <w:sz w:val="13"/>
                <w:szCs w:val="13"/>
                <w:color w:val="auto"/>
              </w:rPr>
              <w:t>(2)</w:t>
            </w:r>
          </w:p>
        </w:tc>
        <w:tc>
          <w:tcPr>
            <w:tcW w:w="780" w:type="dxa"/>
            <w:vAlign w:val="bottom"/>
            <w:tcBorders>
              <w:bottom w:val="single" w:sz="8" w:color="auto"/>
              <w:right w:val="single" w:sz="8" w:color="auto"/>
            </w:tcBorders>
          </w:tcPr>
          <w:p>
            <w:pPr>
              <w:jc w:val="right"/>
              <w:ind w:right="59"/>
              <w:spacing w:after="0" w:line="129" w:lineRule="exact"/>
              <w:rPr>
                <w:sz w:val="20"/>
                <w:szCs w:val="20"/>
                <w:color w:val="auto"/>
              </w:rPr>
            </w:pPr>
            <w:r>
              <w:rPr>
                <w:rFonts w:ascii="Times New Roman" w:cs="Times New Roman" w:eastAsia="Times New Roman" w:hAnsi="Times New Roman"/>
                <w:sz w:val="13"/>
                <w:szCs w:val="13"/>
                <w:color w:val="auto"/>
              </w:rPr>
              <w:t>(4)</w:t>
            </w:r>
          </w:p>
        </w:tc>
        <w:tc>
          <w:tcPr>
            <w:tcW w:w="780" w:type="dxa"/>
            <w:vAlign w:val="bottom"/>
            <w:tcBorders>
              <w:bottom w:val="single" w:sz="8" w:color="auto"/>
              <w:right w:val="single" w:sz="8" w:color="auto"/>
            </w:tcBorders>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(4)</w:t>
            </w: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r>
      <w:tr>
        <w:trPr>
          <w:trHeight w:val="110"/>
        </w:trPr>
        <w:tc>
          <w:tcPr>
            <w:tcW w:w="1220" w:type="dxa"/>
            <w:vAlign w:val="bottom"/>
            <w:tcBorders>
              <w:left w:val="single" w:sz="8" w:color="auto"/>
              <w:right w:val="single" w:sz="8" w:color="auto"/>
            </w:tcBorders>
          </w:tcPr>
          <w:p>
            <w:pPr>
              <w:ind w:left="20"/>
              <w:spacing w:after="0" w:line="110" w:lineRule="exact"/>
              <w:rPr>
                <w:sz w:val="20"/>
                <w:szCs w:val="20"/>
                <w:color w:val="auto"/>
              </w:rPr>
            </w:pPr>
            <w:r>
              <w:rPr>
                <w:rFonts w:ascii="Times New Roman" w:cs="Times New Roman" w:eastAsia="Times New Roman" w:hAnsi="Times New Roman"/>
                <w:sz w:val="12"/>
                <w:szCs w:val="12"/>
                <w:color w:val="auto"/>
              </w:rPr>
              <w:t>Fees to be Paid</w:t>
            </w:r>
          </w:p>
        </w:tc>
        <w:tc>
          <w:tcPr>
            <w:tcW w:w="52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Equity</w:t>
            </w:r>
          </w:p>
        </w:tc>
        <w:tc>
          <w:tcPr>
            <w:tcW w:w="2260" w:type="dxa"/>
            <w:vAlign w:val="bottom"/>
            <w:tcBorders>
              <w:right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Ordinary Shares, nominal value £0.05 per</w:t>
            </w:r>
          </w:p>
        </w:tc>
        <w:tc>
          <w:tcPr>
            <w:tcW w:w="740" w:type="dxa"/>
            <w:vAlign w:val="bottom"/>
            <w:tcBorders>
              <w:right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Rule 457(o)</w:t>
            </w:r>
          </w:p>
        </w:tc>
        <w:tc>
          <w:tcPr>
            <w:tcW w:w="82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$200,000,000</w:t>
            </w:r>
          </w:p>
        </w:tc>
        <w:tc>
          <w:tcPr>
            <w:tcW w:w="840" w:type="dxa"/>
            <w:vAlign w:val="bottom"/>
            <w:tcBorders>
              <w:right w:val="single" w:sz="8" w:color="auto"/>
            </w:tcBorders>
          </w:tcPr>
          <w:p>
            <w:pPr>
              <w:jc w:val="right"/>
              <w:ind w:right="58"/>
              <w:spacing w:after="0" w:line="110" w:lineRule="exact"/>
              <w:rPr>
                <w:sz w:val="20"/>
                <w:szCs w:val="20"/>
                <w:color w:val="auto"/>
              </w:rPr>
            </w:pPr>
            <w:r>
              <w:rPr>
                <w:rFonts w:ascii="Times New Roman" w:cs="Times New Roman" w:eastAsia="Times New Roman" w:hAnsi="Times New Roman"/>
                <w:sz w:val="12"/>
                <w:szCs w:val="12"/>
                <w:color w:val="auto"/>
              </w:rPr>
              <w:t>N/A</w:t>
            </w:r>
          </w:p>
        </w:tc>
        <w:tc>
          <w:tcPr>
            <w:tcW w:w="920" w:type="dxa"/>
            <w:vAlign w:val="bottom"/>
            <w:tcBorders>
              <w:right w:val="single" w:sz="8" w:color="auto"/>
            </w:tcBorders>
          </w:tcPr>
          <w:p>
            <w:pPr>
              <w:jc w:val="right"/>
              <w:ind w:right="19"/>
              <w:spacing w:after="0" w:line="110" w:lineRule="exact"/>
              <w:rPr>
                <w:sz w:val="20"/>
                <w:szCs w:val="20"/>
                <w:color w:val="auto"/>
              </w:rPr>
            </w:pPr>
            <w:r>
              <w:rPr>
                <w:rFonts w:ascii="Times New Roman" w:cs="Times New Roman" w:eastAsia="Times New Roman" w:hAnsi="Times New Roman"/>
                <w:sz w:val="12"/>
                <w:szCs w:val="12"/>
                <w:color w:val="auto"/>
              </w:rPr>
              <w:t>$200,000,000</w:t>
            </w:r>
          </w:p>
        </w:tc>
        <w:tc>
          <w:tcPr>
            <w:tcW w:w="78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0.00011020</w:t>
            </w:r>
          </w:p>
        </w:tc>
        <w:tc>
          <w:tcPr>
            <w:tcW w:w="780" w:type="dxa"/>
            <w:vAlign w:val="bottom"/>
            <w:tcBorders>
              <w:right w:val="single" w:sz="8" w:color="auto"/>
            </w:tcBorders>
          </w:tcPr>
          <w:p>
            <w:pPr>
              <w:jc w:val="right"/>
              <w:ind w:right="58"/>
              <w:spacing w:after="0" w:line="110" w:lineRule="exact"/>
              <w:rPr>
                <w:sz w:val="20"/>
                <w:szCs w:val="20"/>
                <w:color w:val="auto"/>
              </w:rPr>
            </w:pPr>
            <w:r>
              <w:rPr>
                <w:rFonts w:ascii="Times New Roman" w:cs="Times New Roman" w:eastAsia="Times New Roman" w:hAnsi="Times New Roman"/>
                <w:sz w:val="12"/>
                <w:szCs w:val="12"/>
                <w:color w:val="auto"/>
              </w:rPr>
              <w:t>$22,040.00</w:t>
            </w:r>
          </w:p>
        </w:tc>
        <w:tc>
          <w:tcPr>
            <w:tcW w:w="54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r>
      <w:tr>
        <w:trPr>
          <w:trHeight w:val="153"/>
        </w:trPr>
        <w:tc>
          <w:tcPr>
            <w:tcW w:w="1220" w:type="dxa"/>
            <w:vAlign w:val="bottom"/>
            <w:tcBorders>
              <w:left w:val="single" w:sz="8" w:color="auto"/>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share(1)</w:t>
            </w:r>
          </w:p>
        </w:tc>
        <w:tc>
          <w:tcPr>
            <w:tcW w:w="7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r>
      <w:tr>
        <w:trPr>
          <w:trHeight w:val="158"/>
        </w:trPr>
        <w:tc>
          <w:tcPr>
            <w:tcW w:w="1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Fees Previously Paid</w:t>
            </w:r>
          </w:p>
        </w:tc>
        <w:tc>
          <w:tcPr>
            <w:tcW w:w="52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r>
      <w:tr>
        <w:trPr>
          <w:trHeight w:val="52"/>
        </w:trPr>
        <w:tc>
          <w:tcPr>
            <w:tcW w:w="1220" w:type="dxa"/>
            <w:vAlign w:val="bottom"/>
            <w:tcBorders>
              <w:left w:val="single" w:sz="8" w:color="auto"/>
              <w:bottom w:val="single" w:sz="8" w:color="auto"/>
              <w:right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r>
      <w:tr>
        <w:trPr>
          <w:trHeight w:val="128"/>
        </w:trPr>
        <w:tc>
          <w:tcPr>
            <w:tcW w:w="1220" w:type="dxa"/>
            <w:vAlign w:val="bottom"/>
            <w:tcBorders>
              <w:left w:val="single" w:sz="8" w:color="auto"/>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2"/>
          </w:tcPr>
          <w:p>
            <w:pPr>
              <w:jc w:val="right"/>
              <w:ind w:right="18"/>
              <w:spacing w:after="0" w:line="129" w:lineRule="exact"/>
              <w:rPr>
                <w:sz w:val="20"/>
                <w:szCs w:val="20"/>
                <w:color w:val="auto"/>
              </w:rPr>
            </w:pPr>
            <w:r>
              <w:rPr>
                <w:rFonts w:ascii="Times New Roman" w:cs="Times New Roman" w:eastAsia="Times New Roman" w:hAnsi="Times New Roman"/>
                <w:sz w:val="13"/>
                <w:szCs w:val="13"/>
                <w:b w:val="1"/>
                <w:bCs w:val="1"/>
                <w:color w:val="auto"/>
              </w:rPr>
              <w:t>Carry Forward Securities</w:t>
            </w:r>
          </w:p>
        </w:tc>
        <w:tc>
          <w:tcPr>
            <w:tcW w:w="9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r>
      <w:tr>
        <w:trPr>
          <w:trHeight w:val="110"/>
        </w:trPr>
        <w:tc>
          <w:tcPr>
            <w:tcW w:w="1220" w:type="dxa"/>
            <w:vAlign w:val="bottom"/>
            <w:tcBorders>
              <w:left w:val="single" w:sz="8" w:color="auto"/>
              <w:right w:val="single" w:sz="8" w:color="auto"/>
            </w:tcBorders>
          </w:tcPr>
          <w:p>
            <w:pPr>
              <w:ind w:left="20"/>
              <w:spacing w:after="0" w:line="110" w:lineRule="exact"/>
              <w:rPr>
                <w:sz w:val="20"/>
                <w:szCs w:val="20"/>
                <w:color w:val="auto"/>
              </w:rPr>
            </w:pPr>
            <w:r>
              <w:rPr>
                <w:rFonts w:ascii="Times New Roman" w:cs="Times New Roman" w:eastAsia="Times New Roman" w:hAnsi="Times New Roman"/>
                <w:sz w:val="12"/>
                <w:szCs w:val="12"/>
                <w:color w:val="auto"/>
              </w:rPr>
              <w:t>Carry</w:t>
            </w:r>
          </w:p>
        </w:tc>
        <w:tc>
          <w:tcPr>
            <w:tcW w:w="520" w:type="dxa"/>
            <w:vAlign w:val="bottom"/>
            <w:tcBorders>
              <w:right w:val="single" w:sz="8" w:color="auto"/>
            </w:tcBorders>
          </w:tcPr>
          <w:p>
            <w:pPr>
              <w:jc w:val="center"/>
              <w:ind w:right="39"/>
              <w:spacing w:after="0" w:line="110" w:lineRule="exact"/>
              <w:rPr>
                <w:sz w:val="20"/>
                <w:szCs w:val="20"/>
                <w:color w:val="auto"/>
              </w:rPr>
            </w:pPr>
            <w:r>
              <w:rPr>
                <w:rFonts w:ascii="Times New Roman" w:cs="Times New Roman" w:eastAsia="Times New Roman" w:hAnsi="Times New Roman"/>
                <w:sz w:val="12"/>
                <w:szCs w:val="12"/>
                <w:color w:val="auto"/>
              </w:rPr>
              <w:t>Equity</w:t>
            </w:r>
          </w:p>
        </w:tc>
        <w:tc>
          <w:tcPr>
            <w:tcW w:w="2260" w:type="dxa"/>
            <w:vAlign w:val="bottom"/>
            <w:tcBorders>
              <w:right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Ordinary Shares, nominal value £0.05 per</w:t>
            </w:r>
          </w:p>
        </w:tc>
        <w:tc>
          <w:tcPr>
            <w:tcW w:w="740" w:type="dxa"/>
            <w:vAlign w:val="bottom"/>
            <w:tcBorders>
              <w:right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Rule 457(p)</w:t>
            </w:r>
          </w:p>
        </w:tc>
        <w:tc>
          <w:tcPr>
            <w:tcW w:w="820" w:type="dxa"/>
            <w:vAlign w:val="bottom"/>
            <w:tcBorders>
              <w:right w:val="single" w:sz="8" w:color="auto"/>
            </w:tcBorders>
          </w:tcPr>
          <w:p>
            <w:pPr>
              <w:jc w:val="right"/>
              <w:ind w:right="119"/>
              <w:spacing w:after="0" w:line="110" w:lineRule="exact"/>
              <w:rPr>
                <w:sz w:val="20"/>
                <w:szCs w:val="20"/>
                <w:color w:val="auto"/>
              </w:rPr>
            </w:pPr>
            <w:r>
              <w:rPr>
                <w:rFonts w:ascii="Times New Roman" w:cs="Times New Roman" w:eastAsia="Times New Roman" w:hAnsi="Times New Roman"/>
                <w:sz w:val="12"/>
                <w:szCs w:val="12"/>
                <w:color w:val="auto"/>
              </w:rPr>
              <w:t>$40,555,644</w:t>
            </w:r>
          </w:p>
        </w:tc>
        <w:tc>
          <w:tcPr>
            <w:tcW w:w="840" w:type="dxa"/>
            <w:vAlign w:val="bottom"/>
            <w:tcBorders>
              <w:right w:val="single" w:sz="8" w:color="auto"/>
            </w:tcBorders>
          </w:tcPr>
          <w:p>
            <w:pPr>
              <w:jc w:val="right"/>
              <w:ind w:right="118"/>
              <w:spacing w:after="0" w:line="110" w:lineRule="exact"/>
              <w:rPr>
                <w:sz w:val="20"/>
                <w:szCs w:val="20"/>
                <w:color w:val="auto"/>
              </w:rPr>
            </w:pPr>
            <w:r>
              <w:rPr>
                <w:rFonts w:ascii="Times New Roman" w:cs="Times New Roman" w:eastAsia="Times New Roman" w:hAnsi="Times New Roman"/>
                <w:sz w:val="12"/>
                <w:szCs w:val="12"/>
                <w:color w:val="auto"/>
              </w:rPr>
              <w:t>N/A</w:t>
            </w:r>
          </w:p>
        </w:tc>
        <w:tc>
          <w:tcPr>
            <w:tcW w:w="920" w:type="dxa"/>
            <w:vAlign w:val="bottom"/>
            <w:tcBorders>
              <w:right w:val="single" w:sz="8" w:color="auto"/>
            </w:tcBorders>
          </w:tcPr>
          <w:p>
            <w:pPr>
              <w:jc w:val="right"/>
              <w:ind w:right="39"/>
              <w:spacing w:after="0" w:line="110" w:lineRule="exact"/>
              <w:rPr>
                <w:sz w:val="20"/>
                <w:szCs w:val="20"/>
                <w:color w:val="auto"/>
              </w:rPr>
            </w:pPr>
            <w:r>
              <w:rPr>
                <w:rFonts w:ascii="Times New Roman" w:cs="Times New Roman" w:eastAsia="Times New Roman" w:hAnsi="Times New Roman"/>
                <w:sz w:val="12"/>
                <w:szCs w:val="12"/>
                <w:color w:val="auto"/>
              </w:rPr>
              <w:t>$40,555,644</w:t>
            </w:r>
          </w:p>
        </w:tc>
        <w:tc>
          <w:tcPr>
            <w:tcW w:w="780" w:type="dxa"/>
            <w:vAlign w:val="bottom"/>
            <w:tcBorders>
              <w:right w:val="single" w:sz="8" w:color="auto"/>
            </w:tcBorders>
          </w:tcPr>
          <w:p>
            <w:pPr>
              <w:jc w:val="right"/>
              <w:ind w:right="119"/>
              <w:spacing w:after="0" w:line="110" w:lineRule="exact"/>
              <w:rPr>
                <w:sz w:val="20"/>
                <w:szCs w:val="20"/>
                <w:color w:val="auto"/>
              </w:rPr>
            </w:pPr>
            <w:r>
              <w:rPr>
                <w:rFonts w:ascii="Times New Roman" w:cs="Times New Roman" w:eastAsia="Times New Roman" w:hAnsi="Times New Roman"/>
                <w:sz w:val="12"/>
                <w:szCs w:val="12"/>
                <w:color w:val="auto"/>
              </w:rPr>
              <w:t>0.0001091</w:t>
            </w:r>
          </w:p>
        </w:tc>
        <w:tc>
          <w:tcPr>
            <w:tcW w:w="780" w:type="dxa"/>
            <w:vAlign w:val="bottom"/>
            <w:tcBorders>
              <w:right w:val="single" w:sz="8" w:color="auto"/>
            </w:tcBorders>
          </w:tcPr>
          <w:p>
            <w:pPr>
              <w:jc w:val="right"/>
              <w:ind w:right="58"/>
              <w:spacing w:after="0" w:line="110" w:lineRule="exact"/>
              <w:rPr>
                <w:sz w:val="20"/>
                <w:szCs w:val="20"/>
                <w:color w:val="auto"/>
              </w:rPr>
            </w:pPr>
            <w:r>
              <w:rPr>
                <w:rFonts w:ascii="Times New Roman" w:cs="Times New Roman" w:eastAsia="Times New Roman" w:hAnsi="Times New Roman"/>
                <w:sz w:val="12"/>
                <w:szCs w:val="12"/>
                <w:color w:val="auto"/>
              </w:rPr>
              <w:t>$4,424.62(5)</w:t>
            </w:r>
          </w:p>
        </w:tc>
        <w:tc>
          <w:tcPr>
            <w:tcW w:w="54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r>
      <w:tr>
        <w:trPr>
          <w:trHeight w:val="153"/>
        </w:trPr>
        <w:tc>
          <w:tcPr>
            <w:tcW w:w="1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Forward Securities</w:t>
            </w:r>
          </w:p>
        </w:tc>
        <w:tc>
          <w:tcPr>
            <w:tcW w:w="52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share(1)</w:t>
            </w:r>
          </w:p>
        </w:tc>
        <w:tc>
          <w:tcPr>
            <w:tcW w:w="7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r>
      <w:tr>
        <w:trPr>
          <w:trHeight w:val="128"/>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Offering Amounts</w:t>
            </w:r>
          </w:p>
        </w:tc>
        <w:tc>
          <w:tcPr>
            <w:tcW w:w="7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right"/>
              <w:ind w:right="19"/>
              <w:spacing w:after="0" w:line="129" w:lineRule="exact"/>
              <w:rPr>
                <w:sz w:val="20"/>
                <w:szCs w:val="20"/>
                <w:color w:val="auto"/>
              </w:rPr>
            </w:pPr>
            <w:r>
              <w:rPr>
                <w:rFonts w:ascii="Times New Roman" w:cs="Times New Roman" w:eastAsia="Times New Roman" w:hAnsi="Times New Roman"/>
                <w:sz w:val="13"/>
                <w:szCs w:val="13"/>
                <w:color w:val="auto"/>
                <w:w w:val="94"/>
              </w:rPr>
              <w:t>$200,000,000(5)</w:t>
            </w:r>
          </w:p>
        </w:tc>
        <w:tc>
          <w:tcPr>
            <w:tcW w:w="7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$22,040.00</w:t>
            </w: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r>
      <w:tr>
        <w:trPr>
          <w:trHeight w:val="128"/>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Fees Previously Paid</w:t>
            </w:r>
          </w:p>
        </w:tc>
        <w:tc>
          <w:tcPr>
            <w:tcW w:w="7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r>
      <w:tr>
        <w:trPr>
          <w:trHeight w:val="128"/>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Fee Offsets</w:t>
            </w:r>
          </w:p>
        </w:tc>
        <w:tc>
          <w:tcPr>
            <w:tcW w:w="7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$4,424.62</w:t>
            </w: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r>
      <w:tr>
        <w:trPr>
          <w:trHeight w:val="128"/>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Fee Due</w:t>
            </w:r>
          </w:p>
        </w:tc>
        <w:tc>
          <w:tcPr>
            <w:tcW w:w="7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$17,615.38</w:t>
            </w: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r>
    </w:tbl>
    <w:p>
      <w:pPr>
        <w:spacing w:after="0" w:line="197" w:lineRule="exact"/>
        <w:rPr>
          <w:sz w:val="20"/>
          <w:szCs w:val="20"/>
          <w:color w:val="auto"/>
        </w:rPr>
      </w:pPr>
    </w:p>
    <w:p>
      <w:pPr>
        <w:ind w:left="460" w:hanging="452"/>
        <w:spacing w:after="0"/>
        <w:tabs>
          <w:tab w:leader="none" w:pos="46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Ordinary shares may be represented by the registrant’s American Depositary Shares, or ADSs.</w:t>
      </w:r>
    </w:p>
    <w:p>
      <w:pPr>
        <w:ind w:left="460" w:hanging="452"/>
        <w:spacing w:after="0" w:line="234" w:lineRule="auto"/>
        <w:tabs>
          <w:tab w:leader="none" w:pos="46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unspecified number of securities or aggregate principal amount, as applicable, is being registered as may from time to time be offered at unspecified prices and, in addition, an unspecified number of additional</w:t>
      </w:r>
    </w:p>
    <w:p>
      <w:pPr>
        <w:jc w:val="both"/>
        <w:ind w:left="460"/>
        <w:spacing w:after="0" w:line="21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 Ordinary Shares, (b) Debt Securities, (c) warrants to purchase Ordinary Shares, preferred stock, or other securities of the registrant, and (d) units consisting of some or all of these securities in any combination is being registered as may be issued from time to time and upon conversion of any Debt Securities that are convertible into Ordinary Shares or pursuant to any anti-dilution adjustments with respect to any such convertible Debt Securities.</w:t>
      </w:r>
    </w:p>
    <w:p>
      <w:pPr>
        <w:spacing w:after="0" w:line="1" w:lineRule="exact"/>
        <w:rPr>
          <w:rFonts w:ascii="Times New Roman" w:cs="Times New Roman" w:eastAsia="Times New Roman" w:hAnsi="Times New Roman"/>
          <w:sz w:val="12"/>
          <w:szCs w:val="12"/>
          <w:color w:val="auto"/>
        </w:rPr>
      </w:pPr>
    </w:p>
    <w:p>
      <w:pPr>
        <w:ind w:left="460" w:hanging="452"/>
        <w:spacing w:after="0" w:line="216" w:lineRule="auto"/>
        <w:tabs>
          <w:tab w:leader="none" w:pos="46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rights to acquire Ordinary Shares under any shareholder rights plan then in effect, if applicable under the terms of any such plan.</w:t>
      </w:r>
    </w:p>
    <w:p>
      <w:pPr>
        <w:ind w:left="460" w:hanging="452"/>
        <w:spacing w:after="0" w:line="216" w:lineRule="auto"/>
        <w:tabs>
          <w:tab w:leader="none" w:pos="46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reliance on Rules 456(b) and 457(r) under the Securities Act of 1933, as amended, the registrant is deferring payment of the entire registration fee.</w:t>
      </w:r>
    </w:p>
    <w:p>
      <w:pPr>
        <w:jc w:val="both"/>
        <w:ind w:left="460" w:hanging="452"/>
        <w:spacing w:after="0" w:line="221" w:lineRule="auto"/>
        <w:tabs>
          <w:tab w:leader="none" w:pos="46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$200,000,000 of securities registered pursuant to this registration statement includes $40,555,644 of Ordinary Shares represented by ADSs, that may be issued and sold under a certain sales agreement with Jefferies LLC, or Sales Agreement. We paid a registration fee of $27,250.00 at the time a registration statement on Form S-3 (File No. 333-254530) was initially filed for $250,000,000 of securities, including $125,000,000 of Ordinary Shares represented by ADSs that may be issued and sold pursuant to the prospectus supplement included in such registration statement, or the Previous ATM Prospectus Supplement. As of the date of this registration statement, we have sold $59,444,356 pursuant to the Previous ATM Prospectus Supplement. We are registering the offer and sale of the remaining $40,555,644 that has not been sold pursuant to the Previous ATM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1)"/>
      <w:numFmt w:val="lowerLetter"/>
      <w:start w:val="1"/>
    </w:lvl>
    <w:lvl w:ilvl="1">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lvl w:ilvl="1">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lvl w:ilvl="1">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lvl w:ilvl="1">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1)"/>
      <w:numFmt w:val="decimal"/>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7">
    <w:nsid w:val="6F6DD9AC"/>
    <w:multiLevelType w:val="hybridMultilevel"/>
    <w:lvl w:ilvl="0">
      <w:lvlJc w:val="left"/>
      <w:lvlText w:val="(%1)"/>
      <w:numFmt w:val="decimal"/>
      <w:start w:val="2"/>
    </w:lvl>
  </w:abstractNum>
  <w:abstractNum w:abstractNumId="48">
    <w:nsid w:val="94211F2"/>
    <w:multiLevelType w:val="hybridMultilevel"/>
    <w:lvl w:ilvl="0">
      <w:lvlJc w:val="left"/>
      <w:lvlText w:val="(%1)"/>
      <w:numFmt w:val="decimal"/>
      <w:start w:val="5"/>
    </w:lvl>
    <w:lvl w:ilvl="1">
      <w:lvlJc w:val="left"/>
      <w:lvlText w:val="(%2)"/>
      <w:numFmt w:val="upperLetter"/>
      <w:start w:val="1"/>
    </w:lvl>
  </w:abstractNum>
  <w:abstractNum w:abstractNumId="49">
    <w:nsid w:val="885E1B"/>
    <w:multiLevelType w:val="hybridMultilevel"/>
    <w:lvl w:ilvl="0">
      <w:lvlJc w:val="left"/>
      <w:lvlText w:val="(%1)"/>
      <w:numFmt w:val="lowerRoman"/>
      <w:start w:val="1"/>
    </w:lvl>
  </w:abstractNum>
  <w:abstractNum w:abstractNumId="50">
    <w:nsid w:val="76272110"/>
    <w:multiLevelType w:val="hybridMultilevel"/>
    <w:lvl w:ilvl="0">
      <w:lvlJc w:val="left"/>
      <w:lvlText w:val="(%1)"/>
      <w:numFmt w:val="lowerLetter"/>
      <w:start w:val="2"/>
    </w:lvl>
  </w:abstractNum>
  <w:abstractNum w:abstractNumId="51">
    <w:nsid w:val="4C04A8AF"/>
    <w:multiLevelType w:val="hybridMultilevel"/>
    <w:lvl w:ilvl="0">
      <w:lvlJc w:val="left"/>
      <w:lvlText w:val="(%1)"/>
      <w:numFmt w:val="lowerLetter"/>
      <w:start w:val="8"/>
    </w:lvl>
  </w:abstractNum>
  <w:abstractNum w:abstractNumId="52">
    <w:nsid w:val="1716703B"/>
    <w:multiLevelType w:val="hybridMultilevel"/>
    <w:lvl w:ilvl="0">
      <w:lvlJc w:val="left"/>
      <w:lvlText w:val="(%1)"/>
      <w:numFmt w:val="lowerLetter"/>
      <w:start w:val="10"/>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1)"/>
      <w:numFmt w:val="lowerLetter"/>
      <w:start w:val="1"/>
    </w:lvl>
  </w:abstractNum>
  <w:abstractNum w:abstractNumId="57">
    <w:nsid w:val="2DF6D648"/>
    <w:multiLevelType w:val="hybridMultilevel"/>
    <w:lvl w:ilvl="0">
      <w:lvlJc w:val="left"/>
      <w:lvlText w:val="(%1)"/>
      <w:numFmt w:val="decimal"/>
      <w:start w:val="5"/>
    </w:lvl>
    <w:lvl w:ilvl="1">
      <w:lvlJc w:val="left"/>
      <w:lvlText w:val="(%2)"/>
      <w:numFmt w:val="lowerLetter"/>
      <w:start w:val="1"/>
    </w:lvl>
  </w:abstractNum>
  <w:abstractNum w:abstractNumId="58">
    <w:nsid w:val="46B7D447"/>
    <w:multiLevelType w:val="hybridMultilevel"/>
    <w:lvl w:ilvl="0">
      <w:lvlJc w:val="left"/>
      <w:lvlText w:val="(%1)"/>
      <w:numFmt w:val="lowerLetter"/>
      <w:start w:val="2"/>
    </w:lvl>
  </w:abstractNum>
  <w:abstractNum w:abstractNumId="59">
    <w:nsid w:val="4A2AC315"/>
    <w:multiLevelType w:val="hybridMultilevel"/>
    <w:lvl w:ilvl="0">
      <w:lvlJc w:val="left"/>
      <w:lvlText w:val="(%1)"/>
      <w:numFmt w:val="lowerLetter"/>
      <w:start w:val="3"/>
    </w:lvl>
  </w:abstractNum>
  <w:abstractNum w:abstractNumId="60">
    <w:nsid w:val="39EE015C"/>
    <w:multiLevelType w:val="hybridMultilevel"/>
    <w:lvl w:ilvl="0">
      <w:lvlJc w:val="left"/>
      <w:lvlText w:val="(%1)"/>
      <w:numFmt w:val="lowerLetter"/>
      <w:start w:val="7"/>
    </w:lvl>
  </w:abstractNum>
  <w:abstractNum w:abstractNumId="61">
    <w:nsid w:val="57FC4FBB"/>
    <w:multiLevelType w:val="hybridMultilevel"/>
    <w:lvl w:ilvl="0">
      <w:lvlJc w:val="left"/>
      <w:lvlText w:val="(%1)"/>
      <w:numFmt w:val="lowerLetter"/>
      <w:start w:val="10"/>
    </w:lvl>
  </w:abstractNum>
  <w:abstractNum w:abstractNumId="62">
    <w:nsid w:val="CC1016F"/>
    <w:multiLevelType w:val="hybridMultilevel"/>
    <w:lvl w:ilvl="0">
      <w:lvlJc w:val="left"/>
      <w:lvlText w:val="(%1)"/>
      <w:numFmt w:val="lowerLetter"/>
      <w:start w:val="13"/>
    </w:lvl>
  </w:abstractNum>
  <w:abstractNum w:abstractNumId="63">
    <w:nsid w:val="43F18422"/>
    <w:multiLevelType w:val="hybridMultilevel"/>
    <w:lvl w:ilvl="0">
      <w:lvlJc w:val="left"/>
      <w:lvlText w:val="(%1)"/>
      <w:numFmt w:val="lowerLetter"/>
      <w:start w:val="16"/>
    </w:lvl>
  </w:abstractNum>
  <w:abstractNum w:abstractNumId="64">
    <w:nsid w:val="60EF0119"/>
    <w:multiLevelType w:val="hybridMultilevel"/>
    <w:lvl w:ilvl="0">
      <w:lvlJc w:val="left"/>
      <w:lvlText w:val="(%1)"/>
      <w:numFmt w:val="lowerLetter"/>
      <w:start w:val="18"/>
    </w:lvl>
  </w:abstractNum>
  <w:abstractNum w:abstractNumId="65">
    <w:nsid w:val="26F324BA"/>
    <w:multiLevelType w:val="hybridMultilevel"/>
    <w:lvl w:ilvl="0">
      <w:lvlJc w:val="left"/>
      <w:lvlText w:val="(%1)"/>
      <w:numFmt w:val="lowerLetter"/>
      <w:start w:val="20"/>
    </w:lvl>
  </w:abstractNum>
  <w:abstractNum w:abstractNumId="66">
    <w:nsid w:val="7F01579B"/>
    <w:multiLevelType w:val="hybridMultilevel"/>
    <w:lvl w:ilvl="0">
      <w:lvlJc w:val="left"/>
      <w:lvlText w:val="(%1)"/>
      <w:numFmt w:val="lowerRoman"/>
      <w:start w:val="1"/>
    </w:lvl>
  </w:abstractNum>
  <w:abstractNum w:abstractNumId="67">
    <w:nsid w:val="49DA307D"/>
    <w:multiLevelType w:val="hybridMultilevel"/>
    <w:lvl w:ilvl="0">
      <w:lvlJc w:val="left"/>
      <w:lvlText w:val="(%1)"/>
      <w:numFmt w:val="lowerRoman"/>
      <w:start w:val="5"/>
    </w:lvl>
  </w:abstractNum>
  <w:abstractNum w:abstractNumId="68">
    <w:nsid w:val="7055A5F5"/>
    <w:multiLevelType w:val="hybridMultilevel"/>
    <w:lvl w:ilvl="0">
      <w:lvlJc w:val="left"/>
      <w:lvlText w:val="(%1)"/>
      <w:numFmt w:val="lowerRoman"/>
      <w:start w:val="11"/>
    </w:lvl>
  </w:abstractNum>
  <w:abstractNum w:abstractNumId="69">
    <w:nsid w:val="5FB8370B"/>
    <w:multiLevelType w:val="hybridMultilevel"/>
    <w:lvl w:ilvl="0">
      <w:lvlJc w:val="left"/>
      <w:lvlText w:val="(%1)"/>
      <w:numFmt w:val="lowerLetter"/>
      <w:start w:val="23"/>
    </w:lvl>
  </w:abstractNum>
  <w:abstractNum w:abstractNumId="70">
    <w:nsid w:val="50801EE1"/>
    <w:multiLevelType w:val="hybridMultilevel"/>
    <w:lvl w:ilvl="0">
      <w:lvlJc w:val="left"/>
      <w:lvlText w:val="(%1)"/>
      <w:numFmt w:val="lowerLetter"/>
      <w:start w:val="26"/>
    </w:lvl>
  </w:abstractNum>
  <w:abstractNum w:abstractNumId="71">
    <w:nsid w:val="488AC1A"/>
    <w:multiLevelType w:val="hybridMultilevel"/>
    <w:lvl w:ilvl="0">
      <w:lvlJc w:val="left"/>
      <w:lvlText w:val="(%1)"/>
      <w:numFmt w:val="lowerLetter"/>
      <w:start w:val="27"/>
    </w:lvl>
  </w:abstractNum>
  <w:abstractNum w:abstractNumId="72">
    <w:nsid w:val="5FB8011C"/>
    <w:multiLevelType w:val="hybridMultilevel"/>
    <w:lvl w:ilvl="0">
      <w:lvlJc w:val="left"/>
      <w:lvlText w:val="(%1)"/>
      <w:numFmt w:val="lowerLetter"/>
      <w:start w:val="29"/>
    </w:lvl>
  </w:abstractNum>
  <w:abstractNum w:abstractNumId="73">
    <w:nsid w:val="6AA78F7F"/>
    <w:multiLevelType w:val="hybridMultilevel"/>
    <w:lvl w:ilvl="0">
      <w:lvlJc w:val="left"/>
      <w:lvlText w:val="(%1)"/>
      <w:numFmt w:val="lowerLetter"/>
      <w:start w:val="33"/>
    </w:lvl>
  </w:abstractNum>
  <w:abstractNum w:abstractNumId="74">
    <w:nsid w:val="7672BD23"/>
    <w:multiLevelType w:val="hybridMultilevel"/>
    <w:lvl w:ilvl="0">
      <w:lvlJc w:val="left"/>
      <w:lvlText w:val="(%1)"/>
      <w:numFmt w:val="lowerLetter"/>
      <w:start w:val="37"/>
    </w:lvl>
  </w:abstractNum>
  <w:abstractNum w:abstractNumId="75">
    <w:nsid w:val="6FC75AF8"/>
    <w:multiLevelType w:val="hybridMultilevel"/>
    <w:lvl w:ilvl="0">
      <w:lvlJc w:val="left"/>
      <w:lvlText w:val="(%1)"/>
      <w:numFmt w:val="lowerLetter"/>
      <w:start w:val="41"/>
    </w:lvl>
  </w:abstractNum>
  <w:abstractNum w:abstractNumId="76">
    <w:nsid w:val="6A5F7029"/>
    <w:multiLevelType w:val="hybridMultilevel"/>
    <w:lvl w:ilvl="0">
      <w:lvlJc w:val="left"/>
      <w:lvlText w:val="(%1)"/>
      <w:numFmt w:val="lowerLetter"/>
      <w:start w:val="43"/>
    </w:lvl>
  </w:abstractNum>
  <w:abstractNum w:abstractNumId="77">
    <w:nsid w:val="7D5E18F8"/>
    <w:multiLevelType w:val="hybridMultilevel"/>
    <w:lvl w:ilvl="0">
      <w:lvlJc w:val="left"/>
      <w:lvlText w:val="(%1)"/>
      <w:numFmt w:val="lowerLetter"/>
      <w:start w:val="48"/>
    </w:lvl>
  </w:abstractNum>
  <w:abstractNum w:abstractNumId="78">
    <w:nsid w:val="5F3534A4"/>
    <w:multiLevelType w:val="hybridMultilevel"/>
    <w:lvl w:ilvl="0">
      <w:lvlJc w:val="left"/>
      <w:lvlText w:val="(%1)"/>
      <w:numFmt w:val="lowerLetter"/>
      <w:start w:val="51"/>
    </w:lvl>
  </w:abstractNum>
  <w:abstractNum w:abstractNumId="79">
    <w:nsid w:val="73A1821B"/>
    <w:multiLevelType w:val="hybridMultilevel"/>
    <w:lvl w:ilvl="0">
      <w:lvlJc w:val="left"/>
      <w:lvlText w:val="(%1)"/>
      <w:numFmt w:val="lowerLetter"/>
      <w:start w:val="53"/>
    </w:lvl>
  </w:abstractNum>
  <w:abstractNum w:abstractNumId="80">
    <w:nsid w:val="7DE67713"/>
    <w:multiLevelType w:val="hybridMultilevel"/>
    <w:lvl w:ilvl="0">
      <w:lvlJc w:val="left"/>
      <w:lvlText w:val="(%1)"/>
      <w:numFmt w:val="lowerLetter"/>
      <w:start w:val="56"/>
    </w:lvl>
  </w:abstractNum>
  <w:abstractNum w:abstractNumId="81">
    <w:nsid w:val="555C55B5"/>
    <w:multiLevelType w:val="hybridMultilevel"/>
    <w:lvl w:ilvl="0">
      <w:lvlJc w:val="left"/>
      <w:lvlText w:val="(%1)"/>
      <w:numFmt w:val="lowerLetter"/>
      <w:start w:val="1"/>
    </w:lvl>
  </w:abstractNum>
  <w:abstractNum w:abstractNumId="82">
    <w:nsid w:val="3FA62ACA"/>
    <w:multiLevelType w:val="hybridMultilevel"/>
    <w:lvl w:ilvl="0">
      <w:lvlJc w:val="left"/>
      <w:lvlText w:val="(%1)"/>
      <w:numFmt w:val="lowerLetter"/>
      <w:start w:val="3"/>
    </w:lvl>
  </w:abstractNum>
  <w:abstractNum w:abstractNumId="83">
    <w:nsid w:val="14FCE74E"/>
    <w:multiLevelType w:val="hybridMultilevel"/>
    <w:lvl w:ilvl="0">
      <w:lvlJc w:val="left"/>
      <w:lvlText w:val="%1"/>
      <w:numFmt w:val="decimal"/>
      <w:start w:val="1"/>
    </w:lvl>
    <w:lvl w:ilvl="1">
      <w:lvlJc w:val="left"/>
      <w:lvlText w:val="(%2)"/>
      <w:numFmt w:val="lowerLetter"/>
      <w:start w:val="1"/>
    </w:lvl>
  </w:abstractNum>
  <w:abstractNum w:abstractNumId="84">
    <w:nsid w:val="6A3DD3E8"/>
    <w:multiLevelType w:val="hybridMultilevel"/>
    <w:lvl w:ilvl="0">
      <w:lvlJc w:val="left"/>
      <w:lvlText w:val="(%1)"/>
      <w:numFmt w:val="decimal"/>
      <w:start w:val="1"/>
    </w:lvl>
    <w:lvl w:ilvl="1">
      <w:lvlJc w:val="left"/>
      <w:lvlText w:val="(%2)"/>
      <w:numFmt w:val="lowerLetter"/>
      <w:start w:val="2"/>
    </w:lvl>
  </w:abstractNum>
  <w:abstractNum w:abstractNumId="85">
    <w:nsid w:val="71C91298"/>
    <w:multiLevelType w:val="hybridMultilevel"/>
    <w:lvl w:ilvl="0">
      <w:lvlJc w:val="left"/>
      <w:lvlText w:val="(%1)"/>
      <w:numFmt w:val="lowerLetter"/>
      <w:start w:val="4"/>
    </w:lvl>
  </w:abstractNum>
  <w:abstractNum w:abstractNumId="86">
    <w:nsid w:val="9DAF632"/>
    <w:multiLevelType w:val="hybridMultilevel"/>
    <w:lvl w:ilvl="0">
      <w:lvlJc w:val="left"/>
      <w:lvlText w:val="(%1)"/>
      <w:numFmt w:val="lowerLetter"/>
      <w:start w:val="7"/>
    </w:lvl>
  </w:abstractNum>
  <w:abstractNum w:abstractNumId="87">
    <w:nsid w:val="53299938"/>
    <w:multiLevelType w:val="hybridMultilevel"/>
    <w:lvl w:ilvl="0">
      <w:lvlJc w:val="left"/>
      <w:lvlText w:val="%1"/>
      <w:numFmt w:val="lowerLetter"/>
      <w:start w:val="1"/>
    </w:lvl>
    <w:lvl w:ilvl="1">
      <w:lvlJc w:val="left"/>
      <w:lvlText w:val="(%2)"/>
      <w:numFmt w:val="lowerLetter"/>
      <w:start w:val="10"/>
    </w:lvl>
  </w:abstractNum>
  <w:abstractNum w:abstractNumId="88">
    <w:nsid w:val="1FBFE8E0"/>
    <w:multiLevelType w:val="hybridMultilevel"/>
    <w:lvl w:ilvl="0">
      <w:lvlJc w:val="left"/>
      <w:lvlText w:val="(%1)"/>
      <w:numFmt w:val="lowerLetter"/>
      <w:start w:val="35"/>
    </w:lvl>
    <w:lvl w:ilvl="1">
      <w:lvlJc w:val="left"/>
      <w:lvlText w:val="(%2)"/>
      <w:numFmt w:val="lowerLetter"/>
      <w:start w:val="15"/>
    </w:lvl>
  </w:abstractNum>
  <w:abstractNum w:abstractNumId="89">
    <w:nsid w:val="5092CA79"/>
    <w:multiLevelType w:val="hybridMultilevel"/>
    <w:lvl w:ilvl="0">
      <w:lvlJc w:val="left"/>
      <w:lvlText w:val="(%1)"/>
      <w:numFmt w:val="lowerLetter"/>
      <w:start w:val="16"/>
    </w:lvl>
  </w:abstractNum>
  <w:abstractNum w:abstractNumId="90">
    <w:nsid w:val="1D545C4D"/>
    <w:multiLevelType w:val="hybridMultilevel"/>
    <w:lvl w:ilvl="0">
      <w:lvlJc w:val="left"/>
      <w:lvlText w:val="(%1)"/>
      <w:numFmt w:val="lowerLetter"/>
      <w:start w:val="18"/>
    </w:lvl>
  </w:abstractNum>
  <w:abstractNum w:abstractNumId="91">
    <w:nsid w:val="59ADEA3D"/>
    <w:multiLevelType w:val="hybridMultilevel"/>
    <w:lvl w:ilvl="0">
      <w:lvlJc w:val="left"/>
      <w:lvlText w:val="%1"/>
      <w:numFmt w:val="lowerRoman"/>
      <w:start w:val="1"/>
    </w:lvl>
    <w:lvl w:ilvl="1">
      <w:lvlJc w:val="left"/>
      <w:lvlText w:val="(%2)"/>
      <w:numFmt w:val="lowerLetter"/>
      <w:start w:val="1"/>
    </w:lvl>
  </w:abstractNum>
  <w:abstractNum w:abstractNumId="92">
    <w:nsid w:val="288F1A34"/>
    <w:multiLevelType w:val="hybridMultilevel"/>
    <w:lvl w:ilvl="0">
      <w:lvlJc w:val="left"/>
      <w:lvlText w:val="(%1)"/>
      <w:numFmt w:val="lowerRoman"/>
      <w:start w:val="4"/>
    </w:lvl>
    <w:lvl w:ilvl="1">
      <w:lvlJc w:val="left"/>
      <w:lvlText w:val="%2"/>
      <w:numFmt w:val="lowerLetter"/>
      <w:start w:val="1"/>
    </w:lvl>
  </w:abstractNum>
  <w:abstractNum w:abstractNumId="93">
    <w:nsid w:val="2A155DBC"/>
    <w:multiLevelType w:val="hybridMultilevel"/>
    <w:lvl w:ilvl="0">
      <w:lvlJc w:val="left"/>
      <w:lvlText w:val="(%1)"/>
      <w:numFmt w:val="lowerLetter"/>
      <w:start w:val="1"/>
    </w:lvl>
  </w:abstractNum>
  <w:abstractNum w:abstractNumId="94">
    <w:nsid w:val="1D9F6E5F"/>
    <w:multiLevelType w:val="hybridMultilevel"/>
    <w:lvl w:ilvl="0">
      <w:lvlJc w:val="left"/>
      <w:lvlText w:val="(%1)"/>
      <w:numFmt w:val="lowerLetter"/>
      <w:start w:val="2"/>
    </w:lvl>
  </w:abstractNum>
  <w:abstractNum w:abstractNumId="95">
    <w:nsid w:val="97E1B4E"/>
    <w:multiLevelType w:val="hybridMultilevel"/>
    <w:lvl w:ilvl="0">
      <w:lvlJc w:val="left"/>
      <w:lvlText w:val="(%1)"/>
      <w:numFmt w:val="lowerLetter"/>
      <w:start w:val="4"/>
    </w:lvl>
  </w:abstractNum>
  <w:abstractNum w:abstractNumId="96">
    <w:nsid w:val="51088277"/>
    <w:multiLevelType w:val="hybridMultilevel"/>
    <w:lvl w:ilvl="0">
      <w:lvlJc w:val="left"/>
      <w:lvlText w:val="(%1)"/>
      <w:numFmt w:val="lowerLetter"/>
      <w:start w:val="1"/>
    </w:lvl>
  </w:abstractNum>
  <w:abstractNum w:abstractNumId="97">
    <w:nsid w:val="1CA0C5FA"/>
    <w:multiLevelType w:val="hybridMultilevel"/>
    <w:lvl w:ilvl="0">
      <w:lvlJc w:val="left"/>
      <w:lvlText w:val="(%1)"/>
      <w:numFmt w:val="lowerLetter"/>
      <w:start w:val="2"/>
    </w:lvl>
  </w:abstractNum>
  <w:abstractNum w:abstractNumId="98">
    <w:nsid w:val="53584BCB"/>
    <w:multiLevelType w:val="hybridMultilevel"/>
    <w:lvl w:ilvl="0">
      <w:lvlJc w:val="left"/>
      <w:lvlText w:val="(%1)"/>
      <w:numFmt w:val="lowerLetter"/>
      <w:start w:val="4"/>
    </w:lvl>
  </w:abstractNum>
  <w:abstractNum w:abstractNumId="99">
    <w:nsid w:val="415E286C"/>
    <w:multiLevelType w:val="hybridMultilevel"/>
    <w:lvl w:ilvl="0">
      <w:lvlJc w:val="left"/>
      <w:lvlText w:val="(%1)"/>
      <w:numFmt w:val="lowerLetter"/>
      <w:start w:val="1"/>
    </w:lvl>
  </w:abstractNum>
  <w:abstractNum w:abstractNumId="100">
    <w:nsid w:val="7C58FD05"/>
    <w:multiLevelType w:val="hybridMultilevel"/>
    <w:lvl w:ilvl="0">
      <w:lvlJc w:val="left"/>
      <w:lvlText w:val="(%1)"/>
      <w:numFmt w:val="lowerLetter"/>
      <w:start w:val="2"/>
    </w:lvl>
  </w:abstractNum>
  <w:abstractNum w:abstractNumId="101">
    <w:nsid w:val="23D86AAC"/>
    <w:multiLevelType w:val="hybridMultilevel"/>
    <w:lvl w:ilvl="0">
      <w:lvlJc w:val="left"/>
      <w:lvlText w:val="(%1)"/>
      <w:numFmt w:val="lowerLetter"/>
      <w:start w:val="1"/>
    </w:lvl>
  </w:abstractNum>
  <w:abstractNum w:abstractNumId="102">
    <w:nsid w:val="45E6D486"/>
    <w:multiLevelType w:val="hybridMultilevel"/>
    <w:lvl w:ilvl="0">
      <w:lvlJc w:val="left"/>
      <w:lvlText w:val="(%1)"/>
      <w:numFmt w:val="lowerLetter"/>
      <w:start w:val="3"/>
    </w:lvl>
  </w:abstractNum>
  <w:abstractNum w:abstractNumId="103">
    <w:nsid w:val="5C10FE21"/>
    <w:multiLevelType w:val="hybridMultilevel"/>
    <w:lvl w:ilvl="0">
      <w:lvlJc w:val="left"/>
      <w:lvlText w:val="(%1)"/>
      <w:numFmt w:val="lowerLetter"/>
      <w:start w:val="5"/>
    </w:lvl>
  </w:abstractNum>
  <w:abstractNum w:abstractNumId="104">
    <w:nsid w:val="E7FFA2B"/>
    <w:multiLevelType w:val="hybridMultilevel"/>
    <w:lvl w:ilvl="0">
      <w:lvlJc w:val="left"/>
      <w:lvlText w:val="(%1)"/>
      <w:numFmt w:val="lowerLetter"/>
      <w:start w:val="8"/>
    </w:lvl>
  </w:abstractNum>
  <w:abstractNum w:abstractNumId="105">
    <w:nsid w:val="3C5991AA"/>
    <w:multiLevelType w:val="hybridMultilevel"/>
    <w:lvl w:ilvl="0">
      <w:lvlJc w:val="left"/>
      <w:lvlText w:val="(%1)"/>
      <w:numFmt w:val="lowerLetter"/>
      <w:start w:val="5"/>
    </w:lvl>
  </w:abstractNum>
  <w:abstractNum w:abstractNumId="106">
    <w:nsid w:val="4BD8591A"/>
    <w:multiLevelType w:val="hybridMultilevel"/>
    <w:lvl w:ilvl="0">
      <w:lvlJc w:val="left"/>
      <w:lvlText w:val="(%1)"/>
      <w:numFmt w:val="lowerLetter"/>
      <w:start w:val="25"/>
    </w:lvl>
  </w:abstractNum>
  <w:abstractNum w:abstractNumId="107">
    <w:nsid w:val="78DF6A55"/>
    <w:multiLevelType w:val="hybridMultilevel"/>
    <w:lvl w:ilvl="0">
      <w:lvlJc w:val="left"/>
      <w:lvlText w:val="%1."/>
      <w:numFmt w:val="decimal"/>
      <w:start w:val="1"/>
    </w:lvl>
  </w:abstractNum>
  <w:abstractNum w:abstractNumId="108">
    <w:nsid w:val="39B7AAA2"/>
    <w:multiLevelType w:val="hybridMultilevel"/>
    <w:lvl w:ilvl="0">
      <w:lvlJc w:val="left"/>
      <w:lvlText w:val="(%1)"/>
      <w:numFmt w:val="lowerLetter"/>
      <w:start w:val="1"/>
    </w:lvl>
  </w:abstractNum>
  <w:abstractNum w:abstractNumId="109">
    <w:nsid w:val="2B0D8DBE"/>
    <w:multiLevelType w:val="hybridMultilevel"/>
    <w:lvl w:ilvl="0">
      <w:lvlJc w:val="left"/>
      <w:lvlText w:val="(%1)"/>
      <w:numFmt w:val="lowerLetter"/>
      <w:start w:val="1"/>
    </w:lvl>
  </w:abstractNum>
  <w:abstractNum w:abstractNumId="110">
    <w:nsid w:val="6C80EC70"/>
    <w:multiLevelType w:val="hybridMultilevel"/>
    <w:lvl w:ilvl="0">
      <w:lvlJc w:val="left"/>
      <w:lvlText w:val="(%1)"/>
      <w:numFmt w:val="lowerLetter"/>
      <w:start w:val="1"/>
    </w:lvl>
  </w:abstractNum>
  <w:abstractNum w:abstractNumId="111">
    <w:nsid w:val="379E21B5"/>
    <w:multiLevelType w:val="hybridMultilevel"/>
    <w:lvl w:ilvl="0">
      <w:lvlJc w:val="left"/>
      <w:lvlText w:val="%1."/>
      <w:numFmt w:val="decimal"/>
      <w:start w:val="2"/>
    </w:lvl>
    <w:lvl w:ilvl="1">
      <w:lvlJc w:val="left"/>
      <w:lvlText w:val="(%2)"/>
      <w:numFmt w:val="lowerLetter"/>
      <w:start w:val="1"/>
    </w:lvl>
  </w:abstractNum>
  <w:abstractNum w:abstractNumId="112">
    <w:nsid w:val="69E373"/>
    <w:multiLevelType w:val="hybridMultilevel"/>
    <w:lvl w:ilvl="0">
      <w:lvlJc w:val="left"/>
      <w:lvlText w:val="%1."/>
      <w:numFmt w:val="decimal"/>
      <w:start w:val="3"/>
    </w:lvl>
  </w:abstractNum>
  <w:abstractNum w:abstractNumId="113">
    <w:nsid w:val="2C27173B"/>
    <w:multiLevelType w:val="hybridMultilevel"/>
    <w:lvl w:ilvl="0">
      <w:lvlJc w:val="left"/>
      <w:lvlText w:val="(%1)"/>
      <w:numFmt w:val="lowerLetter"/>
      <w:start w:val="1"/>
    </w:lvl>
  </w:abstractNum>
  <w:abstractNum w:abstractNumId="114">
    <w:nsid w:val="4C9B0904"/>
    <w:multiLevelType w:val="hybridMultilevel"/>
    <w:lvl w:ilvl="0">
      <w:lvlJc w:val="left"/>
      <w:lvlText w:val="(%1)"/>
      <w:numFmt w:val="lowerLetter"/>
      <w:start w:val="16"/>
    </w:lvl>
  </w:abstractNum>
  <w:abstractNum w:abstractNumId="115">
    <w:nsid w:val="6AA7B75C"/>
    <w:multiLevelType w:val="hybridMultilevel"/>
    <w:lvl w:ilvl="0">
      <w:lvlJc w:val="left"/>
      <w:lvlText w:val="(%1)"/>
      <w:numFmt w:val="lowerLetter"/>
      <w:start w:val="23"/>
    </w:lvl>
  </w:abstractNum>
  <w:abstractNum w:abstractNumId="116">
    <w:nsid w:val="1DF029D3"/>
    <w:multiLevelType w:val="hybridMultilevel"/>
    <w:lvl w:ilvl="0">
      <w:lvlJc w:val="left"/>
      <w:lvlText w:val="(%1)"/>
      <w:numFmt w:val="lowerLetter"/>
      <w:start w:val="27"/>
    </w:lvl>
    <w:lvl w:ilvl="1">
      <w:lvlJc w:val="left"/>
      <w:lvlText w:val="(%2)"/>
      <w:numFmt w:val="lowerRoman"/>
      <w:start w:val="1"/>
    </w:lvl>
  </w:abstractNum>
  <w:abstractNum w:abstractNumId="117">
    <w:nsid w:val="5675FF36"/>
    <w:multiLevelType w:val="hybridMultilevel"/>
    <w:lvl w:ilvl="0">
      <w:lvlJc w:val="left"/>
      <w:lvlText w:val="(%1)"/>
      <w:numFmt w:val="lowerLetter"/>
      <w:start w:val="1"/>
    </w:lvl>
  </w:abstractNum>
  <w:abstractNum w:abstractNumId="118">
    <w:nsid w:val="3DD15094"/>
    <w:multiLevelType w:val="hybridMultilevel"/>
    <w:lvl w:ilvl="0">
      <w:lvlJc w:val="left"/>
      <w:lvlText w:val="%1"/>
      <w:numFmt w:val="lowerLetter"/>
      <w:start w:val="1"/>
    </w:lvl>
    <w:lvl w:ilvl="1">
      <w:lvlJc w:val="left"/>
      <w:lvlText w:val="(%2)"/>
      <w:numFmt w:val="lowerRoman"/>
      <w:start w:val="1"/>
    </w:lvl>
  </w:abstractNum>
  <w:abstractNum w:abstractNumId="119">
    <w:nsid w:val="3DB012B3"/>
    <w:multiLevelType w:val="hybridMultilevel"/>
    <w:lvl w:ilvl="0">
      <w:lvlJc w:val="left"/>
      <w:lvlText w:val="(%1)"/>
      <w:numFmt w:val="lowerLetter"/>
      <w:start w:val="3"/>
    </w:lvl>
    <w:lvl w:ilvl="1">
      <w:lvlJc w:val="left"/>
      <w:lvlText w:val="%2"/>
      <w:numFmt w:val="lowerRoman"/>
      <w:start w:val="1"/>
    </w:lvl>
  </w:abstractNum>
  <w:abstractNum w:abstractNumId="120">
    <w:nsid w:val="2708C9AF"/>
    <w:multiLevelType w:val="hybridMultilevel"/>
    <w:lvl w:ilvl="0">
      <w:lvlJc w:val="left"/>
      <w:lvlText w:val="%1."/>
      <w:numFmt w:val="decimal"/>
      <w:start w:val="1"/>
    </w:lvl>
  </w:abstractNum>
  <w:abstractNum w:abstractNumId="121">
    <w:nsid w:val="5B25ACE2"/>
    <w:multiLevelType w:val="hybridMultilevel"/>
    <w:lvl w:ilvl="0">
      <w:lvlJc w:val="left"/>
      <w:lvlText w:val="(%1)"/>
      <w:numFmt w:val="lowerRoman"/>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jpe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jpe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jpeg"/><Relationship Id="rId307" Type="http://schemas.openxmlformats.org/officeDocument/2006/relationships/image" Target="media/image295.png"/><Relationship Id="rId308" Type="http://schemas.openxmlformats.org/officeDocument/2006/relationships/image" Target="media/image296.jpe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jpeg"/><Relationship Id="rId315" Type="http://schemas.openxmlformats.org/officeDocument/2006/relationships/image" Target="media/image303.png"/><Relationship Id="rId316" Type="http://schemas.openxmlformats.org/officeDocument/2006/relationships/image" Target="media/image304.jpeg"/><Relationship Id="rId317" Type="http://schemas.openxmlformats.org/officeDocument/2006/relationships/image" Target="media/image305.png"/><Relationship Id="rId318" Type="http://schemas.openxmlformats.org/officeDocument/2006/relationships/image" Target="media/image306.jpeg"/><Relationship Id="rId319" Type="http://schemas.openxmlformats.org/officeDocument/2006/relationships/image" Target="media/image307.png"/><Relationship Id="rId320" Type="http://schemas.openxmlformats.org/officeDocument/2006/relationships/image" Target="media/image308.jpeg"/><Relationship Id="rId321" Type="http://schemas.openxmlformats.org/officeDocument/2006/relationships/image" Target="media/image309.jpeg"/><Relationship Id="rId322" Type="http://schemas.openxmlformats.org/officeDocument/2006/relationships/image" Target="media/image310.png"/><Relationship Id="rId323" Type="http://schemas.openxmlformats.org/officeDocument/2006/relationships/image" Target="media/image311.png"/><Relationship Id="rId32" Type="http://schemas.openxmlformats.org/officeDocument/2006/relationships/hyperlink" Target="https://www.sec.gov/ix?doc=/Archives/edgar/data/1657312/000165731223000006/vrna-20221231.htm" TargetMode="External"/><Relationship Id="rId33" Type="http://schemas.openxmlformats.org/officeDocument/2006/relationships/hyperlink" Target="https://www.sec.gov/Archives/edgar/data/1657312/000110465922036551/tm223622-1_def14a.htm" TargetMode="External"/><Relationship Id="rId34" Type="http://schemas.openxmlformats.org/officeDocument/2006/relationships/hyperlink" Target="https://www.sec.gov/Archives/edgar/data/1657312/000110465917024500/a16-21903_58a12b.htm" TargetMode="External"/><Relationship Id="rId137" Type="http://schemas.openxmlformats.org/officeDocument/2006/relationships/hyperlink" Target="https://www.sec.gov/Archives/edgar/data/1657312/000110465920140541/tm2039594d1_ex1.htm" TargetMode="External"/><Relationship Id="rId138" Type="http://schemas.openxmlformats.org/officeDocument/2006/relationships/hyperlink" Target="https://www.sec.gov/Archives/edgar/data/1657312/000165731218000006/exhibit21deposit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2023-03-07T17:10:31Z</dcterms:created>
  <dcterms:modified xsi:type="dcterms:W3CDTF">2023-03-07T17:10:31Z</dcterms:modified>
</cp:coreProperties>
</file>