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Hahn Mark W</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03/01/2021</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26,728</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1.1438</w:t>
            </w:r>
            <w:r>
              <w:rPr>
                <w:rFonts w:ascii="Arial" w:cs="Arial" w:eastAsia="Arial" w:hAnsi="Arial"/>
                <w:sz w:val="22"/>
                <w:szCs w:val="22"/>
                <w:color w:val="008000"/>
                <w:w w:val="93"/>
                <w:vertAlign w:val="superscript"/>
              </w:rPr>
              <w:t>(3)</w:t>
            </w:r>
          </w:p>
        </w:tc>
        <w:tc>
          <w:tcPr>
            <w:tcW w:w="122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rPr>
              <w:t>19,054,504</w:t>
            </w:r>
            <w:r>
              <w:rPr>
                <w:rFonts w:ascii="Arial" w:cs="Arial" w:eastAsia="Arial" w:hAnsi="Arial"/>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in the Form 4 was effected pursuant to a Rule 10b5-1 instruction solely with the intent to cover withholding taxes in connection with the settlement of Restricted Share Units.</w:t>
      </w:r>
    </w:p>
    <w:p>
      <w:pPr>
        <w:spacing w:after="0" w:line="61" w:lineRule="exact"/>
        <w:rPr>
          <w:rFonts w:ascii="Arial" w:cs="Arial" w:eastAsia="Arial" w:hAnsi="Arial"/>
          <w:sz w:val="12"/>
          <w:szCs w:val="12"/>
          <w:color w:val="008000"/>
        </w:rPr>
      </w:pPr>
    </w:p>
    <w:p>
      <w:pPr>
        <w:jc w:val="both"/>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and is based on the sale price of the ADSs divided by eight (8). The securities were sold in multiple transactions at per share prices ranging from $1.1212 to $1.1575. The Reporting Person undertakes to provide upon request to the SEC staff, the Issuer, or any shareholder of the Issuer, full information regarding the number of securities sold at each separate price within the range set forth in this footnote 3.</w:t>
      </w:r>
    </w:p>
    <w:p>
      <w:pPr>
        <w:spacing w:after="0" w:line="25" w:lineRule="exact"/>
        <w:rPr>
          <w:rFonts w:ascii="Arial" w:cs="Arial" w:eastAsia="Arial" w:hAnsi="Arial"/>
          <w:sz w:val="13"/>
          <w:szCs w:val="13"/>
          <w:color w:val="008000"/>
        </w:rPr>
      </w:pPr>
    </w:p>
    <w:p>
      <w:pPr>
        <w:ind w:left="40" w:right="4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(i) 18,600,512 Ordinary Shares underlying Restricted Share Units, each of which represents a contingent right to receive one (1) Ordinary Share of the Issuer (which are represented by 2,325,064 ADSs); and (ii) 453,992 Ordinary Shares underlying 56,749 ADSs.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03/03/2021</w:t>
            </w:r>
          </w:p>
        </w:tc>
        <w:tc>
          <w:tcPr>
            <w:tcW w:w="0" w:type="dxa"/>
            <w:vAlign w:val="bottom"/>
          </w:tcPr>
          <w:p>
            <w:pPr>
              <w:spacing w:after="0"/>
              <w:rPr>
                <w:sz w:val="1"/>
                <w:szCs w:val="1"/>
                <w:color w:val="auto"/>
              </w:rPr>
            </w:pPr>
          </w:p>
        </w:tc>
      </w:tr>
      <w:tr>
        <w:trPr>
          <w:trHeight w:val="87"/>
        </w:trPr>
        <w:tc>
          <w:tcPr>
            <w:tcW w:w="136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fact for Mark Hahn</w:t>
            </w:r>
          </w:p>
        </w:tc>
        <w:tc>
          <w:tcPr>
            <w:tcW w:w="7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6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0850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2021-03-03T19:06:46Z</dcterms:created>
  <dcterms:modified xsi:type="dcterms:W3CDTF">2021-03-03T19:06:46Z</dcterms:modified>
</cp:coreProperties>
</file>