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ZACCARDELLI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 xml:space="preserve">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15,263,560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the Form 4 were effected pursuant to a Rule 10b5-1 trading plan adopted by the Reporting Person on March 25,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sale price of the ADSs divided by eight (8).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7,102,720 Ordinary Shares underlying Restricted Share Units, each of which represents a contingent right to receive one (1) Ordinary Share of the Issuer (which are represented by 887,840 ADSs); and (ii) 8,160,840 Ordinary Shares underlying 1,020,105 ADSs.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Claire Poll,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David Zaccardelli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7642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2022-08-13T09:04:30Z</dcterms:created>
  <dcterms:modified xsi:type="dcterms:W3CDTF">2022-08-13T09:04:30Z</dcterms:modified>
</cp:coreProperties>
</file>