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1195070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1134745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178435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November 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Verona Pharma plc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jc w:val="center"/>
              <w:ind w:left="630"/>
              <w:spacing w:after="0"/>
              <w:rPr>
                <w:sz w:val="20"/>
                <w:szCs w:val="20"/>
                <w:color w:val="auto"/>
              </w:rPr>
            </w:pPr>
            <w:r>
              <w:rPr>
                <w:rFonts w:ascii="Arial" w:cs="Arial" w:eastAsia="Arial" w:hAnsi="Arial"/>
                <w:sz w:val="18"/>
                <w:szCs w:val="18"/>
                <w:b w:val="1"/>
                <w:bCs w:val="1"/>
                <w:color w:val="auto"/>
                <w:w w:val="92"/>
              </w:rPr>
              <w:t>United Kingdom</w:t>
            </w:r>
          </w:p>
        </w:tc>
        <w:tc>
          <w:tcPr>
            <w:tcW w:w="5300" w:type="dxa"/>
            <w:vAlign w:val="bottom"/>
          </w:tcPr>
          <w:p>
            <w:pPr>
              <w:jc w:val="center"/>
              <w:spacing w:after="0"/>
              <w:rPr>
                <w:sz w:val="20"/>
                <w:szCs w:val="20"/>
                <w:color w:val="auto"/>
              </w:rPr>
            </w:pPr>
            <w:r>
              <w:rPr>
                <w:rFonts w:ascii="Arial" w:cs="Arial" w:eastAsia="Arial" w:hAnsi="Arial"/>
                <w:sz w:val="18"/>
                <w:szCs w:val="18"/>
                <w:b w:val="1"/>
                <w:bCs w:val="1"/>
                <w:color w:val="auto"/>
                <w:w w:val="90"/>
              </w:rPr>
              <w:t>001-39067</w:t>
            </w:r>
          </w:p>
        </w:tc>
        <w:tc>
          <w:tcPr>
            <w:tcW w:w="2860" w:type="dxa"/>
            <w:vAlign w:val="bottom"/>
          </w:tcPr>
          <w:p>
            <w:pPr>
              <w:jc w:val="center"/>
              <w:ind w:right="630"/>
              <w:spacing w:after="0"/>
              <w:rPr>
                <w:sz w:val="20"/>
                <w:szCs w:val="20"/>
                <w:color w:val="auto"/>
              </w:rPr>
            </w:pPr>
            <w:r>
              <w:rPr>
                <w:rFonts w:ascii="Arial" w:cs="Arial" w:eastAsia="Arial" w:hAnsi="Arial"/>
                <w:sz w:val="18"/>
                <w:szCs w:val="18"/>
                <w:b w:val="1"/>
                <w:bCs w:val="1"/>
                <w:color w:val="auto"/>
                <w:w w:val="89"/>
              </w:rPr>
              <w:t>98-1489389</w:t>
            </w:r>
          </w:p>
        </w:tc>
      </w:tr>
      <w:tr>
        <w:trPr>
          <w:trHeight w:val="252"/>
        </w:trPr>
        <w:tc>
          <w:tcPr>
            <w:tcW w:w="3080" w:type="dxa"/>
            <w:vAlign w:val="bottom"/>
          </w:tcPr>
          <w:p>
            <w:pPr>
              <w:jc w:val="center"/>
              <w:ind w:left="630"/>
              <w:spacing w:after="0"/>
              <w:rPr>
                <w:sz w:val="20"/>
                <w:szCs w:val="20"/>
                <w:color w:val="auto"/>
              </w:rPr>
            </w:pPr>
            <w:r>
              <w:rPr>
                <w:rFonts w:ascii="Arial" w:cs="Arial" w:eastAsia="Arial" w:hAnsi="Arial"/>
                <w:sz w:val="18"/>
                <w:szCs w:val="18"/>
                <w:b w:val="1"/>
                <w:bCs w:val="1"/>
                <w:color w:val="auto"/>
                <w:w w:val="90"/>
              </w:rPr>
              <w:t>(State or other jurisdiction</w:t>
            </w:r>
          </w:p>
        </w:tc>
        <w:tc>
          <w:tcPr>
            <w:tcW w:w="5300" w:type="dxa"/>
            <w:vAlign w:val="bottom"/>
          </w:tcPr>
          <w:p>
            <w:pPr>
              <w:jc w:val="center"/>
              <w:spacing w:after="0"/>
              <w:rPr>
                <w:sz w:val="20"/>
                <w:szCs w:val="20"/>
                <w:color w:val="auto"/>
              </w:rPr>
            </w:pPr>
            <w:r>
              <w:rPr>
                <w:rFonts w:ascii="Arial" w:cs="Arial" w:eastAsia="Arial" w:hAnsi="Arial"/>
                <w:sz w:val="18"/>
                <w:szCs w:val="18"/>
                <w:b w:val="1"/>
                <w:bCs w:val="1"/>
                <w:color w:val="auto"/>
                <w:w w:val="89"/>
              </w:rPr>
              <w:t>(Commission</w:t>
            </w:r>
          </w:p>
        </w:tc>
        <w:tc>
          <w:tcPr>
            <w:tcW w:w="2860" w:type="dxa"/>
            <w:vAlign w:val="bottom"/>
          </w:tcPr>
          <w:p>
            <w:pPr>
              <w:jc w:val="center"/>
              <w:ind w:right="630"/>
              <w:spacing w:after="0"/>
              <w:rPr>
                <w:sz w:val="20"/>
                <w:szCs w:val="20"/>
                <w:color w:val="auto"/>
              </w:rPr>
            </w:pPr>
            <w:r>
              <w:rPr>
                <w:rFonts w:ascii="Arial" w:cs="Arial" w:eastAsia="Arial" w:hAnsi="Arial"/>
                <w:sz w:val="18"/>
                <w:szCs w:val="18"/>
                <w:b w:val="1"/>
                <w:bCs w:val="1"/>
                <w:color w:val="auto"/>
                <w:w w:val="95"/>
              </w:rPr>
              <w:t>(IRS Employer</w:t>
            </w:r>
          </w:p>
        </w:tc>
      </w:tr>
      <w:tr>
        <w:trPr>
          <w:trHeight w:val="234"/>
        </w:trPr>
        <w:tc>
          <w:tcPr>
            <w:tcW w:w="3080" w:type="dxa"/>
            <w:vAlign w:val="bottom"/>
          </w:tcPr>
          <w:p>
            <w:pPr>
              <w:jc w:val="center"/>
              <w:ind w:left="630"/>
              <w:spacing w:after="0"/>
              <w:rPr>
                <w:sz w:val="20"/>
                <w:szCs w:val="20"/>
                <w:color w:val="auto"/>
              </w:rPr>
            </w:pPr>
            <w:r>
              <w:rPr>
                <w:rFonts w:ascii="Arial" w:cs="Arial" w:eastAsia="Arial" w:hAnsi="Arial"/>
                <w:sz w:val="18"/>
                <w:szCs w:val="18"/>
                <w:b w:val="1"/>
                <w:bCs w:val="1"/>
                <w:color w:val="auto"/>
                <w:w w:val="91"/>
              </w:rPr>
              <w:t>of incorporation)</w:t>
            </w:r>
          </w:p>
        </w:tc>
        <w:tc>
          <w:tcPr>
            <w:tcW w:w="5300" w:type="dxa"/>
            <w:vAlign w:val="bottom"/>
          </w:tcPr>
          <w:p>
            <w:pPr>
              <w:jc w:val="center"/>
              <w:spacing w:after="0"/>
              <w:rPr>
                <w:sz w:val="20"/>
                <w:szCs w:val="20"/>
                <w:color w:val="auto"/>
              </w:rPr>
            </w:pPr>
            <w:r>
              <w:rPr>
                <w:rFonts w:ascii="Arial" w:cs="Arial" w:eastAsia="Arial" w:hAnsi="Arial"/>
                <w:sz w:val="18"/>
                <w:szCs w:val="18"/>
                <w:b w:val="1"/>
                <w:bCs w:val="1"/>
                <w:color w:val="auto"/>
                <w:w w:val="94"/>
              </w:rPr>
              <w:t>File Number)</w:t>
            </w:r>
          </w:p>
        </w:tc>
        <w:tc>
          <w:tcPr>
            <w:tcW w:w="2860" w:type="dxa"/>
            <w:vAlign w:val="bottom"/>
          </w:tcPr>
          <w:p>
            <w:pPr>
              <w:jc w:val="center"/>
              <w:ind w:right="630"/>
              <w:spacing w:after="0"/>
              <w:rPr>
                <w:sz w:val="20"/>
                <w:szCs w:val="20"/>
                <w:color w:val="auto"/>
              </w:rPr>
            </w:pPr>
            <w:r>
              <w:rPr>
                <w:rFonts w:ascii="Arial" w:cs="Arial" w:eastAsia="Arial" w:hAnsi="Arial"/>
                <w:sz w:val="18"/>
                <w:szCs w:val="18"/>
                <w:b w:val="1"/>
                <w:bCs w:val="1"/>
                <w:color w:val="auto"/>
                <w:w w:val="93"/>
              </w:rPr>
              <w:t>Identification No.)</w:t>
            </w:r>
          </w:p>
        </w:tc>
      </w:tr>
      <w:tr>
        <w:trPr>
          <w:trHeight w:val="643"/>
        </w:trPr>
        <w:tc>
          <w:tcPr>
            <w:tcW w:w="3080" w:type="dxa"/>
            <w:vAlign w:val="bottom"/>
          </w:tcPr>
          <w:p>
            <w:pPr>
              <w:spacing w:after="0"/>
              <w:rPr>
                <w:sz w:val="24"/>
                <w:szCs w:val="24"/>
                <w:color w:val="auto"/>
              </w:rPr>
            </w:pPr>
          </w:p>
        </w:tc>
        <w:tc>
          <w:tcPr>
            <w:tcW w:w="530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3 More London Riverside</w:t>
            </w:r>
          </w:p>
        </w:tc>
        <w:tc>
          <w:tcPr>
            <w:tcW w:w="2860" w:type="dxa"/>
            <w:vAlign w:val="bottom"/>
          </w:tcPr>
          <w:p>
            <w:pPr>
              <w:spacing w:after="0"/>
              <w:rPr>
                <w:sz w:val="24"/>
                <w:szCs w:val="24"/>
                <w:color w:val="auto"/>
              </w:rPr>
            </w:pPr>
          </w:p>
        </w:tc>
      </w:tr>
      <w:tr>
        <w:trPr>
          <w:trHeight w:val="216"/>
        </w:trPr>
        <w:tc>
          <w:tcPr>
            <w:tcW w:w="3080" w:type="dxa"/>
            <w:vAlign w:val="bottom"/>
          </w:tcPr>
          <w:p>
            <w:pPr>
              <w:spacing w:after="0"/>
              <w:rPr>
                <w:sz w:val="18"/>
                <w:szCs w:val="18"/>
                <w:color w:val="auto"/>
              </w:rPr>
            </w:pPr>
          </w:p>
        </w:tc>
        <w:tc>
          <w:tcPr>
            <w:tcW w:w="530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London SE1 2RE</w:t>
            </w:r>
          </w:p>
        </w:tc>
        <w:tc>
          <w:tcPr>
            <w:tcW w:w="286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530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United Kingdom</w:t>
            </w:r>
          </w:p>
        </w:tc>
        <w:tc>
          <w:tcPr>
            <w:tcW w:w="2860" w:type="dxa"/>
            <w:vAlign w:val="bottom"/>
          </w:tcPr>
          <w:p>
            <w:pPr>
              <w:spacing w:after="0"/>
              <w:rPr>
                <w:sz w:val="18"/>
                <w:szCs w:val="18"/>
                <w:color w:val="auto"/>
              </w:rPr>
            </w:pPr>
          </w:p>
        </w:tc>
      </w:tr>
      <w:tr>
        <w:trPr>
          <w:trHeight w:val="234"/>
        </w:trPr>
        <w:tc>
          <w:tcPr>
            <w:tcW w:w="3080" w:type="dxa"/>
            <w:vAlign w:val="bottom"/>
          </w:tcPr>
          <w:p>
            <w:pPr>
              <w:spacing w:after="0"/>
              <w:rPr>
                <w:sz w:val="20"/>
                <w:szCs w:val="20"/>
                <w:color w:val="auto"/>
              </w:rPr>
            </w:pPr>
          </w:p>
        </w:tc>
        <w:tc>
          <w:tcPr>
            <w:tcW w:w="53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(Address of principal executive offices) (Zip Code)</w:t>
            </w:r>
          </w:p>
        </w:tc>
        <w:tc>
          <w:tcPr>
            <w:tcW w:w="2860" w:type="dxa"/>
            <w:vAlign w:val="bottom"/>
          </w:tcPr>
          <w:p>
            <w:pPr>
              <w:spacing w:after="0"/>
              <w:rPr>
                <w:sz w:val="20"/>
                <w:szCs w:val="20"/>
                <w:color w:val="auto"/>
              </w:rPr>
            </w:pPr>
          </w:p>
        </w:tc>
      </w:tr>
      <w:tr>
        <w:trPr>
          <w:trHeight w:val="414"/>
        </w:trPr>
        <w:tc>
          <w:tcPr>
            <w:tcW w:w="3080" w:type="dxa"/>
            <w:vAlign w:val="bottom"/>
          </w:tcPr>
          <w:p>
            <w:pPr>
              <w:spacing w:after="0"/>
              <w:rPr>
                <w:sz w:val="24"/>
                <w:szCs w:val="24"/>
                <w:color w:val="auto"/>
              </w:rPr>
            </w:pPr>
          </w:p>
        </w:tc>
        <w:tc>
          <w:tcPr>
            <w:tcW w:w="530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+44 203 283 4200</w:t>
            </w:r>
          </w:p>
        </w:tc>
        <w:tc>
          <w:tcPr>
            <w:tcW w:w="2860" w:type="dxa"/>
            <w:vAlign w:val="bottom"/>
          </w:tcPr>
          <w:p>
            <w:pPr>
              <w:spacing w:after="0"/>
              <w:rPr>
                <w:sz w:val="24"/>
                <w:szCs w:val="24"/>
                <w:color w:val="auto"/>
              </w:rPr>
            </w:pPr>
          </w:p>
        </w:tc>
      </w:tr>
      <w:tr>
        <w:trPr>
          <w:trHeight w:val="234"/>
        </w:trPr>
        <w:tc>
          <w:tcPr>
            <w:tcW w:w="3080" w:type="dxa"/>
            <w:vAlign w:val="bottom"/>
          </w:tcPr>
          <w:p>
            <w:pPr>
              <w:spacing w:after="0"/>
              <w:rPr>
                <w:sz w:val="20"/>
                <w:szCs w:val="20"/>
                <w:color w:val="auto"/>
              </w:rPr>
            </w:pPr>
          </w:p>
        </w:tc>
        <w:tc>
          <w:tcPr>
            <w:tcW w:w="53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2860" w:type="dxa"/>
            <w:vAlign w:val="bottom"/>
          </w:tcPr>
          <w:p>
            <w:pPr>
              <w:spacing w:after="0"/>
              <w:rPr>
                <w:sz w:val="20"/>
                <w:szCs w:val="20"/>
                <w:color w:val="auto"/>
              </w:rPr>
            </w:pPr>
          </w:p>
        </w:tc>
      </w:tr>
      <w:tr>
        <w:trPr>
          <w:trHeight w:val="414"/>
        </w:trPr>
        <w:tc>
          <w:tcPr>
            <w:tcW w:w="3080" w:type="dxa"/>
            <w:vAlign w:val="bottom"/>
          </w:tcPr>
          <w:p>
            <w:pPr>
              <w:spacing w:after="0"/>
              <w:rPr>
                <w:sz w:val="24"/>
                <w:szCs w:val="24"/>
                <w:color w:val="auto"/>
              </w:rPr>
            </w:pPr>
          </w:p>
        </w:tc>
        <w:tc>
          <w:tcPr>
            <w:tcW w:w="5300" w:type="dxa"/>
            <w:vAlign w:val="bottom"/>
          </w:tcPr>
          <w:p>
            <w:pPr>
              <w:jc w:val="center"/>
              <w:ind w:right="130"/>
              <w:spacing w:after="0"/>
              <w:rPr>
                <w:sz w:val="20"/>
                <w:szCs w:val="20"/>
                <w:color w:val="auto"/>
              </w:rPr>
            </w:pPr>
            <w:r>
              <w:rPr>
                <w:rFonts w:ascii="Arial" w:cs="Arial" w:eastAsia="Arial" w:hAnsi="Arial"/>
                <w:sz w:val="18"/>
                <w:szCs w:val="18"/>
                <w:b w:val="1"/>
                <w:bCs w:val="1"/>
                <w:color w:val="auto"/>
              </w:rPr>
              <w:t>N/A</w:t>
            </w:r>
          </w:p>
        </w:tc>
        <w:tc>
          <w:tcPr>
            <w:tcW w:w="2860" w:type="dxa"/>
            <w:vAlign w:val="bottom"/>
          </w:tcPr>
          <w:p>
            <w:pPr>
              <w:spacing w:after="0"/>
              <w:rPr>
                <w:sz w:val="24"/>
                <w:szCs w:val="24"/>
                <w:color w:val="auto"/>
              </w:rPr>
            </w:pPr>
          </w:p>
        </w:tc>
      </w:tr>
      <w:tr>
        <w:trPr>
          <w:trHeight w:val="234"/>
        </w:trPr>
        <w:tc>
          <w:tcPr>
            <w:tcW w:w="3080" w:type="dxa"/>
            <w:vAlign w:val="bottom"/>
          </w:tcPr>
          <w:p>
            <w:pPr>
              <w:spacing w:after="0"/>
              <w:rPr>
                <w:sz w:val="20"/>
                <w:szCs w:val="20"/>
                <w:color w:val="auto"/>
              </w:rPr>
            </w:pPr>
          </w:p>
        </w:tc>
        <w:tc>
          <w:tcPr>
            <w:tcW w:w="53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(Former name or former address, if changed since last report)</w:t>
            </w:r>
          </w:p>
        </w:tc>
        <w:tc>
          <w:tcPr>
            <w:tcW w:w="2860" w:type="dxa"/>
            <w:vAlign w:val="bottom"/>
          </w:tcPr>
          <w:p>
            <w:pPr>
              <w:spacing w:after="0"/>
              <w:rPr>
                <w:sz w:val="20"/>
                <w:szCs w:val="20"/>
                <w:color w:val="auto"/>
              </w:rPr>
            </w:pPr>
          </w:p>
        </w:tc>
      </w:tr>
      <w:tr>
        <w:trPr>
          <w:trHeight w:val="243"/>
        </w:trPr>
        <w:tc>
          <w:tcPr>
            <w:tcW w:w="3080" w:type="dxa"/>
            <w:vAlign w:val="bottom"/>
            <w:tcBorders>
              <w:bottom w:val="single" w:sz="8" w:color="auto"/>
            </w:tcBorders>
          </w:tcPr>
          <w:p>
            <w:pPr>
              <w:spacing w:after="0"/>
              <w:rPr>
                <w:sz w:val="21"/>
                <w:szCs w:val="21"/>
                <w:color w:val="auto"/>
              </w:rPr>
            </w:pPr>
          </w:p>
        </w:tc>
        <w:tc>
          <w:tcPr>
            <w:tcW w:w="530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tcPr>
          <w:p>
            <w:pPr>
              <w:spacing w:after="0"/>
              <w:rPr>
                <w:sz w:val="21"/>
                <w:szCs w:val="21"/>
                <w:color w:val="auto"/>
              </w:rPr>
            </w:pPr>
          </w:p>
        </w:tc>
      </w:tr>
    </w:tbl>
    <w:p>
      <w:pPr>
        <w:spacing w:after="0" w:line="200" w:lineRule="exact"/>
        <w:rPr>
          <w:sz w:val="24"/>
          <w:szCs w:val="24"/>
          <w:color w:val="auto"/>
        </w:rPr>
      </w:pPr>
    </w:p>
    <w:p>
      <w:pPr>
        <w:spacing w:after="0" w:line="27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24" w:lineRule="exact"/>
        <w:rPr>
          <w:sz w:val="24"/>
          <w:szCs w:val="24"/>
          <w:color w:val="auto"/>
        </w:rPr>
      </w:pPr>
    </w:p>
    <w:p>
      <w:pPr>
        <w:ind w:left="940" w:hanging="469"/>
        <w:spacing w:after="0"/>
        <w:tabs>
          <w:tab w:leader="none" w:pos="9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00" w:lineRule="exact"/>
        <w:rPr>
          <w:rFonts w:ascii="MS PGothic" w:cs="MS PGothic" w:eastAsia="MS PGothic" w:hAnsi="MS PGothic"/>
          <w:sz w:val="18"/>
          <w:szCs w:val="18"/>
          <w:color w:val="auto"/>
        </w:rPr>
      </w:pPr>
    </w:p>
    <w:p>
      <w:pPr>
        <w:spacing w:after="0" w:line="295" w:lineRule="exact"/>
        <w:rPr>
          <w:rFonts w:ascii="MS PGothic" w:cs="MS PGothic" w:eastAsia="MS PGothic" w:hAnsi="MS PGothic"/>
          <w:sz w:val="18"/>
          <w:szCs w:val="18"/>
          <w:color w:val="auto"/>
        </w:rPr>
      </w:pPr>
    </w:p>
    <w:p>
      <w:pPr>
        <w:ind w:left="940" w:hanging="469"/>
        <w:spacing w:after="0"/>
        <w:tabs>
          <w:tab w:leader="none" w:pos="9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00" w:lineRule="exact"/>
        <w:rPr>
          <w:rFonts w:ascii="MS PGothic" w:cs="MS PGothic" w:eastAsia="MS PGothic" w:hAnsi="MS PGothic"/>
          <w:sz w:val="18"/>
          <w:szCs w:val="18"/>
          <w:color w:val="auto"/>
        </w:rPr>
      </w:pPr>
    </w:p>
    <w:p>
      <w:pPr>
        <w:spacing w:after="0" w:line="308" w:lineRule="exact"/>
        <w:rPr>
          <w:rFonts w:ascii="MS PGothic" w:cs="MS PGothic" w:eastAsia="MS PGothic" w:hAnsi="MS PGothic"/>
          <w:sz w:val="18"/>
          <w:szCs w:val="18"/>
          <w:color w:val="auto"/>
        </w:rPr>
      </w:pPr>
    </w:p>
    <w:p>
      <w:pPr>
        <w:ind w:left="940" w:hanging="469"/>
        <w:spacing w:after="0"/>
        <w:tabs>
          <w:tab w:leader="none" w:pos="9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00" w:lineRule="exact"/>
        <w:rPr>
          <w:rFonts w:ascii="MS PGothic" w:cs="MS PGothic" w:eastAsia="MS PGothic" w:hAnsi="MS PGothic"/>
          <w:sz w:val="18"/>
          <w:szCs w:val="18"/>
          <w:color w:val="auto"/>
        </w:rPr>
      </w:pPr>
    </w:p>
    <w:p>
      <w:pPr>
        <w:spacing w:after="0" w:line="308" w:lineRule="exact"/>
        <w:rPr>
          <w:rFonts w:ascii="MS PGothic" w:cs="MS PGothic" w:eastAsia="MS PGothic" w:hAnsi="MS PGothic"/>
          <w:sz w:val="18"/>
          <w:szCs w:val="18"/>
          <w:color w:val="auto"/>
        </w:rPr>
      </w:pPr>
    </w:p>
    <w:p>
      <w:pPr>
        <w:ind w:left="940" w:hanging="469"/>
        <w:spacing w:after="0"/>
        <w:tabs>
          <w:tab w:leader="none" w:pos="9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rFonts w:ascii="MS PGothic" w:cs="MS PGothic" w:eastAsia="MS PGothic" w:hAnsi="MS PGothic"/>
          <w:sz w:val="18"/>
          <w:szCs w:val="18"/>
          <w:color w:val="auto"/>
        </w:rPr>
      </w:pPr>
    </w:p>
    <w:p>
      <w:pPr>
        <w:spacing w:after="0" w:line="237" w:lineRule="exact"/>
        <w:rPr>
          <w:rFonts w:ascii="MS PGothic" w:cs="MS PGothic" w:eastAsia="MS PGothic" w:hAnsi="MS PGothic"/>
          <w:sz w:val="18"/>
          <w:szCs w:val="18"/>
          <w:color w:val="auto"/>
        </w:rPr>
      </w:pPr>
    </w:p>
    <w:p>
      <w:pPr>
        <w:ind w:left="34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240"/>
          </w:cols>
          <w:pgMar w:left="320" w:top="1440" w:right="339" w:bottom="299" w:gutter="0" w:footer="0" w:header="0"/>
        </w:sectPr>
      </w:pPr>
    </w:p>
    <w:bookmarkStart w:id="1" w:name="page2"/>
    <w:bookmarkEnd w:id="1"/>
    <w:tbl>
      <w:tblPr>
        <w:tblLayout w:type="fixed"/>
        <w:tblInd w:w="130" w:type="dxa"/>
        <w:tblCellMar>
          <w:top w:w="0" w:type="dxa"/>
          <w:left w:w="0" w:type="dxa"/>
          <w:bottom w:w="0" w:type="dxa"/>
          <w:right w:w="0" w:type="dxa"/>
        </w:tblCellMar>
      </w:tblPr>
      <w:tr>
        <w:trPr>
          <w:trHeight w:val="242"/>
        </w:trPr>
        <w:tc>
          <w:tcPr>
            <w:tcW w:w="39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3440" w:type="dxa"/>
            <w:vAlign w:val="bottom"/>
            <w:tcBorders>
              <w:top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Name of each exchange on which</w:t>
            </w:r>
          </w:p>
        </w:tc>
      </w:tr>
      <w:tr>
        <w:trPr>
          <w:trHeight w:val="230"/>
        </w:trPr>
        <w:tc>
          <w:tcPr>
            <w:tcW w:w="3900" w:type="dxa"/>
            <w:vAlign w:val="bottom"/>
            <w:tcBorders>
              <w:left w:val="single" w:sz="8" w:color="auto"/>
              <w:right w:val="single" w:sz="8" w:color="auto"/>
            </w:tcBorders>
          </w:tcPr>
          <w:p>
            <w:pPr>
              <w:spacing w:after="0"/>
              <w:rPr>
                <w:sz w:val="20"/>
                <w:szCs w:val="20"/>
                <w:color w:val="auto"/>
              </w:rPr>
            </w:pPr>
          </w:p>
        </w:tc>
        <w:tc>
          <w:tcPr>
            <w:tcW w:w="3780" w:type="dxa"/>
            <w:vAlign w:val="bottom"/>
            <w:tcBorders>
              <w:right w:val="single" w:sz="8" w:color="auto"/>
            </w:tcBorders>
          </w:tcPr>
          <w:p>
            <w:pPr>
              <w:spacing w:after="0"/>
              <w:rPr>
                <w:sz w:val="20"/>
                <w:szCs w:val="20"/>
                <w:color w:val="auto"/>
              </w:rPr>
            </w:pPr>
          </w:p>
        </w:tc>
        <w:tc>
          <w:tcPr>
            <w:tcW w:w="3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registered</w:t>
            </w: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r>
      <w:tr>
        <w:trPr>
          <w:trHeight w:val="222"/>
        </w:trPr>
        <w:tc>
          <w:tcPr>
            <w:tcW w:w="3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Ordinary shares, nominal value £0.05</w:t>
            </w:r>
          </w:p>
        </w:tc>
        <w:tc>
          <w:tcPr>
            <w:tcW w:w="3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VRNA</w:t>
            </w:r>
          </w:p>
        </w:tc>
        <w:tc>
          <w:tcPr>
            <w:tcW w:w="3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The Nasdaq Global Market</w:t>
            </w:r>
          </w:p>
        </w:tc>
      </w:tr>
      <w:tr>
        <w:trPr>
          <w:trHeight w:val="230"/>
        </w:trPr>
        <w:tc>
          <w:tcPr>
            <w:tcW w:w="3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per share*</w:t>
            </w:r>
          </w:p>
        </w:tc>
        <w:tc>
          <w:tcPr>
            <w:tcW w:w="3780" w:type="dxa"/>
            <w:vAlign w:val="bottom"/>
            <w:tcBorders>
              <w:right w:val="single" w:sz="8" w:color="auto"/>
            </w:tcBorders>
          </w:tcPr>
          <w:p>
            <w:pPr>
              <w:spacing w:after="0"/>
              <w:rPr>
                <w:sz w:val="20"/>
                <w:szCs w:val="20"/>
                <w:color w:val="auto"/>
              </w:rPr>
            </w:pPr>
          </w:p>
        </w:tc>
        <w:tc>
          <w:tcPr>
            <w:tcW w:w="3440" w:type="dxa"/>
            <w:vAlign w:val="bottom"/>
            <w:tcBorders>
              <w:right w:val="single" w:sz="8" w:color="auto"/>
            </w:tcBorders>
          </w:tcPr>
          <w:p>
            <w:pPr>
              <w:spacing w:after="0"/>
              <w:rPr>
                <w:sz w:val="20"/>
                <w:szCs w:val="20"/>
                <w:color w:val="auto"/>
              </w:rPr>
            </w:pP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4" w:lineRule="exact"/>
        <w:rPr>
          <w:sz w:val="20"/>
          <w:szCs w:val="20"/>
          <w:color w:val="auto"/>
        </w:rPr>
      </w:pPr>
    </w:p>
    <w:p>
      <w:pPr>
        <w:ind w:right="480" w:firstLine="8"/>
        <w:spacing w:after="0" w:line="277" w:lineRule="auto"/>
        <w:tabs>
          <w:tab w:leader="none" w:pos="135"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The ordinary shares are represented by American Depositary Shares (each representing 8 ordinary shares), which are exempt from the operation of Section 12(a) of the Securities Exchange Act of 1934, as amended, pursuant to Rule 12a-8 thereunder.</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0"/>
          <w:szCs w:val="20"/>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1209675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0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November 9, 2021, Verona Pharma plc (the “Company”) announced its financial results for the quarter ended September 30, 2021. The full text of the press release issued in connection with the announcement is furnished as Exhibit 99.1 to this Current Report on Form 8-K.</w:t>
      </w:r>
    </w:p>
    <w:p>
      <w:pPr>
        <w:spacing w:after="0" w:line="3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information contained in Item 2.02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relating to Item 2.02 shall be deemed to be furnished, and not filed:</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360"/>
        <w:spacing w:after="0"/>
        <w:tabs>
          <w:tab w:leader="none" w:pos="106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69519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51980" cy="8890"/>
                    </a:xfrm>
                    <a:prstGeom prst="rect">
                      <a:avLst/>
                    </a:prstGeom>
                    <a:noFill/>
                  </pic:spPr>
                </pic:pic>
              </a:graphicData>
            </a:graphic>
          </wp:anchor>
        </w:drawing>
      </w:r>
    </w:p>
    <w:p>
      <w:pPr>
        <w:spacing w:after="0" w:line="312" w:lineRule="exact"/>
        <w:rPr>
          <w:sz w:val="20"/>
          <w:szCs w:val="20"/>
          <w:color w:val="auto"/>
        </w:rPr>
      </w:pPr>
    </w:p>
    <w:p>
      <w:pPr>
        <w:ind w:left="320"/>
        <w:spacing w:after="0"/>
        <w:tabs>
          <w:tab w:leader="none" w:pos="1060" w:val="left"/>
        </w:tabs>
        <w:rPr>
          <w:rFonts w:ascii="Arial" w:cs="Arial" w:eastAsia="Arial" w:hAnsi="Arial"/>
          <w:sz w:val="15"/>
          <w:szCs w:val="15"/>
          <w:color w:val="auto"/>
        </w:rPr>
      </w:pPr>
      <w:hyperlink w:anchor="page5">
        <w:r>
          <w:rPr>
            <w:rFonts w:ascii="Arial" w:cs="Arial" w:eastAsia="Arial" w:hAnsi="Arial"/>
            <w:sz w:val="18"/>
            <w:szCs w:val="18"/>
            <w:color w:val="auto"/>
          </w:rPr>
          <w:t>99.1</w:t>
        </w:r>
      </w:hyperlink>
      <w:r>
        <w:rPr>
          <w:rFonts w:ascii="Arial" w:cs="Arial" w:eastAsia="Arial" w:hAnsi="Arial"/>
          <w:sz w:val="18"/>
          <w:szCs w:val="18"/>
          <w:color w:val="auto"/>
        </w:rPr>
        <w:tab/>
      </w:r>
      <w:hyperlink w:anchor="page5">
        <w:r>
          <w:rPr>
            <w:rFonts w:ascii="Arial" w:cs="Arial" w:eastAsia="Arial" w:hAnsi="Arial"/>
            <w:sz w:val="15"/>
            <w:szCs w:val="15"/>
            <w:color w:val="auto"/>
          </w:rPr>
          <w:t>Press Release issued on November 9, 2021</w:t>
        </w:r>
      </w:hyperlink>
    </w:p>
    <w:p>
      <w:pPr>
        <w:spacing w:after="0" w:line="63" w:lineRule="exact"/>
        <w:rPr>
          <w:sz w:val="20"/>
          <w:szCs w:val="20"/>
          <w:color w:val="auto"/>
        </w:rPr>
      </w:pPr>
    </w:p>
    <w:p>
      <w:pPr>
        <w:ind w:left="360"/>
        <w:spacing w:after="0"/>
        <w:tabs>
          <w:tab w:leader="none" w:pos="10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1330960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7500" w:type="dxa"/>
            <w:vAlign w:val="bottom"/>
            <w:gridSpan w:val="2"/>
          </w:tcPr>
          <w:p>
            <w:pPr>
              <w:ind w:left="1940"/>
              <w:spacing w:after="0"/>
              <w:rPr>
                <w:sz w:val="20"/>
                <w:szCs w:val="20"/>
                <w:color w:val="auto"/>
              </w:rPr>
            </w:pPr>
            <w:r>
              <w:rPr>
                <w:rFonts w:ascii="Arial" w:cs="Arial" w:eastAsia="Arial" w:hAnsi="Arial"/>
                <w:sz w:val="18"/>
                <w:szCs w:val="18"/>
                <w:b w:val="1"/>
                <w:bCs w:val="1"/>
                <w:color w:val="auto"/>
              </w:rPr>
              <w:t>VERONA PHARMA PLC</w:t>
            </w:r>
          </w:p>
        </w:tc>
        <w:tc>
          <w:tcPr>
            <w:tcW w:w="0" w:type="dxa"/>
            <w:vAlign w:val="bottom"/>
          </w:tcPr>
          <w:p>
            <w:pPr>
              <w:spacing w:after="0"/>
              <w:rPr>
                <w:sz w:val="1"/>
                <w:szCs w:val="1"/>
                <w:color w:val="auto"/>
              </w:rPr>
            </w:pPr>
          </w:p>
        </w:tc>
      </w:tr>
      <w:tr>
        <w:trPr>
          <w:trHeight w:val="540"/>
        </w:trPr>
        <w:tc>
          <w:tcPr>
            <w:tcW w:w="3720" w:type="dxa"/>
            <w:vAlign w:val="bottom"/>
          </w:tcPr>
          <w:p>
            <w:pPr>
              <w:spacing w:after="0"/>
              <w:rPr>
                <w:sz w:val="20"/>
                <w:szCs w:val="20"/>
                <w:color w:val="auto"/>
              </w:rPr>
            </w:pPr>
            <w:r>
              <w:rPr>
                <w:rFonts w:ascii="Arial" w:cs="Arial" w:eastAsia="Arial" w:hAnsi="Arial"/>
                <w:sz w:val="18"/>
                <w:szCs w:val="18"/>
                <w:color w:val="auto"/>
              </w:rPr>
              <w:t>Date: November 9, 2021</w:t>
            </w:r>
          </w:p>
        </w:tc>
        <w:tc>
          <w:tcPr>
            <w:tcW w:w="2620" w:type="dxa"/>
            <w:vAlign w:val="bottom"/>
          </w:tcPr>
          <w:p>
            <w:pPr>
              <w:ind w:left="1940"/>
              <w:spacing w:after="0"/>
              <w:rPr>
                <w:sz w:val="20"/>
                <w:szCs w:val="20"/>
                <w:color w:val="auto"/>
              </w:rPr>
            </w:pPr>
            <w:r>
              <w:rPr>
                <w:rFonts w:ascii="Arial" w:cs="Arial" w:eastAsia="Arial" w:hAnsi="Arial"/>
                <w:sz w:val="18"/>
                <w:szCs w:val="18"/>
                <w:color w:val="auto"/>
              </w:rPr>
              <w:t>By:</w:t>
            </w:r>
          </w:p>
        </w:tc>
        <w:tc>
          <w:tcPr>
            <w:tcW w:w="4880" w:type="dxa"/>
            <w:vAlign w:val="bottom"/>
          </w:tcPr>
          <w:p>
            <w:pPr>
              <w:ind w:left="60"/>
              <w:spacing w:after="0"/>
              <w:rPr>
                <w:sz w:val="20"/>
                <w:szCs w:val="20"/>
                <w:color w:val="auto"/>
              </w:rPr>
            </w:pPr>
            <w:r>
              <w:rPr>
                <w:rFonts w:ascii="Arial" w:cs="Arial" w:eastAsia="Arial" w:hAnsi="Arial"/>
                <w:sz w:val="18"/>
                <w:szCs w:val="18"/>
                <w:color w:val="auto"/>
              </w:rPr>
              <w:t>/s/ David Zaccardelli, Pharm. D.</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2620" w:type="dxa"/>
            <w:vAlign w:val="bottom"/>
            <w:vMerge w:val="restart"/>
          </w:tcPr>
          <w:p>
            <w:pPr>
              <w:ind w:left="1940"/>
              <w:spacing w:after="0"/>
              <w:rPr>
                <w:sz w:val="20"/>
                <w:szCs w:val="20"/>
                <w:color w:val="auto"/>
              </w:rPr>
            </w:pPr>
            <w:r>
              <w:rPr>
                <w:rFonts w:ascii="Arial" w:cs="Arial" w:eastAsia="Arial" w:hAnsi="Arial"/>
                <w:sz w:val="18"/>
                <w:szCs w:val="18"/>
                <w:color w:val="auto"/>
              </w:rPr>
              <w:t>Name:</w:t>
            </w:r>
          </w:p>
        </w:tc>
        <w:tc>
          <w:tcPr>
            <w:tcW w:w="4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20" w:type="dxa"/>
            <w:vAlign w:val="bottom"/>
          </w:tcPr>
          <w:p>
            <w:pPr>
              <w:spacing w:after="0"/>
              <w:rPr>
                <w:sz w:val="20"/>
                <w:szCs w:val="20"/>
                <w:color w:val="auto"/>
              </w:rPr>
            </w:pPr>
          </w:p>
        </w:tc>
        <w:tc>
          <w:tcPr>
            <w:tcW w:w="2620" w:type="dxa"/>
            <w:vAlign w:val="bottom"/>
            <w:vMerge w:val="continue"/>
          </w:tcPr>
          <w:p>
            <w:pPr>
              <w:spacing w:after="0"/>
              <w:rPr>
                <w:sz w:val="20"/>
                <w:szCs w:val="20"/>
                <w:color w:val="auto"/>
              </w:rPr>
            </w:pPr>
          </w:p>
        </w:tc>
        <w:tc>
          <w:tcPr>
            <w:tcW w:w="4880" w:type="dxa"/>
            <w:vAlign w:val="bottom"/>
          </w:tcPr>
          <w:p>
            <w:pPr>
              <w:ind w:left="60"/>
              <w:spacing w:after="0"/>
              <w:rPr>
                <w:sz w:val="20"/>
                <w:szCs w:val="20"/>
                <w:color w:val="auto"/>
              </w:rPr>
            </w:pPr>
            <w:r>
              <w:rPr>
                <w:rFonts w:ascii="Arial" w:cs="Arial" w:eastAsia="Arial" w:hAnsi="Arial"/>
                <w:sz w:val="18"/>
                <w:szCs w:val="18"/>
                <w:color w:val="auto"/>
              </w:rPr>
              <w:t>David Zaccardelli, Pharm. D.</w:t>
            </w:r>
          </w:p>
        </w:tc>
        <w:tc>
          <w:tcPr>
            <w:tcW w:w="0" w:type="dxa"/>
            <w:vAlign w:val="bottom"/>
          </w:tcPr>
          <w:p>
            <w:pPr>
              <w:spacing w:after="0"/>
              <w:rPr>
                <w:sz w:val="1"/>
                <w:szCs w:val="1"/>
                <w:color w:val="auto"/>
              </w:rPr>
            </w:pPr>
          </w:p>
        </w:tc>
      </w:tr>
      <w:tr>
        <w:trPr>
          <w:trHeight w:val="270"/>
        </w:trPr>
        <w:tc>
          <w:tcPr>
            <w:tcW w:w="3720" w:type="dxa"/>
            <w:vAlign w:val="bottom"/>
          </w:tcPr>
          <w:p>
            <w:pPr>
              <w:spacing w:after="0"/>
              <w:rPr>
                <w:sz w:val="23"/>
                <w:szCs w:val="23"/>
                <w:color w:val="auto"/>
              </w:rPr>
            </w:pPr>
          </w:p>
        </w:tc>
        <w:tc>
          <w:tcPr>
            <w:tcW w:w="2620" w:type="dxa"/>
            <w:vAlign w:val="bottom"/>
          </w:tcPr>
          <w:p>
            <w:pPr>
              <w:ind w:left="1940"/>
              <w:spacing w:after="0"/>
              <w:rPr>
                <w:sz w:val="20"/>
                <w:szCs w:val="20"/>
                <w:color w:val="auto"/>
              </w:rPr>
            </w:pPr>
            <w:r>
              <w:rPr>
                <w:rFonts w:ascii="Arial" w:cs="Arial" w:eastAsia="Arial" w:hAnsi="Arial"/>
                <w:sz w:val="18"/>
                <w:szCs w:val="18"/>
                <w:color w:val="auto"/>
              </w:rPr>
              <w:t>Title:</w:t>
            </w:r>
          </w:p>
        </w:tc>
        <w:tc>
          <w:tcPr>
            <w:tcW w:w="4880" w:type="dxa"/>
            <w:vAlign w:val="bottom"/>
          </w:tcPr>
          <w:p>
            <w:pPr>
              <w:ind w:left="60"/>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17"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739900" cy="8489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739900"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Verona Pharma Reports Third Quarter 2021 Financial Results and Provides Corporate Update</w:t>
      </w:r>
    </w:p>
    <w:p>
      <w:pPr>
        <w:spacing w:after="0" w:line="201" w:lineRule="exact"/>
        <w:rPr>
          <w:sz w:val="20"/>
          <w:szCs w:val="20"/>
          <w:color w:val="auto"/>
        </w:rPr>
      </w:pPr>
    </w:p>
    <w:p>
      <w:pPr>
        <w:jc w:val="center"/>
        <w:ind w:right="60"/>
        <w:spacing w:after="0"/>
        <w:rPr>
          <w:sz w:val="20"/>
          <w:szCs w:val="20"/>
          <w:color w:val="auto"/>
        </w:rPr>
      </w:pPr>
      <w:r>
        <w:rPr>
          <w:rFonts w:ascii="Arial" w:cs="Arial" w:eastAsia="Arial" w:hAnsi="Arial"/>
          <w:sz w:val="22"/>
          <w:szCs w:val="22"/>
          <w:i w:val="1"/>
          <w:iCs w:val="1"/>
          <w:color w:val="auto"/>
        </w:rPr>
        <w:t>Enrollment in ENHANCE-1 48-week subset and ENHANCE-2</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expected to complete around year-end 2021</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ENHANCE Phase 3 program on track to report top-line data in 2022</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Conference call today at 9:00 a.m. EST / 2:00 p.m. GMT</w:t>
      </w:r>
    </w:p>
    <w:p>
      <w:pPr>
        <w:spacing w:after="0" w:line="200" w:lineRule="exact"/>
        <w:rPr>
          <w:sz w:val="20"/>
          <w:szCs w:val="20"/>
          <w:color w:val="auto"/>
        </w:rPr>
      </w:pPr>
    </w:p>
    <w:p>
      <w:pPr>
        <w:spacing w:after="0" w:line="250" w:lineRule="exact"/>
        <w:rPr>
          <w:sz w:val="20"/>
          <w:szCs w:val="20"/>
          <w:color w:val="auto"/>
        </w:rPr>
      </w:pPr>
    </w:p>
    <w:p>
      <w:pPr>
        <w:jc w:val="both"/>
        <w:spacing w:after="0" w:line="241" w:lineRule="auto"/>
        <w:rPr>
          <w:sz w:val="20"/>
          <w:szCs w:val="20"/>
          <w:color w:val="auto"/>
        </w:rPr>
      </w:pPr>
      <w:r>
        <w:rPr>
          <w:rFonts w:ascii="Arial" w:cs="Arial" w:eastAsia="Arial" w:hAnsi="Arial"/>
          <w:sz w:val="20"/>
          <w:szCs w:val="20"/>
          <w:b w:val="1"/>
          <w:bCs w:val="1"/>
          <w:color w:val="auto"/>
        </w:rPr>
        <w:t xml:space="preserve">LONDON and RALEIGH, N.C., November 9, 2021 </w:t>
      </w:r>
      <w:r>
        <w:rPr>
          <w:rFonts w:ascii="Arial" w:cs="Arial" w:eastAsia="Arial" w:hAnsi="Arial"/>
          <w:sz w:val="20"/>
          <w:szCs w:val="20"/>
          <w:color w:val="auto"/>
        </w:rPr>
        <w:t>– Verona Pharma plc (Nasdaq: VRNA) (“Verona Pharma” or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a clinical-stage biopharmaceutical company focused on respiratory diseases, announces its financial results for the three months ended September 30, 2021, and provides a corporate update.</w:t>
      </w:r>
    </w:p>
    <w:p>
      <w:pPr>
        <w:spacing w:after="0" w:line="87"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“During the third quarter, we continued to make substantial progress on patient recruitment in our Phase 3 ENHANCE (“Ensifentrine as a Novel inHAled Nebulized COPD thErapy”) clinical program,” said David Zaccardelli, Pharm. D., President and Chief Executive Officer. “We are excited to report patient enrollment is nearing completion and expect that by the end of November both the 800 patient ENHANCE-2 trial and the 400 patient 48-week subset of the ENHANCE-1 trial will be approximately 95% enrolled.</w:t>
      </w:r>
    </w:p>
    <w:p>
      <w:pPr>
        <w:spacing w:after="0" w:line="91"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“We are pleased with our ability to advance recruitment in these international, multi-site clinical trials during a global pandemic. Although the pace of enrollment is expected to slow due to the approaching holiday season and the continued effects of the COVID-19 pandemic, we still expect to complete enrollment in ENHANCE-2 and the 48-week subset of ENHANCE-1 around year-end 2021. We expect to report top-line data from ENHANCE-2 mid-year 2022 and from ENHANCE-1 around the end of 2022.”</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Program Updates and Key Milestones</w:t>
      </w:r>
    </w:p>
    <w:p>
      <w:pPr>
        <w:spacing w:after="0" w:line="145"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As of November 8, 2021, ENHANCE-2 had approximately 90% of patients randomized into the study. Including those patients currently entered in the run-in period, we expect ENHANCE-2 to be approximately 95% enrolled by the end of November 2021.</w:t>
      </w:r>
    </w:p>
    <w:p>
      <w:pPr>
        <w:spacing w:after="0" w:line="128"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The 48-week subset of ENHANCE-1 is a critical driver of delivering top-line data. As of November 8, 2021, this subset had approximately 95% of patients randomized into the study.</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color w:val="auto"/>
        </w:rPr>
        <w:t>The Company’s near-term milestones include:</w:t>
      </w:r>
    </w:p>
    <w:p>
      <w:pPr>
        <w:spacing w:after="0" w:line="94" w:lineRule="exact"/>
        <w:rPr>
          <w:sz w:val="20"/>
          <w:szCs w:val="20"/>
          <w:color w:val="auto"/>
        </w:rPr>
      </w:pPr>
    </w:p>
    <w:p>
      <w:pPr>
        <w:jc w:val="both"/>
        <w:ind w:left="660" w:hanging="328"/>
        <w:spacing w:after="0" w:line="229"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In mid-November, Ms. Caroline Diaz will join Verona Pharma as Senior Vice President of Regulatory Affairs, bringing more than 18 years of experience in both large and small pharmaceutical companies across key regions. Ms. Diaz has served at ReViral as Vice President, Regulatory Affairs, and, previously, as Vice President, Regulatory and Quality at Dova Pharmaceuticals where she built the regulatory function from the ground up and led regulatory strategy development and implementation efforts resulting in the first marketing approvals for the company.</w:t>
      </w:r>
    </w:p>
    <w:p>
      <w:pPr>
        <w:spacing w:after="0" w:line="90" w:lineRule="exact"/>
        <w:rPr>
          <w:rFonts w:ascii="Arial" w:cs="Arial" w:eastAsia="Arial" w:hAnsi="Arial"/>
          <w:sz w:val="20"/>
          <w:szCs w:val="20"/>
          <w:color w:val="auto"/>
        </w:rPr>
      </w:pPr>
    </w:p>
    <w:p>
      <w:pPr>
        <w:jc w:val="both"/>
        <w:ind w:left="660" w:hanging="328"/>
        <w:spacing w:after="0" w:line="232"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In December 2021, the Company expects to report results from a 32-patient thorough QT study to evaluate the effect of ensifentrine on measures of cardiac conduction, which the Company is carrying out in support of a potential NDA submission.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240"/>
          </w:cols>
          <w:pgMar w:left="320" w:top="1440" w:right="339" w:bottom="1440" w:gutter="0" w:footer="0" w:header="0"/>
        </w:sectPr>
      </w:pPr>
    </w:p>
    <w:bookmarkStart w:id="5" w:name="page6"/>
    <w:bookmarkEnd w:id="5"/>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Based on our current models of forecasted recruitment and study progress the Company expects:</w:t>
      </w:r>
    </w:p>
    <w:p>
      <w:pPr>
        <w:spacing w:after="0" w:line="40" w:lineRule="exact"/>
        <w:rPr>
          <w:rFonts w:ascii="Arial" w:cs="Arial" w:eastAsia="Arial" w:hAnsi="Arial"/>
          <w:sz w:val="20"/>
          <w:szCs w:val="20"/>
          <w:color w:val="auto"/>
        </w:rPr>
      </w:pPr>
    </w:p>
    <w:p>
      <w:pPr>
        <w:ind w:left="980" w:hanging="324"/>
        <w:spacing w:after="0" w:line="223" w:lineRule="auto"/>
        <w:tabs>
          <w:tab w:leader="none" w:pos="977" w:val="left"/>
        </w:tabs>
        <w:numPr>
          <w:ilvl w:val="1"/>
          <w:numId w:val="4"/>
        </w:numPr>
        <w:rPr>
          <w:rFonts w:ascii="Courier New" w:cs="Courier New" w:eastAsia="Courier New" w:hAnsi="Courier New"/>
          <w:sz w:val="20"/>
          <w:szCs w:val="20"/>
          <w:color w:val="auto"/>
        </w:rPr>
      </w:pPr>
      <w:r>
        <w:rPr>
          <w:rFonts w:ascii="Arial" w:cs="Arial" w:eastAsia="Arial" w:hAnsi="Arial"/>
          <w:sz w:val="20"/>
          <w:szCs w:val="20"/>
          <w:color w:val="auto"/>
        </w:rPr>
        <w:t>Enrollment of ENHANCE-2 and the 48-week subset of ENHANCE-1 to complete around year-end 2021. Enrollment in the full ENHANCE-1 trial is expected to complete in the second quarter of 2022.</w:t>
      </w:r>
    </w:p>
    <w:p>
      <w:pPr>
        <w:spacing w:after="0" w:line="1" w:lineRule="exact"/>
        <w:rPr>
          <w:rFonts w:ascii="Courier New" w:cs="Courier New" w:eastAsia="Courier New" w:hAnsi="Courier New"/>
          <w:sz w:val="20"/>
          <w:szCs w:val="20"/>
          <w:color w:val="auto"/>
        </w:rPr>
      </w:pPr>
    </w:p>
    <w:p>
      <w:pPr>
        <w:ind w:left="980" w:hanging="324"/>
        <w:spacing w:after="0" w:line="222" w:lineRule="auto"/>
        <w:tabs>
          <w:tab w:leader="none" w:pos="980" w:val="left"/>
        </w:tabs>
        <w:numPr>
          <w:ilvl w:val="1"/>
          <w:numId w:val="4"/>
        </w:numPr>
        <w:rPr>
          <w:rFonts w:ascii="Courier New" w:cs="Courier New" w:eastAsia="Courier New" w:hAnsi="Courier New"/>
          <w:sz w:val="20"/>
          <w:szCs w:val="20"/>
          <w:color w:val="auto"/>
        </w:rPr>
      </w:pPr>
      <w:r>
        <w:rPr>
          <w:rFonts w:ascii="Arial" w:cs="Arial" w:eastAsia="Arial" w:hAnsi="Arial"/>
          <w:sz w:val="20"/>
          <w:szCs w:val="20"/>
          <w:color w:val="auto"/>
        </w:rPr>
        <w:t>Top-line data for ENHANCE-2 mid-year 2022 and for ENHANCE-1 around the end of 2022.</w:t>
      </w:r>
    </w:p>
    <w:p>
      <w:pPr>
        <w:jc w:val="both"/>
        <w:ind w:left="980" w:hanging="324"/>
        <w:spacing w:after="0" w:line="230" w:lineRule="auto"/>
        <w:tabs>
          <w:tab w:leader="none" w:pos="977" w:val="left"/>
        </w:tabs>
        <w:numPr>
          <w:ilvl w:val="1"/>
          <w:numId w:val="4"/>
        </w:numPr>
        <w:rPr>
          <w:rFonts w:ascii="Courier New" w:cs="Courier New" w:eastAsia="Courier New" w:hAnsi="Courier New"/>
          <w:sz w:val="20"/>
          <w:szCs w:val="20"/>
          <w:color w:val="auto"/>
        </w:rPr>
      </w:pPr>
      <w:r>
        <w:rPr>
          <w:rFonts w:ascii="Arial" w:cs="Arial" w:eastAsia="Arial" w:hAnsi="Arial"/>
          <w:sz w:val="20"/>
          <w:szCs w:val="20"/>
          <w:color w:val="auto"/>
        </w:rPr>
        <w:t>Should COVID-19 related challenges increase further, our models predict top-line data for ENHANCE-2 would be expected in the third quarter of 2022 and for ENHANCE-1 in the first quarter of 2023. With the COVID-19 pandemic and government and other measures continuing to impact a number of clinical trial activities, including contractor staffing issues and disruptions to supply chains globally, the Company continues to closely monitor these timelines.</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232323"/>
        </w:rPr>
        <w:t>Third Quarter and Recent Highlights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Clinical</w:t>
      </w:r>
    </w:p>
    <w:p>
      <w:pPr>
        <w:spacing w:after="0" w:line="118" w:lineRule="exact"/>
        <w:rPr>
          <w:sz w:val="20"/>
          <w:szCs w:val="20"/>
          <w:color w:val="auto"/>
        </w:rPr>
      </w:pPr>
    </w:p>
    <w:p>
      <w:pPr>
        <w:jc w:val="both"/>
        <w:ind w:left="660" w:hanging="328"/>
        <w:spacing w:after="0" w:line="241" w:lineRule="auto"/>
        <w:tabs>
          <w:tab w:leader="none" w:pos="648" w:val="left"/>
        </w:tabs>
        <w:numPr>
          <w:ilvl w:val="0"/>
          <w:numId w:val="5"/>
        </w:numPr>
        <w:rPr>
          <w:rFonts w:ascii="Arial" w:cs="Arial" w:eastAsia="Arial" w:hAnsi="Arial"/>
          <w:sz w:val="19"/>
          <w:szCs w:val="19"/>
          <w:color w:val="auto"/>
        </w:rPr>
      </w:pPr>
      <w:r>
        <w:rPr>
          <w:rFonts w:ascii="Arial" w:cs="Arial" w:eastAsia="Arial" w:hAnsi="Arial"/>
          <w:sz w:val="19"/>
          <w:szCs w:val="19"/>
          <w:color w:val="auto"/>
        </w:rPr>
        <w:t>In October 2021, the Company presented Phase 2 data demonstrating the positive effect of a pressurized metered-dose inhaler (“pMDI”) formulation of ensifentrine in COPD at the CHEST Annual Meeting 2021. Data from Part B of the two-part study, first reported in February 2021, showed ensifentrine delivered by pMDI over one week provided statistically significant, clinically meaningful and dose-dependent improvements in lung function and was well tolerated. The data with delivery via pMDI are consistent with results for dry powder inhaler (“DPI”) and nebulizer formulations of ensifentrine and underline the suitability of ensifentrine for delivery to the lung via all three primary inhalation delivery platforms.</w:t>
      </w:r>
    </w:p>
    <w:p>
      <w:pPr>
        <w:spacing w:after="0" w:line="87" w:lineRule="exact"/>
        <w:rPr>
          <w:rFonts w:ascii="Arial" w:cs="Arial" w:eastAsia="Arial" w:hAnsi="Arial"/>
          <w:sz w:val="19"/>
          <w:szCs w:val="19"/>
          <w:color w:val="auto"/>
        </w:rPr>
      </w:pPr>
    </w:p>
    <w:p>
      <w:pPr>
        <w:jc w:val="both"/>
        <w:ind w:left="660" w:hanging="328"/>
        <w:spacing w:after="0" w:line="229"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In September 2021, the Company presented an abstract describing the results of a Phase 1 study assessing the effect of CYP2C9 inhibitor, fluconazole, on the pharmacokinetics of ensifentrine in healthy individuals at the European Respiratory Society International Congress (“ERS”) 2021. Ensifentrine is primarily metabolized via the hepatic route by the cytochrome P450 enzyme, CYP2C9. Results from the study demonstrated co-administration of fluconazole had a less than 2-fold, not clinically relevant, effect on pharmacokinetic measures of the maximum concentration and area under the curve for ensifentrine.</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2021 Financial Results</w:t>
      </w:r>
    </w:p>
    <w:p>
      <w:pPr>
        <w:spacing w:after="0" w:line="94" w:lineRule="exact"/>
        <w:rPr>
          <w:sz w:val="20"/>
          <w:szCs w:val="20"/>
          <w:color w:val="auto"/>
        </w:rPr>
      </w:pPr>
    </w:p>
    <w:p>
      <w:pPr>
        <w:jc w:val="both"/>
        <w:ind w:left="660" w:hanging="328"/>
        <w:spacing w:after="0" w:line="234"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20"/>
          <w:szCs w:val="20"/>
          <w:b w:val="1"/>
          <w:bCs w:val="1"/>
          <w:color w:val="auto"/>
        </w:rPr>
        <w:t xml:space="preserve">Cash position: </w:t>
      </w:r>
      <w:r>
        <w:rPr>
          <w:rFonts w:ascii="Arial" w:cs="Arial" w:eastAsia="Arial" w:hAnsi="Arial"/>
          <w:sz w:val="20"/>
          <w:szCs w:val="20"/>
          <w:color w:val="auto"/>
        </w:rPr>
        <w:t>Cash and cash equivalents at September 30, 2021, were $166.5 million (June 30, 2021: $146.0 million).</w:t>
      </w:r>
      <w:r>
        <w:rPr>
          <w:rFonts w:ascii="Arial" w:cs="Arial" w:eastAsia="Arial" w:hAnsi="Arial"/>
          <w:sz w:val="20"/>
          <w:szCs w:val="20"/>
          <w:b w:val="1"/>
          <w:bCs w:val="1"/>
          <w:color w:val="auto"/>
        </w:rPr>
        <w:t xml:space="preserve"> </w:t>
      </w:r>
      <w:r>
        <w:rPr>
          <w:rFonts w:ascii="Arial" w:cs="Arial" w:eastAsia="Arial" w:hAnsi="Arial"/>
          <w:sz w:val="20"/>
          <w:szCs w:val="20"/>
          <w:color w:val="auto"/>
        </w:rPr>
        <w:t>We believe our cash and cash equivalents at September 30, 2021, expected cash receipts from the U.K. tax credit program and funding expected to become available under the $30.0 million debt financing facility secured in November 2020, will enable us to fund our planned operating expenses and capital expenditure requirements through at least the end of 2023.</w:t>
      </w:r>
    </w:p>
    <w:p>
      <w:pPr>
        <w:spacing w:after="0" w:line="66" w:lineRule="exact"/>
        <w:rPr>
          <w:rFonts w:ascii="Arial" w:cs="Arial" w:eastAsia="Arial" w:hAnsi="Arial"/>
          <w:sz w:val="18"/>
          <w:szCs w:val="18"/>
          <w:color w:val="auto"/>
        </w:rPr>
      </w:pPr>
    </w:p>
    <w:p>
      <w:pPr>
        <w:jc w:val="both"/>
        <w:ind w:left="660" w:hanging="331"/>
        <w:spacing w:after="0" w:line="241" w:lineRule="auto"/>
        <w:tabs>
          <w:tab w:leader="none" w:pos="658" w:val="left"/>
        </w:tabs>
        <w:numPr>
          <w:ilvl w:val="0"/>
          <w:numId w:val="6"/>
        </w:numPr>
        <w:rPr>
          <w:rFonts w:ascii="Arial" w:cs="Arial" w:eastAsia="Arial" w:hAnsi="Arial"/>
          <w:sz w:val="18"/>
          <w:szCs w:val="18"/>
          <w:color w:val="auto"/>
        </w:rPr>
      </w:pPr>
      <w:r>
        <w:rPr>
          <w:rFonts w:ascii="Arial" w:cs="Arial" w:eastAsia="Arial" w:hAnsi="Arial"/>
          <w:sz w:val="20"/>
          <w:szCs w:val="20"/>
          <w:b w:val="1"/>
          <w:bCs w:val="1"/>
          <w:color w:val="auto"/>
        </w:rPr>
        <w:t xml:space="preserve">Revenue: </w:t>
      </w:r>
      <w:r>
        <w:rPr>
          <w:rFonts w:ascii="Arial" w:cs="Arial" w:eastAsia="Arial" w:hAnsi="Arial"/>
          <w:sz w:val="20"/>
          <w:szCs w:val="20"/>
          <w:color w:val="auto"/>
        </w:rPr>
        <w:t>Revenue for the third quarter ended September 30, 2021, was $40.0 million (Q3 2020: $nil). This revenue was</w:t>
      </w:r>
      <w:r>
        <w:rPr>
          <w:rFonts w:ascii="Arial" w:cs="Arial" w:eastAsia="Arial" w:hAnsi="Arial"/>
          <w:sz w:val="20"/>
          <w:szCs w:val="20"/>
          <w:b w:val="1"/>
          <w:bCs w:val="1"/>
          <w:color w:val="auto"/>
        </w:rPr>
        <w:t xml:space="preserve"> </w:t>
      </w:r>
      <w:r>
        <w:rPr>
          <w:rFonts w:ascii="Arial" w:cs="Arial" w:eastAsia="Arial" w:hAnsi="Arial"/>
          <w:sz w:val="20"/>
          <w:szCs w:val="20"/>
          <w:color w:val="auto"/>
        </w:rPr>
        <w:t>recognized from our agreement with Nuance Pharma for the development and commercialization of ensifentrine in Greater China (the “Nuance Agreement”).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20"/>
          <w:szCs w:val="20"/>
          <w:b w:val="1"/>
          <w:bCs w:val="1"/>
          <w:color w:val="auto"/>
        </w:rPr>
        <w:t xml:space="preserve">R&amp;D Expenses: </w:t>
      </w:r>
      <w:r>
        <w:rPr>
          <w:rFonts w:ascii="Arial" w:cs="Arial" w:eastAsia="Arial" w:hAnsi="Arial"/>
          <w:sz w:val="20"/>
          <w:szCs w:val="20"/>
          <w:color w:val="auto"/>
        </w:rPr>
        <w:t>Research and development (“R&amp;D”) expenses were $22.6 million for the third quarter ended</w:t>
      </w:r>
    </w:p>
    <w:p>
      <w:pPr>
        <w:spacing w:after="0" w:line="10" w:lineRule="exact"/>
        <w:rPr>
          <w:rFonts w:ascii="Arial" w:cs="Arial" w:eastAsia="Arial" w:hAnsi="Arial"/>
          <w:sz w:val="18"/>
          <w:szCs w:val="18"/>
          <w:color w:val="auto"/>
        </w:rPr>
      </w:pPr>
    </w:p>
    <w:p>
      <w:pPr>
        <w:ind w:left="660" w:right="20"/>
        <w:spacing w:after="0" w:line="236" w:lineRule="auto"/>
        <w:rPr>
          <w:rFonts w:ascii="Arial" w:cs="Arial" w:eastAsia="Arial" w:hAnsi="Arial"/>
          <w:sz w:val="18"/>
          <w:szCs w:val="18"/>
          <w:color w:val="auto"/>
        </w:rPr>
      </w:pPr>
      <w:r>
        <w:rPr>
          <w:rFonts w:ascii="Arial" w:cs="Arial" w:eastAsia="Arial" w:hAnsi="Arial"/>
          <w:sz w:val="20"/>
          <w:szCs w:val="20"/>
          <w:color w:val="auto"/>
        </w:rPr>
        <w:t>September 30, 2021 (Q3 2020: R&amp;D expenses $12.8 million). The increase of $9.8 million was primarily due to costs associated with the Phase 3 ENHANCE program partially offset by a reduction in share-based compensation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240"/>
          </w:cols>
          <w:pgMar w:left="320" w:top="1432" w:right="339" w:bottom="1440" w:gutter="0" w:footer="0" w:header="0"/>
        </w:sectPr>
      </w:pPr>
    </w:p>
    <w:bookmarkStart w:id="6" w:name="page7"/>
    <w:bookmarkEnd w:id="6"/>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9"/>
          <w:szCs w:val="19"/>
          <w:b w:val="1"/>
          <w:bCs w:val="1"/>
          <w:color w:val="auto"/>
        </w:rPr>
        <w:t xml:space="preserve">S,G&amp;A Expenses: </w:t>
      </w:r>
      <w:r>
        <w:rPr>
          <w:rFonts w:ascii="Arial" w:cs="Arial" w:eastAsia="Arial" w:hAnsi="Arial"/>
          <w:sz w:val="19"/>
          <w:szCs w:val="19"/>
          <w:color w:val="auto"/>
        </w:rPr>
        <w:t>Selling, general and administrative expenses (“S,G&amp;A”) were $10.9 million for the third quarter ended</w:t>
      </w:r>
    </w:p>
    <w:p>
      <w:pPr>
        <w:spacing w:after="0" w:line="21" w:lineRule="exact"/>
        <w:rPr>
          <w:rFonts w:ascii="Arial" w:cs="Arial" w:eastAsia="Arial" w:hAnsi="Arial"/>
          <w:sz w:val="17"/>
          <w:szCs w:val="17"/>
          <w:color w:val="auto"/>
        </w:rPr>
      </w:pPr>
    </w:p>
    <w:p>
      <w:pPr>
        <w:ind w:left="660" w:right="40"/>
        <w:spacing w:after="0" w:line="236" w:lineRule="auto"/>
        <w:rPr>
          <w:rFonts w:ascii="Arial" w:cs="Arial" w:eastAsia="Arial" w:hAnsi="Arial"/>
          <w:sz w:val="17"/>
          <w:szCs w:val="17"/>
          <w:color w:val="auto"/>
        </w:rPr>
      </w:pPr>
      <w:r>
        <w:rPr>
          <w:rFonts w:ascii="Arial" w:cs="Arial" w:eastAsia="Arial" w:hAnsi="Arial"/>
          <w:sz w:val="20"/>
          <w:szCs w:val="20"/>
          <w:color w:val="auto"/>
        </w:rPr>
        <w:t>September 30, 2021 (Q3 2020: S,G&amp;A expenses $8.3 million). This increase of $2.6 million was driven primarily by costs relating to the Nuance Agreement, partially offset by a reduction in costs relating to the July 2020 PIPE financing.</w:t>
      </w:r>
    </w:p>
    <w:p>
      <w:pPr>
        <w:spacing w:after="0" w:line="63" w:lineRule="exact"/>
        <w:rPr>
          <w:rFonts w:ascii="Arial" w:cs="Arial" w:eastAsia="Arial" w:hAnsi="Arial"/>
          <w:sz w:val="17"/>
          <w:szCs w:val="17"/>
          <w:color w:val="auto"/>
        </w:rPr>
      </w:pPr>
    </w:p>
    <w:p>
      <w:pPr>
        <w:ind w:left="660" w:right="20" w:hanging="328"/>
        <w:spacing w:after="0" w:line="25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20"/>
          <w:szCs w:val="20"/>
          <w:b w:val="1"/>
          <w:bCs w:val="1"/>
          <w:color w:val="auto"/>
        </w:rPr>
        <w:t xml:space="preserve">Net profit/(loss): </w:t>
      </w:r>
      <w:r>
        <w:rPr>
          <w:rFonts w:ascii="Arial" w:cs="Arial" w:eastAsia="Arial" w:hAnsi="Arial"/>
          <w:sz w:val="20"/>
          <w:szCs w:val="20"/>
          <w:color w:val="auto"/>
        </w:rPr>
        <w:t>Net profit was $11.1 million for the third quarter ended September 30, 2021 (Q3 2020: net loss $18.9</w:t>
      </w:r>
      <w:r>
        <w:rPr>
          <w:rFonts w:ascii="Arial" w:cs="Arial" w:eastAsia="Arial" w:hAnsi="Arial"/>
          <w:sz w:val="20"/>
          <w:szCs w:val="20"/>
          <w:b w:val="1"/>
          <w:bCs w:val="1"/>
          <w:color w:val="auto"/>
        </w:rPr>
        <w:t xml:space="preserve"> </w:t>
      </w:r>
      <w:r>
        <w:rPr>
          <w:rFonts w:ascii="Arial" w:cs="Arial" w:eastAsia="Arial" w:hAnsi="Arial"/>
          <w:sz w:val="20"/>
          <w:szCs w:val="20"/>
          <w:color w:val="auto"/>
        </w:rPr>
        <w:t>million) and the net cash generated by operating activities for the quarter was $22.8 million.</w:t>
      </w: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b w:val="1"/>
          <w:bCs w:val="1"/>
          <w:color w:val="232323"/>
        </w:rPr>
        <w:t>Conference Call and Webcast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color w:val="auto"/>
        </w:rPr>
        <w:t>Verona Pharma will host an investment community conference call at 9:00 a.m. EST /</w:t>
      </w:r>
    </w:p>
    <w:p>
      <w:pPr>
        <w:spacing w:after="0"/>
        <w:rPr>
          <w:sz w:val="20"/>
          <w:szCs w:val="20"/>
          <w:color w:val="auto"/>
        </w:rPr>
      </w:pPr>
      <w:r>
        <w:rPr>
          <w:rFonts w:ascii="Arial" w:cs="Arial" w:eastAsia="Arial" w:hAnsi="Arial"/>
          <w:sz w:val="20"/>
          <w:szCs w:val="20"/>
          <w:color w:val="auto"/>
        </w:rPr>
        <w:t>2:00 p.m. GMT on Tuesday, November 9, 2021 to discuss the third quarter 2021 financial results and the corporate update.</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Analysts and investors may participate by dialing one of the following numbers and reference conference ID 7220560:</w:t>
      </w:r>
    </w:p>
    <w:p>
      <w:pPr>
        <w:spacing w:after="0" w:line="121" w:lineRule="exact"/>
        <w:rPr>
          <w:sz w:val="20"/>
          <w:szCs w:val="20"/>
          <w:color w:val="auto"/>
        </w:rPr>
      </w:pPr>
    </w:p>
    <w:p>
      <w:pPr>
        <w:ind w:left="460" w:hanging="128"/>
        <w:spacing w:after="0"/>
        <w:tabs>
          <w:tab w:leader="none" w:pos="460" w:val="left"/>
        </w:tabs>
        <w:numPr>
          <w:ilvl w:val="0"/>
          <w:numId w:val="8"/>
        </w:numPr>
        <w:rPr>
          <w:rFonts w:ascii="Arial" w:cs="Arial" w:eastAsia="Arial" w:hAnsi="Arial"/>
          <w:sz w:val="20"/>
          <w:szCs w:val="20"/>
          <w:color w:val="auto"/>
        </w:rPr>
      </w:pPr>
      <w:r>
        <w:rPr>
          <w:rFonts w:ascii="Arial" w:cs="Arial" w:eastAsia="Arial" w:hAnsi="Arial"/>
          <w:sz w:val="20"/>
          <w:szCs w:val="20"/>
          <w:color w:val="auto"/>
        </w:rPr>
        <w:t>1 +1-888-317-6003 for callers in the United States</w:t>
      </w:r>
    </w:p>
    <w:p>
      <w:pPr>
        <w:spacing w:after="0" w:line="40" w:lineRule="exact"/>
        <w:rPr>
          <w:rFonts w:ascii="Arial" w:cs="Arial" w:eastAsia="Arial" w:hAnsi="Arial"/>
          <w:sz w:val="20"/>
          <w:szCs w:val="20"/>
          <w:color w:val="auto"/>
        </w:rPr>
      </w:pPr>
    </w:p>
    <w:p>
      <w:pPr>
        <w:ind w:left="460" w:hanging="128"/>
        <w:spacing w:after="0"/>
        <w:tabs>
          <w:tab w:leader="none" w:pos="460" w:val="left"/>
        </w:tabs>
        <w:numPr>
          <w:ilvl w:val="0"/>
          <w:numId w:val="8"/>
        </w:numPr>
        <w:rPr>
          <w:rFonts w:ascii="Arial" w:cs="Arial" w:eastAsia="Arial" w:hAnsi="Arial"/>
          <w:sz w:val="20"/>
          <w:szCs w:val="20"/>
          <w:color w:val="auto"/>
        </w:rPr>
      </w:pPr>
      <w:r>
        <w:rPr>
          <w:rFonts w:ascii="Arial" w:cs="Arial" w:eastAsia="Arial" w:hAnsi="Arial"/>
          <w:sz w:val="20"/>
          <w:szCs w:val="20"/>
          <w:color w:val="auto"/>
        </w:rPr>
        <w:t>2 +1-412-317-6061 for international callers</w:t>
      </w:r>
    </w:p>
    <w:p>
      <w:pPr>
        <w:spacing w:after="0" w:line="121" w:lineRule="exact"/>
        <w:rPr>
          <w:sz w:val="20"/>
          <w:szCs w:val="20"/>
          <w:color w:val="auto"/>
        </w:rPr>
      </w:pPr>
    </w:p>
    <w:p>
      <w:pPr>
        <w:jc w:val="both"/>
        <w:ind w:right="20"/>
        <w:spacing w:after="0" w:line="229" w:lineRule="auto"/>
        <w:rPr>
          <w:sz w:val="20"/>
          <w:szCs w:val="20"/>
          <w:color w:val="auto"/>
        </w:rPr>
      </w:pPr>
      <w:r>
        <w:rPr>
          <w:rFonts w:ascii="Arial" w:cs="Arial" w:eastAsia="Arial" w:hAnsi="Arial"/>
          <w:sz w:val="20"/>
          <w:szCs w:val="20"/>
          <w:color w:val="auto"/>
        </w:rPr>
        <w:t>A live webcast will be available on the Events and Presentations link on the Investors page of the Company's website, www.veronapharma.com, and the audio replay will be available for 90 days. An electronic copy of the third quarter 2021 results press release will also be made available today on the Company’s website. This press release does not constitute an offer to sell or the solicitation of an offer to buy any of the Company’s securities, and shall not constitute an offer, solicitation or sale in any jurisdiction in which such offer, solicitation or sale would be unlawful prior to registration or qualification under the securities laws of that jurisdiction.</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For further information please contact:</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5960" w:type="dxa"/>
            <w:vAlign w:val="bottom"/>
            <w:tcBorders>
              <w:left w:val="single" w:sz="8" w:color="F2F2F2"/>
              <w:bottom w:val="single" w:sz="8" w:color="CFCFCF"/>
            </w:tcBorders>
            <w:shd w:val="clear" w:color="auto" w:fill="F2F2F2"/>
          </w:tcPr>
          <w:p>
            <w:pPr>
              <w:spacing w:after="0"/>
              <w:rPr>
                <w:sz w:val="23"/>
                <w:szCs w:val="23"/>
                <w:color w:val="auto"/>
              </w:rPr>
            </w:pPr>
          </w:p>
        </w:tc>
        <w:tc>
          <w:tcPr>
            <w:tcW w:w="120" w:type="dxa"/>
            <w:vAlign w:val="bottom"/>
            <w:tcBorders>
              <w:bottom w:val="single" w:sz="8" w:color="CFCFCF"/>
            </w:tcBorders>
          </w:tcPr>
          <w:p>
            <w:pPr>
              <w:spacing w:after="0"/>
              <w:rPr>
                <w:sz w:val="23"/>
                <w:szCs w:val="23"/>
                <w:color w:val="auto"/>
              </w:rPr>
            </w:pPr>
          </w:p>
        </w:tc>
        <w:tc>
          <w:tcPr>
            <w:tcW w:w="2340" w:type="dxa"/>
            <w:vAlign w:val="bottom"/>
            <w:tcBorders>
              <w:bottom w:val="single" w:sz="8" w:color="CFCFCF"/>
            </w:tcBorders>
          </w:tcPr>
          <w:p>
            <w:pPr>
              <w:spacing w:after="0"/>
              <w:rPr>
                <w:sz w:val="23"/>
                <w:szCs w:val="23"/>
                <w:color w:val="auto"/>
              </w:rPr>
            </w:pPr>
          </w:p>
        </w:tc>
        <w:tc>
          <w:tcPr>
            <w:tcW w:w="280" w:type="dxa"/>
            <w:vAlign w:val="bottom"/>
            <w:tcBorders>
              <w:bottom w:val="single" w:sz="8" w:color="CFCFCF"/>
            </w:tcBorders>
          </w:tcPr>
          <w:p>
            <w:pPr>
              <w:spacing w:after="0"/>
              <w:rPr>
                <w:sz w:val="23"/>
                <w:szCs w:val="23"/>
                <w:color w:val="auto"/>
              </w:rPr>
            </w:pPr>
          </w:p>
        </w:tc>
        <w:tc>
          <w:tcPr>
            <w:tcW w:w="2560" w:type="dxa"/>
            <w:vAlign w:val="bottom"/>
            <w:tcBorders>
              <w:bottom w:val="single" w:sz="8" w:color="CFCFCF"/>
            </w:tcBorders>
          </w:tcPr>
          <w:p>
            <w:pPr>
              <w:spacing w:after="0"/>
              <w:rPr>
                <w:sz w:val="23"/>
                <w:szCs w:val="23"/>
                <w:color w:val="auto"/>
              </w:rPr>
            </w:pPr>
          </w:p>
        </w:tc>
      </w:tr>
      <w:tr>
        <w:trPr>
          <w:trHeight w:val="233"/>
        </w:trPr>
        <w:tc>
          <w:tcPr>
            <w:tcW w:w="5960" w:type="dxa"/>
            <w:vAlign w:val="bottom"/>
            <w:tcBorders>
              <w:left w:val="single" w:sz="8" w:color="CFCFCF"/>
            </w:tcBorders>
          </w:tcPr>
          <w:p>
            <w:pPr>
              <w:ind w:left="120"/>
              <w:spacing w:after="0"/>
              <w:rPr>
                <w:sz w:val="20"/>
                <w:szCs w:val="20"/>
                <w:color w:val="auto"/>
              </w:rPr>
            </w:pPr>
            <w:r>
              <w:rPr>
                <w:rFonts w:ascii="Arial" w:cs="Arial" w:eastAsia="Arial" w:hAnsi="Arial"/>
                <w:sz w:val="20"/>
                <w:szCs w:val="20"/>
                <w:b w:val="1"/>
                <w:bCs w:val="1"/>
                <w:color w:val="auto"/>
              </w:rPr>
              <w:t>Verona Pharma plc</w:t>
            </w:r>
          </w:p>
        </w:tc>
        <w:tc>
          <w:tcPr>
            <w:tcW w:w="5300" w:type="dxa"/>
            <w:vAlign w:val="bottom"/>
            <w:tcBorders>
              <w:left w:val="single" w:sz="8" w:color="CFCFCF"/>
              <w:right w:val="single" w:sz="8" w:color="CFCFCF"/>
            </w:tcBorders>
            <w:gridSpan w:val="4"/>
          </w:tcPr>
          <w:p>
            <w:pPr>
              <w:ind w:left="120"/>
              <w:spacing w:after="0"/>
              <w:rPr>
                <w:sz w:val="20"/>
                <w:szCs w:val="20"/>
                <w:color w:val="auto"/>
              </w:rPr>
            </w:pPr>
            <w:r>
              <w:rPr>
                <w:rFonts w:ascii="Arial" w:cs="Arial" w:eastAsia="Arial" w:hAnsi="Arial"/>
                <w:sz w:val="20"/>
                <w:szCs w:val="20"/>
                <w:color w:val="auto"/>
              </w:rPr>
              <w:t>US Tel: +1-833-417-0262</w:t>
            </w:r>
          </w:p>
        </w:tc>
      </w:tr>
      <w:tr>
        <w:trPr>
          <w:trHeight w:val="242"/>
        </w:trPr>
        <w:tc>
          <w:tcPr>
            <w:tcW w:w="5960" w:type="dxa"/>
            <w:vAlign w:val="bottom"/>
            <w:tcBorders>
              <w:left w:val="single" w:sz="8" w:color="CFCFCF"/>
              <w:bottom w:val="single" w:sz="8" w:color="CFCFCF"/>
            </w:tcBorders>
          </w:tcPr>
          <w:p>
            <w:pPr>
              <w:spacing w:after="0"/>
              <w:rPr>
                <w:sz w:val="21"/>
                <w:szCs w:val="21"/>
                <w:color w:val="auto"/>
              </w:rPr>
            </w:pPr>
          </w:p>
        </w:tc>
        <w:tc>
          <w:tcPr>
            <w:tcW w:w="5300" w:type="dxa"/>
            <w:vAlign w:val="bottom"/>
            <w:tcBorders>
              <w:left w:val="single" w:sz="8" w:color="CFCFCF"/>
              <w:bottom w:val="single" w:sz="8" w:color="CFCFCF"/>
              <w:right w:val="single" w:sz="8" w:color="CFCFCF"/>
            </w:tcBorders>
            <w:gridSpan w:val="4"/>
          </w:tcPr>
          <w:p>
            <w:pPr>
              <w:ind w:left="120"/>
              <w:spacing w:after="0"/>
              <w:rPr>
                <w:sz w:val="20"/>
                <w:szCs w:val="20"/>
                <w:color w:val="auto"/>
              </w:rPr>
            </w:pPr>
            <w:r>
              <w:rPr>
                <w:rFonts w:ascii="Arial" w:cs="Arial" w:eastAsia="Arial" w:hAnsi="Arial"/>
                <w:sz w:val="20"/>
                <w:szCs w:val="20"/>
                <w:color w:val="auto"/>
              </w:rPr>
              <w:t>UK Tel: +44 (0)203 283 4200</w:t>
            </w:r>
          </w:p>
        </w:tc>
      </w:tr>
      <w:tr>
        <w:trPr>
          <w:trHeight w:val="278"/>
        </w:trPr>
        <w:tc>
          <w:tcPr>
            <w:tcW w:w="5960" w:type="dxa"/>
            <w:vAlign w:val="bottom"/>
            <w:tcBorders>
              <w:left w:val="single" w:sz="8" w:color="CFCFCF"/>
            </w:tcBorders>
          </w:tcPr>
          <w:p>
            <w:pPr>
              <w:ind w:left="120"/>
              <w:spacing w:after="0"/>
              <w:rPr>
                <w:sz w:val="20"/>
                <w:szCs w:val="20"/>
                <w:color w:val="auto"/>
              </w:rPr>
            </w:pPr>
            <w:r>
              <w:rPr>
                <w:rFonts w:ascii="Arial" w:cs="Arial" w:eastAsia="Arial" w:hAnsi="Arial"/>
                <w:sz w:val="20"/>
                <w:szCs w:val="20"/>
                <w:color w:val="auto"/>
              </w:rPr>
              <w:t>Victoria Stewart, Director of Investor Relations and</w:t>
            </w:r>
          </w:p>
        </w:tc>
        <w:tc>
          <w:tcPr>
            <w:tcW w:w="5300" w:type="dxa"/>
            <w:vAlign w:val="bottom"/>
            <w:tcBorders>
              <w:left w:val="single" w:sz="8" w:color="CFCFCF"/>
              <w:right w:val="single" w:sz="8" w:color="CFCFCF"/>
            </w:tcBorders>
            <w:gridSpan w:val="4"/>
          </w:tcPr>
          <w:p>
            <w:pPr>
              <w:ind w:left="120"/>
              <w:spacing w:after="0"/>
              <w:rPr>
                <w:sz w:val="20"/>
                <w:szCs w:val="20"/>
                <w:color w:val="auto"/>
              </w:rPr>
            </w:pPr>
            <w:r>
              <w:rPr>
                <w:rFonts w:ascii="Arial" w:cs="Arial" w:eastAsia="Arial" w:hAnsi="Arial"/>
                <w:sz w:val="22"/>
                <w:szCs w:val="22"/>
                <w:color w:val="auto"/>
              </w:rPr>
              <w:t>info@veronapharma.com</w:t>
            </w:r>
          </w:p>
        </w:tc>
      </w:tr>
      <w:tr>
        <w:trPr>
          <w:trHeight w:val="237"/>
        </w:trPr>
        <w:tc>
          <w:tcPr>
            <w:tcW w:w="5960" w:type="dxa"/>
            <w:vAlign w:val="bottom"/>
            <w:tcBorders>
              <w:left w:val="single" w:sz="8" w:color="CFCFCF"/>
            </w:tcBorders>
          </w:tcPr>
          <w:p>
            <w:pPr>
              <w:ind w:left="120"/>
              <w:spacing w:after="0"/>
              <w:rPr>
                <w:sz w:val="20"/>
                <w:szCs w:val="20"/>
                <w:color w:val="auto"/>
              </w:rPr>
            </w:pPr>
            <w:r>
              <w:rPr>
                <w:rFonts w:ascii="Arial" w:cs="Arial" w:eastAsia="Arial" w:hAnsi="Arial"/>
                <w:sz w:val="20"/>
                <w:szCs w:val="20"/>
                <w:color w:val="auto"/>
              </w:rPr>
              <w:t>Communications</w:t>
            </w:r>
          </w:p>
        </w:tc>
        <w:tc>
          <w:tcPr>
            <w:tcW w:w="120" w:type="dxa"/>
            <w:vAlign w:val="bottom"/>
            <w:tcBorders>
              <w:left w:val="single" w:sz="8" w:color="CFCFCF"/>
            </w:tcBorders>
          </w:tcPr>
          <w:p>
            <w:pPr>
              <w:spacing w:after="0"/>
              <w:rPr>
                <w:sz w:val="20"/>
                <w:szCs w:val="20"/>
                <w:color w:val="auto"/>
              </w:rPr>
            </w:pPr>
          </w:p>
        </w:tc>
        <w:tc>
          <w:tcPr>
            <w:tcW w:w="2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60" w:type="dxa"/>
            <w:vAlign w:val="bottom"/>
            <w:tcBorders>
              <w:right w:val="single" w:sz="8" w:color="CFCFCF"/>
            </w:tcBorders>
          </w:tcPr>
          <w:p>
            <w:pPr>
              <w:spacing w:after="0"/>
              <w:rPr>
                <w:sz w:val="20"/>
                <w:szCs w:val="20"/>
                <w:color w:val="auto"/>
              </w:rPr>
            </w:pPr>
          </w:p>
        </w:tc>
      </w:tr>
      <w:tr>
        <w:trPr>
          <w:trHeight w:val="23"/>
        </w:trPr>
        <w:tc>
          <w:tcPr>
            <w:tcW w:w="5960" w:type="dxa"/>
            <w:vAlign w:val="bottom"/>
            <w:tcBorders>
              <w:left w:val="single" w:sz="8" w:color="CFCFCF"/>
              <w:bottom w:val="single" w:sz="8" w:color="CFCFCF"/>
            </w:tcBorders>
          </w:tcPr>
          <w:p>
            <w:pPr>
              <w:spacing w:after="0"/>
              <w:rPr>
                <w:sz w:val="2"/>
                <w:szCs w:val="2"/>
                <w:color w:val="auto"/>
              </w:rPr>
            </w:pPr>
          </w:p>
        </w:tc>
        <w:tc>
          <w:tcPr>
            <w:tcW w:w="120" w:type="dxa"/>
            <w:vAlign w:val="bottom"/>
            <w:tcBorders>
              <w:left w:val="single" w:sz="8" w:color="CFCFCF"/>
              <w:bottom w:val="single" w:sz="8" w:color="CFCFCF"/>
            </w:tcBorders>
          </w:tcPr>
          <w:p>
            <w:pPr>
              <w:spacing w:after="0"/>
              <w:rPr>
                <w:sz w:val="2"/>
                <w:szCs w:val="2"/>
                <w:color w:val="auto"/>
              </w:rPr>
            </w:pPr>
          </w:p>
        </w:tc>
        <w:tc>
          <w:tcPr>
            <w:tcW w:w="2340" w:type="dxa"/>
            <w:vAlign w:val="bottom"/>
            <w:tcBorders>
              <w:bottom w:val="single" w:sz="8" w:color="CFCFCF"/>
            </w:tcBorders>
          </w:tcPr>
          <w:p>
            <w:pPr>
              <w:spacing w:after="0"/>
              <w:rPr>
                <w:sz w:val="2"/>
                <w:szCs w:val="2"/>
                <w:color w:val="auto"/>
              </w:rPr>
            </w:pPr>
          </w:p>
        </w:tc>
        <w:tc>
          <w:tcPr>
            <w:tcW w:w="280" w:type="dxa"/>
            <w:vAlign w:val="bottom"/>
            <w:tcBorders>
              <w:bottom w:val="single" w:sz="8" w:color="CFCFCF"/>
            </w:tcBorders>
          </w:tcPr>
          <w:p>
            <w:pPr>
              <w:spacing w:after="0"/>
              <w:rPr>
                <w:sz w:val="2"/>
                <w:szCs w:val="2"/>
                <w:color w:val="auto"/>
              </w:rPr>
            </w:pPr>
          </w:p>
        </w:tc>
        <w:tc>
          <w:tcPr>
            <w:tcW w:w="2560" w:type="dxa"/>
            <w:vAlign w:val="bottom"/>
            <w:tcBorders>
              <w:bottom w:val="single" w:sz="8" w:color="CFCFCF"/>
              <w:right w:val="single" w:sz="8" w:color="CFCFCF"/>
            </w:tcBorders>
          </w:tcPr>
          <w:p>
            <w:pPr>
              <w:spacing w:after="0"/>
              <w:rPr>
                <w:sz w:val="2"/>
                <w:szCs w:val="2"/>
                <w:color w:val="auto"/>
              </w:rPr>
            </w:pPr>
          </w:p>
        </w:tc>
      </w:tr>
      <w:tr>
        <w:trPr>
          <w:trHeight w:val="142"/>
        </w:trPr>
        <w:tc>
          <w:tcPr>
            <w:tcW w:w="5960" w:type="dxa"/>
            <w:vAlign w:val="bottom"/>
            <w:tcBorders>
              <w:left w:val="single" w:sz="8" w:color="CFCFCF"/>
              <w:bottom w:val="single" w:sz="8" w:color="CFCFCF"/>
            </w:tcBorders>
          </w:tcPr>
          <w:p>
            <w:pPr>
              <w:spacing w:after="0"/>
              <w:rPr>
                <w:sz w:val="12"/>
                <w:szCs w:val="12"/>
                <w:color w:val="auto"/>
              </w:rPr>
            </w:pPr>
          </w:p>
        </w:tc>
        <w:tc>
          <w:tcPr>
            <w:tcW w:w="120" w:type="dxa"/>
            <w:vAlign w:val="bottom"/>
            <w:tcBorders>
              <w:left w:val="single" w:sz="8" w:color="CFCFCF"/>
              <w:bottom w:val="single" w:sz="8" w:color="CFCFCF"/>
            </w:tcBorders>
          </w:tcPr>
          <w:p>
            <w:pPr>
              <w:spacing w:after="0"/>
              <w:rPr>
                <w:sz w:val="12"/>
                <w:szCs w:val="12"/>
                <w:color w:val="auto"/>
              </w:rPr>
            </w:pPr>
          </w:p>
        </w:tc>
        <w:tc>
          <w:tcPr>
            <w:tcW w:w="2340" w:type="dxa"/>
            <w:vAlign w:val="bottom"/>
            <w:tcBorders>
              <w:bottom w:val="single" w:sz="8" w:color="CFCFCF"/>
            </w:tcBorders>
          </w:tcPr>
          <w:p>
            <w:pPr>
              <w:spacing w:after="0"/>
              <w:rPr>
                <w:sz w:val="12"/>
                <w:szCs w:val="12"/>
                <w:color w:val="auto"/>
              </w:rPr>
            </w:pPr>
          </w:p>
        </w:tc>
        <w:tc>
          <w:tcPr>
            <w:tcW w:w="280" w:type="dxa"/>
            <w:vAlign w:val="bottom"/>
            <w:tcBorders>
              <w:bottom w:val="single" w:sz="8" w:color="CFCFCF"/>
            </w:tcBorders>
          </w:tcPr>
          <w:p>
            <w:pPr>
              <w:spacing w:after="0"/>
              <w:rPr>
                <w:sz w:val="12"/>
                <w:szCs w:val="12"/>
                <w:color w:val="auto"/>
              </w:rPr>
            </w:pPr>
          </w:p>
        </w:tc>
        <w:tc>
          <w:tcPr>
            <w:tcW w:w="2560" w:type="dxa"/>
            <w:vAlign w:val="bottom"/>
            <w:tcBorders>
              <w:bottom w:val="single" w:sz="8" w:color="CFCFCF"/>
              <w:right w:val="single" w:sz="8" w:color="CFCFCF"/>
            </w:tcBorders>
          </w:tcPr>
          <w:p>
            <w:pPr>
              <w:spacing w:after="0"/>
              <w:rPr>
                <w:sz w:val="12"/>
                <w:szCs w:val="12"/>
                <w:color w:val="auto"/>
              </w:rPr>
            </w:pPr>
          </w:p>
        </w:tc>
      </w:tr>
      <w:tr>
        <w:trPr>
          <w:trHeight w:val="233"/>
        </w:trPr>
        <w:tc>
          <w:tcPr>
            <w:tcW w:w="5960" w:type="dxa"/>
            <w:vAlign w:val="bottom"/>
            <w:tcBorders>
              <w:left w:val="single" w:sz="8" w:color="CFCFCF"/>
            </w:tcBorders>
          </w:tcPr>
          <w:p>
            <w:pPr>
              <w:ind w:left="120"/>
              <w:spacing w:after="0"/>
              <w:rPr>
                <w:sz w:val="20"/>
                <w:szCs w:val="20"/>
                <w:color w:val="auto"/>
              </w:rPr>
            </w:pPr>
            <w:r>
              <w:rPr>
                <w:rFonts w:ascii="Arial" w:cs="Arial" w:eastAsia="Arial" w:hAnsi="Arial"/>
                <w:sz w:val="20"/>
                <w:szCs w:val="20"/>
                <w:b w:val="1"/>
                <w:bCs w:val="1"/>
                <w:color w:val="auto"/>
              </w:rPr>
              <w:t>Argot Partners</w:t>
            </w:r>
          </w:p>
        </w:tc>
        <w:tc>
          <w:tcPr>
            <w:tcW w:w="5300" w:type="dxa"/>
            <w:vAlign w:val="bottom"/>
            <w:tcBorders>
              <w:left w:val="single" w:sz="8" w:color="CFCFCF"/>
              <w:right w:val="single" w:sz="8" w:color="CFCFCF"/>
            </w:tcBorders>
            <w:gridSpan w:val="4"/>
          </w:tcPr>
          <w:p>
            <w:pPr>
              <w:ind w:left="120"/>
              <w:spacing w:after="0" w:line="232" w:lineRule="exact"/>
              <w:rPr>
                <w:sz w:val="20"/>
                <w:szCs w:val="20"/>
                <w:color w:val="auto"/>
              </w:rPr>
            </w:pPr>
            <w:r>
              <w:rPr>
                <w:rFonts w:ascii="Arial" w:cs="Arial" w:eastAsia="Arial" w:hAnsi="Arial"/>
                <w:sz w:val="22"/>
                <w:szCs w:val="22"/>
                <w:color w:val="auto"/>
              </w:rPr>
              <w:t>Tel: +1-212-600-1902</w:t>
            </w:r>
          </w:p>
        </w:tc>
      </w:tr>
      <w:tr>
        <w:trPr>
          <w:trHeight w:val="233"/>
        </w:trPr>
        <w:tc>
          <w:tcPr>
            <w:tcW w:w="5960" w:type="dxa"/>
            <w:vAlign w:val="bottom"/>
            <w:tcBorders>
              <w:left w:val="single" w:sz="8" w:color="CFCFCF"/>
            </w:tcBorders>
          </w:tcPr>
          <w:p>
            <w:pPr>
              <w:ind w:left="120"/>
              <w:spacing w:after="0"/>
              <w:rPr>
                <w:sz w:val="20"/>
                <w:szCs w:val="20"/>
                <w:color w:val="auto"/>
              </w:rPr>
            </w:pPr>
            <w:r>
              <w:rPr>
                <w:rFonts w:ascii="Arial" w:cs="Arial" w:eastAsia="Arial" w:hAnsi="Arial"/>
                <w:sz w:val="20"/>
                <w:szCs w:val="20"/>
                <w:color w:val="auto"/>
              </w:rPr>
              <w:t>(US Investor Enquiries)</w:t>
            </w:r>
          </w:p>
        </w:tc>
        <w:tc>
          <w:tcPr>
            <w:tcW w:w="5300" w:type="dxa"/>
            <w:vAlign w:val="bottom"/>
            <w:tcBorders>
              <w:left w:val="single" w:sz="8" w:color="CFCFCF"/>
              <w:right w:val="single" w:sz="8" w:color="CFCFCF"/>
            </w:tcBorders>
            <w:gridSpan w:val="4"/>
          </w:tcPr>
          <w:p>
            <w:pPr>
              <w:ind w:left="120"/>
              <w:spacing w:after="0" w:line="233" w:lineRule="exact"/>
              <w:rPr>
                <w:sz w:val="20"/>
                <w:szCs w:val="20"/>
                <w:color w:val="auto"/>
              </w:rPr>
            </w:pPr>
            <w:r>
              <w:rPr>
                <w:rFonts w:ascii="Arial" w:cs="Arial" w:eastAsia="Arial" w:hAnsi="Arial"/>
                <w:sz w:val="22"/>
                <w:szCs w:val="22"/>
                <w:color w:val="0000FF"/>
              </w:rPr>
              <w:t>verona@argotpartners.com</w:t>
            </w:r>
          </w:p>
        </w:tc>
      </w:tr>
      <w:tr>
        <w:trPr>
          <w:trHeight w:val="48"/>
        </w:trPr>
        <w:tc>
          <w:tcPr>
            <w:tcW w:w="5960" w:type="dxa"/>
            <w:vAlign w:val="bottom"/>
            <w:tcBorders>
              <w:left w:val="single" w:sz="8" w:color="CFCFCF"/>
              <w:bottom w:val="single" w:sz="8" w:color="CFCFCF"/>
            </w:tcBorders>
          </w:tcPr>
          <w:p>
            <w:pPr>
              <w:spacing w:after="0"/>
              <w:rPr>
                <w:sz w:val="4"/>
                <w:szCs w:val="4"/>
                <w:color w:val="auto"/>
              </w:rPr>
            </w:pPr>
          </w:p>
        </w:tc>
        <w:tc>
          <w:tcPr>
            <w:tcW w:w="120" w:type="dxa"/>
            <w:vAlign w:val="bottom"/>
            <w:tcBorders>
              <w:left w:val="single" w:sz="8" w:color="CFCFCF"/>
              <w:bottom w:val="single" w:sz="8" w:color="CFCFCF"/>
            </w:tcBorders>
          </w:tcPr>
          <w:p>
            <w:pPr>
              <w:spacing w:after="0"/>
              <w:rPr>
                <w:sz w:val="4"/>
                <w:szCs w:val="4"/>
                <w:color w:val="auto"/>
              </w:rPr>
            </w:pPr>
          </w:p>
        </w:tc>
        <w:tc>
          <w:tcPr>
            <w:tcW w:w="2340" w:type="dxa"/>
            <w:vAlign w:val="bottom"/>
            <w:tcBorders>
              <w:top w:val="single" w:sz="8" w:color="0000FF"/>
              <w:bottom w:val="single" w:sz="8" w:color="CFCFCF"/>
            </w:tcBorders>
          </w:tcPr>
          <w:p>
            <w:pPr>
              <w:spacing w:after="0"/>
              <w:rPr>
                <w:sz w:val="4"/>
                <w:szCs w:val="4"/>
                <w:color w:val="auto"/>
              </w:rPr>
            </w:pPr>
          </w:p>
        </w:tc>
        <w:tc>
          <w:tcPr>
            <w:tcW w:w="280" w:type="dxa"/>
            <w:vAlign w:val="bottom"/>
            <w:tcBorders>
              <w:bottom w:val="single" w:sz="8" w:color="CFCFCF"/>
            </w:tcBorders>
          </w:tcPr>
          <w:p>
            <w:pPr>
              <w:spacing w:after="0"/>
              <w:rPr>
                <w:sz w:val="4"/>
                <w:szCs w:val="4"/>
                <w:color w:val="auto"/>
              </w:rPr>
            </w:pPr>
          </w:p>
        </w:tc>
        <w:tc>
          <w:tcPr>
            <w:tcW w:w="2560" w:type="dxa"/>
            <w:vAlign w:val="bottom"/>
            <w:tcBorders>
              <w:bottom w:val="single" w:sz="8" w:color="CFCFCF"/>
              <w:right w:val="single" w:sz="8" w:color="CFCFCF"/>
            </w:tcBorders>
          </w:tcPr>
          <w:p>
            <w:pPr>
              <w:spacing w:after="0"/>
              <w:rPr>
                <w:sz w:val="4"/>
                <w:szCs w:val="4"/>
                <w:color w:val="auto"/>
              </w:rPr>
            </w:pPr>
          </w:p>
        </w:tc>
      </w:tr>
      <w:tr>
        <w:trPr>
          <w:trHeight w:val="268"/>
        </w:trPr>
        <w:tc>
          <w:tcPr>
            <w:tcW w:w="5960" w:type="dxa"/>
            <w:vAlign w:val="bottom"/>
            <w:tcBorders>
              <w:left w:val="single" w:sz="8" w:color="CFCFCF"/>
            </w:tcBorders>
          </w:tcPr>
          <w:p>
            <w:pPr>
              <w:ind w:left="120"/>
              <w:spacing w:after="0"/>
              <w:rPr>
                <w:sz w:val="20"/>
                <w:szCs w:val="20"/>
                <w:color w:val="auto"/>
              </w:rPr>
            </w:pPr>
            <w:r>
              <w:rPr>
                <w:rFonts w:ascii="Arial" w:cs="Arial" w:eastAsia="Arial" w:hAnsi="Arial"/>
                <w:sz w:val="20"/>
                <w:szCs w:val="20"/>
                <w:color w:val="auto"/>
              </w:rPr>
              <w:t>Kimberly Minarovich / Michael Barron</w:t>
            </w:r>
          </w:p>
        </w:tc>
        <w:tc>
          <w:tcPr>
            <w:tcW w:w="120" w:type="dxa"/>
            <w:vAlign w:val="bottom"/>
            <w:tcBorders>
              <w:left w:val="single" w:sz="8" w:color="CFCFCF"/>
            </w:tcBorders>
          </w:tcPr>
          <w:p>
            <w:pPr>
              <w:spacing w:after="0"/>
              <w:rPr>
                <w:sz w:val="23"/>
                <w:szCs w:val="23"/>
                <w:color w:val="auto"/>
              </w:rPr>
            </w:pPr>
          </w:p>
        </w:tc>
        <w:tc>
          <w:tcPr>
            <w:tcW w:w="2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560" w:type="dxa"/>
            <w:vAlign w:val="bottom"/>
            <w:tcBorders>
              <w:right w:val="single" w:sz="8" w:color="CFCFCF"/>
            </w:tcBorders>
          </w:tcPr>
          <w:p>
            <w:pPr>
              <w:spacing w:after="0"/>
              <w:rPr>
                <w:sz w:val="23"/>
                <w:szCs w:val="23"/>
                <w:color w:val="auto"/>
              </w:rPr>
            </w:pPr>
          </w:p>
        </w:tc>
      </w:tr>
      <w:tr>
        <w:trPr>
          <w:trHeight w:val="23"/>
        </w:trPr>
        <w:tc>
          <w:tcPr>
            <w:tcW w:w="5960" w:type="dxa"/>
            <w:vAlign w:val="bottom"/>
            <w:tcBorders>
              <w:left w:val="single" w:sz="8" w:color="CFCFCF"/>
              <w:bottom w:val="single" w:sz="8" w:color="CFCFCF"/>
            </w:tcBorders>
          </w:tcPr>
          <w:p>
            <w:pPr>
              <w:spacing w:after="0"/>
              <w:rPr>
                <w:sz w:val="2"/>
                <w:szCs w:val="2"/>
                <w:color w:val="auto"/>
              </w:rPr>
            </w:pPr>
          </w:p>
        </w:tc>
        <w:tc>
          <w:tcPr>
            <w:tcW w:w="120" w:type="dxa"/>
            <w:vAlign w:val="bottom"/>
            <w:tcBorders>
              <w:left w:val="single" w:sz="8" w:color="CFCFCF"/>
              <w:bottom w:val="single" w:sz="8" w:color="CFCFCF"/>
            </w:tcBorders>
          </w:tcPr>
          <w:p>
            <w:pPr>
              <w:spacing w:after="0"/>
              <w:rPr>
                <w:sz w:val="2"/>
                <w:szCs w:val="2"/>
                <w:color w:val="auto"/>
              </w:rPr>
            </w:pPr>
          </w:p>
        </w:tc>
        <w:tc>
          <w:tcPr>
            <w:tcW w:w="2340" w:type="dxa"/>
            <w:vAlign w:val="bottom"/>
            <w:tcBorders>
              <w:bottom w:val="single" w:sz="8" w:color="CFCFCF"/>
            </w:tcBorders>
          </w:tcPr>
          <w:p>
            <w:pPr>
              <w:spacing w:after="0"/>
              <w:rPr>
                <w:sz w:val="2"/>
                <w:szCs w:val="2"/>
                <w:color w:val="auto"/>
              </w:rPr>
            </w:pPr>
          </w:p>
        </w:tc>
        <w:tc>
          <w:tcPr>
            <w:tcW w:w="280" w:type="dxa"/>
            <w:vAlign w:val="bottom"/>
            <w:tcBorders>
              <w:bottom w:val="single" w:sz="8" w:color="CFCFCF"/>
            </w:tcBorders>
          </w:tcPr>
          <w:p>
            <w:pPr>
              <w:spacing w:after="0"/>
              <w:rPr>
                <w:sz w:val="2"/>
                <w:szCs w:val="2"/>
                <w:color w:val="auto"/>
              </w:rPr>
            </w:pPr>
          </w:p>
        </w:tc>
        <w:tc>
          <w:tcPr>
            <w:tcW w:w="2560" w:type="dxa"/>
            <w:vAlign w:val="bottom"/>
            <w:tcBorders>
              <w:bottom w:val="single" w:sz="8" w:color="CFCFCF"/>
              <w:right w:val="single" w:sz="8" w:color="CFCFCF"/>
            </w:tcBorders>
          </w:tcPr>
          <w:p>
            <w:pPr>
              <w:spacing w:after="0"/>
              <w:rPr>
                <w:sz w:val="2"/>
                <w:szCs w:val="2"/>
                <w:color w:val="auto"/>
              </w:rPr>
            </w:pPr>
          </w:p>
        </w:tc>
      </w:tr>
      <w:tr>
        <w:trPr>
          <w:trHeight w:val="142"/>
        </w:trPr>
        <w:tc>
          <w:tcPr>
            <w:tcW w:w="5960" w:type="dxa"/>
            <w:vAlign w:val="bottom"/>
            <w:tcBorders>
              <w:left w:val="single" w:sz="8" w:color="CFCFCF"/>
              <w:bottom w:val="single" w:sz="8" w:color="CFCFCF"/>
            </w:tcBorders>
          </w:tcPr>
          <w:p>
            <w:pPr>
              <w:spacing w:after="0"/>
              <w:rPr>
                <w:sz w:val="12"/>
                <w:szCs w:val="12"/>
                <w:color w:val="auto"/>
              </w:rPr>
            </w:pPr>
          </w:p>
        </w:tc>
        <w:tc>
          <w:tcPr>
            <w:tcW w:w="120" w:type="dxa"/>
            <w:vAlign w:val="bottom"/>
            <w:tcBorders>
              <w:left w:val="single" w:sz="8" w:color="CFCFCF"/>
              <w:bottom w:val="single" w:sz="8" w:color="CFCFCF"/>
            </w:tcBorders>
          </w:tcPr>
          <w:p>
            <w:pPr>
              <w:spacing w:after="0"/>
              <w:rPr>
                <w:sz w:val="12"/>
                <w:szCs w:val="12"/>
                <w:color w:val="auto"/>
              </w:rPr>
            </w:pPr>
          </w:p>
        </w:tc>
        <w:tc>
          <w:tcPr>
            <w:tcW w:w="2340" w:type="dxa"/>
            <w:vAlign w:val="bottom"/>
            <w:tcBorders>
              <w:bottom w:val="single" w:sz="8" w:color="CFCFCF"/>
            </w:tcBorders>
          </w:tcPr>
          <w:p>
            <w:pPr>
              <w:spacing w:after="0"/>
              <w:rPr>
                <w:sz w:val="12"/>
                <w:szCs w:val="12"/>
                <w:color w:val="auto"/>
              </w:rPr>
            </w:pPr>
          </w:p>
        </w:tc>
        <w:tc>
          <w:tcPr>
            <w:tcW w:w="280" w:type="dxa"/>
            <w:vAlign w:val="bottom"/>
            <w:tcBorders>
              <w:bottom w:val="single" w:sz="8" w:color="CFCFCF"/>
            </w:tcBorders>
          </w:tcPr>
          <w:p>
            <w:pPr>
              <w:spacing w:after="0"/>
              <w:rPr>
                <w:sz w:val="12"/>
                <w:szCs w:val="12"/>
                <w:color w:val="auto"/>
              </w:rPr>
            </w:pPr>
          </w:p>
        </w:tc>
        <w:tc>
          <w:tcPr>
            <w:tcW w:w="2560" w:type="dxa"/>
            <w:vAlign w:val="bottom"/>
            <w:tcBorders>
              <w:bottom w:val="single" w:sz="8" w:color="CFCFCF"/>
              <w:right w:val="single" w:sz="8" w:color="CFCFCF"/>
            </w:tcBorders>
          </w:tcPr>
          <w:p>
            <w:pPr>
              <w:spacing w:after="0"/>
              <w:rPr>
                <w:sz w:val="12"/>
                <w:szCs w:val="12"/>
                <w:color w:val="auto"/>
              </w:rPr>
            </w:pPr>
          </w:p>
        </w:tc>
      </w:tr>
      <w:tr>
        <w:trPr>
          <w:trHeight w:val="233"/>
        </w:trPr>
        <w:tc>
          <w:tcPr>
            <w:tcW w:w="5960" w:type="dxa"/>
            <w:vAlign w:val="bottom"/>
            <w:tcBorders>
              <w:left w:val="single" w:sz="8" w:color="CFCFCF"/>
            </w:tcBorders>
          </w:tcPr>
          <w:p>
            <w:pPr>
              <w:ind w:left="120"/>
              <w:spacing w:after="0"/>
              <w:rPr>
                <w:sz w:val="20"/>
                <w:szCs w:val="20"/>
                <w:color w:val="auto"/>
              </w:rPr>
            </w:pPr>
            <w:r>
              <w:rPr>
                <w:rFonts w:ascii="Arial" w:cs="Arial" w:eastAsia="Arial" w:hAnsi="Arial"/>
                <w:sz w:val="20"/>
                <w:szCs w:val="20"/>
                <w:b w:val="1"/>
                <w:bCs w:val="1"/>
                <w:color w:val="auto"/>
              </w:rPr>
              <w:t>Optimum Strategic Communications</w:t>
            </w:r>
          </w:p>
        </w:tc>
        <w:tc>
          <w:tcPr>
            <w:tcW w:w="5300" w:type="dxa"/>
            <w:vAlign w:val="bottom"/>
            <w:tcBorders>
              <w:left w:val="single" w:sz="8" w:color="CFCFCF"/>
              <w:right w:val="single" w:sz="8" w:color="CFCFCF"/>
            </w:tcBorders>
            <w:gridSpan w:val="4"/>
          </w:tcPr>
          <w:p>
            <w:pPr>
              <w:ind w:left="120"/>
              <w:spacing w:after="0" w:line="232" w:lineRule="exact"/>
              <w:rPr>
                <w:sz w:val="20"/>
                <w:szCs w:val="20"/>
                <w:color w:val="auto"/>
              </w:rPr>
            </w:pPr>
            <w:r>
              <w:rPr>
                <w:rFonts w:ascii="Arial" w:cs="Arial" w:eastAsia="Arial" w:hAnsi="Arial"/>
                <w:sz w:val="22"/>
                <w:szCs w:val="22"/>
                <w:color w:val="auto"/>
              </w:rPr>
              <w:t>Tel: +44 (0)203 882 9621</w:t>
            </w:r>
          </w:p>
        </w:tc>
      </w:tr>
      <w:tr>
        <w:trPr>
          <w:trHeight w:val="233"/>
        </w:trPr>
        <w:tc>
          <w:tcPr>
            <w:tcW w:w="5960" w:type="dxa"/>
            <w:vAlign w:val="bottom"/>
            <w:tcBorders>
              <w:left w:val="single" w:sz="8" w:color="CFCFCF"/>
            </w:tcBorders>
          </w:tcPr>
          <w:p>
            <w:pPr>
              <w:ind w:left="120"/>
              <w:spacing w:after="0"/>
              <w:rPr>
                <w:sz w:val="20"/>
                <w:szCs w:val="20"/>
                <w:color w:val="auto"/>
              </w:rPr>
            </w:pPr>
            <w:r>
              <w:rPr>
                <w:rFonts w:ascii="Arial" w:cs="Arial" w:eastAsia="Arial" w:hAnsi="Arial"/>
                <w:sz w:val="20"/>
                <w:szCs w:val="20"/>
                <w:color w:val="auto"/>
              </w:rPr>
              <w:t>(International Media and European Investor Enquiries)</w:t>
            </w:r>
          </w:p>
        </w:tc>
        <w:tc>
          <w:tcPr>
            <w:tcW w:w="5300" w:type="dxa"/>
            <w:vAlign w:val="bottom"/>
            <w:tcBorders>
              <w:left w:val="single" w:sz="8" w:color="CFCFCF"/>
              <w:right w:val="single" w:sz="8" w:color="CFCFCF"/>
            </w:tcBorders>
            <w:gridSpan w:val="4"/>
          </w:tcPr>
          <w:p>
            <w:pPr>
              <w:ind w:left="120"/>
              <w:spacing w:after="0" w:line="233" w:lineRule="exact"/>
              <w:rPr>
                <w:sz w:val="20"/>
                <w:szCs w:val="20"/>
                <w:color w:val="auto"/>
              </w:rPr>
            </w:pPr>
            <w:r>
              <w:rPr>
                <w:rFonts w:ascii="Arial" w:cs="Arial" w:eastAsia="Arial" w:hAnsi="Arial"/>
                <w:sz w:val="22"/>
                <w:szCs w:val="22"/>
                <w:color w:val="0000FF"/>
              </w:rPr>
              <w:t>verona@optimumcomms.com</w:t>
            </w:r>
          </w:p>
        </w:tc>
      </w:tr>
      <w:tr>
        <w:trPr>
          <w:trHeight w:val="48"/>
        </w:trPr>
        <w:tc>
          <w:tcPr>
            <w:tcW w:w="5960" w:type="dxa"/>
            <w:vAlign w:val="bottom"/>
            <w:tcBorders>
              <w:left w:val="single" w:sz="8" w:color="CFCFCF"/>
              <w:bottom w:val="single" w:sz="8" w:color="CFCFCF"/>
            </w:tcBorders>
          </w:tcPr>
          <w:p>
            <w:pPr>
              <w:spacing w:after="0"/>
              <w:rPr>
                <w:sz w:val="4"/>
                <w:szCs w:val="4"/>
                <w:color w:val="auto"/>
              </w:rPr>
            </w:pPr>
          </w:p>
        </w:tc>
        <w:tc>
          <w:tcPr>
            <w:tcW w:w="120" w:type="dxa"/>
            <w:vAlign w:val="bottom"/>
            <w:tcBorders>
              <w:left w:val="single" w:sz="8" w:color="CFCFCF"/>
              <w:bottom w:val="single" w:sz="8" w:color="CFCFCF"/>
            </w:tcBorders>
          </w:tcPr>
          <w:p>
            <w:pPr>
              <w:spacing w:after="0"/>
              <w:rPr>
                <w:sz w:val="4"/>
                <w:szCs w:val="4"/>
                <w:color w:val="auto"/>
              </w:rPr>
            </w:pPr>
          </w:p>
        </w:tc>
        <w:tc>
          <w:tcPr>
            <w:tcW w:w="2340" w:type="dxa"/>
            <w:vAlign w:val="bottom"/>
            <w:tcBorders>
              <w:top w:val="single" w:sz="8" w:color="0000FF"/>
              <w:bottom w:val="single" w:sz="8" w:color="CFCFCF"/>
            </w:tcBorders>
          </w:tcPr>
          <w:p>
            <w:pPr>
              <w:spacing w:after="0"/>
              <w:rPr>
                <w:sz w:val="4"/>
                <w:szCs w:val="4"/>
                <w:color w:val="auto"/>
              </w:rPr>
            </w:pPr>
          </w:p>
        </w:tc>
        <w:tc>
          <w:tcPr>
            <w:tcW w:w="280" w:type="dxa"/>
            <w:vAlign w:val="bottom"/>
            <w:tcBorders>
              <w:top w:val="single" w:sz="8" w:color="0000FF"/>
              <w:bottom w:val="single" w:sz="8" w:color="CFCFCF"/>
            </w:tcBorders>
          </w:tcPr>
          <w:p>
            <w:pPr>
              <w:spacing w:after="0"/>
              <w:rPr>
                <w:sz w:val="4"/>
                <w:szCs w:val="4"/>
                <w:color w:val="auto"/>
              </w:rPr>
            </w:pPr>
          </w:p>
        </w:tc>
        <w:tc>
          <w:tcPr>
            <w:tcW w:w="2560" w:type="dxa"/>
            <w:vAlign w:val="bottom"/>
            <w:tcBorders>
              <w:bottom w:val="single" w:sz="8" w:color="CFCFCF"/>
              <w:right w:val="single" w:sz="8" w:color="CFCFCF"/>
            </w:tcBorders>
          </w:tcPr>
          <w:p>
            <w:pPr>
              <w:spacing w:after="0"/>
              <w:rPr>
                <w:sz w:val="4"/>
                <w:szCs w:val="4"/>
                <w:color w:val="auto"/>
              </w:rPr>
            </w:pPr>
          </w:p>
        </w:tc>
      </w:tr>
      <w:tr>
        <w:trPr>
          <w:trHeight w:val="268"/>
        </w:trPr>
        <w:tc>
          <w:tcPr>
            <w:tcW w:w="5960" w:type="dxa"/>
            <w:vAlign w:val="bottom"/>
            <w:tcBorders>
              <w:left w:val="single" w:sz="8" w:color="CFCFCF"/>
            </w:tcBorders>
          </w:tcPr>
          <w:p>
            <w:pPr>
              <w:ind w:left="120"/>
              <w:spacing w:after="0"/>
              <w:rPr>
                <w:sz w:val="20"/>
                <w:szCs w:val="20"/>
                <w:color w:val="auto"/>
              </w:rPr>
            </w:pPr>
            <w:r>
              <w:rPr>
                <w:rFonts w:ascii="Arial" w:cs="Arial" w:eastAsia="Arial" w:hAnsi="Arial"/>
                <w:sz w:val="20"/>
                <w:szCs w:val="20"/>
                <w:color w:val="auto"/>
              </w:rPr>
              <w:t>Mary Clark / Stella Lempidaki / Zoe Bolt</w:t>
            </w:r>
          </w:p>
        </w:tc>
        <w:tc>
          <w:tcPr>
            <w:tcW w:w="120" w:type="dxa"/>
            <w:vAlign w:val="bottom"/>
            <w:tcBorders>
              <w:left w:val="single" w:sz="8" w:color="CFCFCF"/>
            </w:tcBorders>
          </w:tcPr>
          <w:p>
            <w:pPr>
              <w:spacing w:after="0"/>
              <w:rPr>
                <w:sz w:val="23"/>
                <w:szCs w:val="23"/>
                <w:color w:val="auto"/>
              </w:rPr>
            </w:pPr>
          </w:p>
        </w:tc>
        <w:tc>
          <w:tcPr>
            <w:tcW w:w="2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560" w:type="dxa"/>
            <w:vAlign w:val="bottom"/>
            <w:tcBorders>
              <w:right w:val="single" w:sz="8" w:color="CFCFCF"/>
            </w:tcBorders>
          </w:tcPr>
          <w:p>
            <w:pPr>
              <w:spacing w:after="0"/>
              <w:rPr>
                <w:sz w:val="23"/>
                <w:szCs w:val="23"/>
                <w:color w:val="auto"/>
              </w:rPr>
            </w:pPr>
          </w:p>
        </w:tc>
      </w:tr>
      <w:tr>
        <w:trPr>
          <w:trHeight w:val="23"/>
        </w:trPr>
        <w:tc>
          <w:tcPr>
            <w:tcW w:w="5960" w:type="dxa"/>
            <w:vAlign w:val="bottom"/>
            <w:tcBorders>
              <w:left w:val="single" w:sz="8" w:color="CFCFCF"/>
              <w:bottom w:val="single" w:sz="8" w:color="CFCFCF"/>
            </w:tcBorders>
          </w:tcPr>
          <w:p>
            <w:pPr>
              <w:spacing w:after="0"/>
              <w:rPr>
                <w:sz w:val="2"/>
                <w:szCs w:val="2"/>
                <w:color w:val="auto"/>
              </w:rPr>
            </w:pPr>
          </w:p>
        </w:tc>
        <w:tc>
          <w:tcPr>
            <w:tcW w:w="120" w:type="dxa"/>
            <w:vAlign w:val="bottom"/>
            <w:tcBorders>
              <w:left w:val="single" w:sz="8" w:color="CFCFCF"/>
              <w:bottom w:val="single" w:sz="8" w:color="CFCFCF"/>
            </w:tcBorders>
          </w:tcPr>
          <w:p>
            <w:pPr>
              <w:spacing w:after="0"/>
              <w:rPr>
                <w:sz w:val="2"/>
                <w:szCs w:val="2"/>
                <w:color w:val="auto"/>
              </w:rPr>
            </w:pPr>
          </w:p>
        </w:tc>
        <w:tc>
          <w:tcPr>
            <w:tcW w:w="2340" w:type="dxa"/>
            <w:vAlign w:val="bottom"/>
            <w:tcBorders>
              <w:bottom w:val="single" w:sz="8" w:color="CFCFCF"/>
            </w:tcBorders>
          </w:tcPr>
          <w:p>
            <w:pPr>
              <w:spacing w:after="0"/>
              <w:rPr>
                <w:sz w:val="2"/>
                <w:szCs w:val="2"/>
                <w:color w:val="auto"/>
              </w:rPr>
            </w:pPr>
          </w:p>
        </w:tc>
        <w:tc>
          <w:tcPr>
            <w:tcW w:w="280" w:type="dxa"/>
            <w:vAlign w:val="bottom"/>
            <w:tcBorders>
              <w:bottom w:val="single" w:sz="8" w:color="CFCFCF"/>
            </w:tcBorders>
          </w:tcPr>
          <w:p>
            <w:pPr>
              <w:spacing w:after="0"/>
              <w:rPr>
                <w:sz w:val="2"/>
                <w:szCs w:val="2"/>
                <w:color w:val="auto"/>
              </w:rPr>
            </w:pPr>
          </w:p>
        </w:tc>
        <w:tc>
          <w:tcPr>
            <w:tcW w:w="2560" w:type="dxa"/>
            <w:vAlign w:val="bottom"/>
            <w:tcBorders>
              <w:bottom w:val="single" w:sz="8" w:color="CFCFCF"/>
              <w:right w:val="single" w:sz="8" w:color="CFCFCF"/>
            </w:tcBorders>
          </w:tcPr>
          <w:p>
            <w:pPr>
              <w:spacing w:after="0"/>
              <w:rPr>
                <w:sz w:val="2"/>
                <w:szCs w:val="2"/>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Verona Pharma</w:t>
      </w:r>
    </w:p>
    <w:p>
      <w:pPr>
        <w:spacing w:after="0" w:line="118" w:lineRule="exact"/>
        <w:rPr>
          <w:sz w:val="20"/>
          <w:szCs w:val="20"/>
          <w:color w:val="auto"/>
        </w:rPr>
      </w:pPr>
    </w:p>
    <w:p>
      <w:pPr>
        <w:jc w:val="both"/>
        <w:ind w:right="20"/>
        <w:spacing w:after="0" w:line="242" w:lineRule="auto"/>
        <w:rPr>
          <w:sz w:val="20"/>
          <w:szCs w:val="20"/>
          <w:color w:val="auto"/>
        </w:rPr>
      </w:pPr>
      <w:r>
        <w:rPr>
          <w:rFonts w:ascii="Arial" w:cs="Arial" w:eastAsia="Arial" w:hAnsi="Arial"/>
          <w:sz w:val="19"/>
          <w:szCs w:val="19"/>
          <w:color w:val="auto"/>
        </w:rPr>
        <w:t>Verona Pharma is a clinical-stage biopharmaceutical company focused on developing and commercializing innovative therapies for the treatment of respiratory diseases with significant unmet medical needs. If successfully developed and approved, Verona Pharma’s product candidate, ensifentrine, has the potential to be the first therapy for the treatment of respiratory diseases that combines bronchodilator and anti-inflammatory activities in one compound. The Company is evaluating nebulized ensifentrine in its Phase 3 clinical program ENHANCE (“Ensifentrine as a Novel inHAled Nebulized COPD thErapy”) for COPD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260"/>
          </w:cols>
          <w:pgMar w:left="320" w:top="1408" w:right="319" w:bottom="1440" w:gutter="0" w:footer="0" w:header="0"/>
        </w:sectPr>
      </w:pPr>
    </w:p>
    <w:bookmarkStart w:id="7" w:name="page8"/>
    <w:bookmarkEnd w:id="7"/>
    <w:p>
      <w:pPr>
        <w:jc w:val="both"/>
        <w:spacing w:after="0" w:line="232" w:lineRule="auto"/>
        <w:rPr>
          <w:sz w:val="20"/>
          <w:szCs w:val="20"/>
          <w:color w:val="auto"/>
        </w:rPr>
      </w:pPr>
      <w:r>
        <w:rPr>
          <w:rFonts w:ascii="Arial" w:cs="Arial" w:eastAsia="Arial" w:hAnsi="Arial"/>
          <w:sz w:val="20"/>
          <w:szCs w:val="20"/>
          <w:color w:val="auto"/>
        </w:rPr>
        <w:t xml:space="preserve">maintenance treatment. Two additional formulations of ensifentrine are in Phase 2 development for the treatment of COPD: dry powder inhaler (“DPI”) and pressurized metered-dose inhaler (“pMDI”). Ensifentrine has potential applications in cystic fibrosis, asthma and other respiratory diseases. For more information, please visit </w:t>
      </w:r>
      <w:r>
        <w:rPr>
          <w:rFonts w:ascii="Arial" w:cs="Arial" w:eastAsia="Arial" w:hAnsi="Arial"/>
          <w:sz w:val="20"/>
          <w:szCs w:val="20"/>
          <w:u w:val="single" w:color="auto"/>
          <w:color w:val="0000FF"/>
        </w:rPr>
        <w:t>www.veronapharma.com</w:t>
      </w:r>
      <w:r>
        <w:rPr>
          <w:rFonts w:ascii="Arial" w:cs="Arial" w:eastAsia="Arial" w:hAnsi="Arial"/>
          <w:sz w:val="20"/>
          <w:szCs w:val="20"/>
          <w:color w:val="auto"/>
        </w:rPr>
        <w:t>.</w:t>
      </w: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COVID-19 Impact</w:t>
      </w:r>
    </w:p>
    <w:p>
      <w:pPr>
        <w:spacing w:after="0" w:line="118"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Verona Pharma is closely monitoring the potential impact of the COVID-19 pandemic on its operations and clinical trials, in particular the timelines and costs of its Phase 3 ENHANCE clinical program. The pandemic and government and other measures in response continue to impact a number of clinical trial activities and the Company will provide an update if it becomes aware of any meaningful disruption caused by the pandemic to its clinical trials.</w:t>
      </w:r>
    </w:p>
    <w:p>
      <w:pPr>
        <w:spacing w:after="0" w:line="90"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To help protect the health and safety of the patients, caregivers and healthcare professionals involved in its clinical trials, as well as its employees and independent contractors, the Company continues to follow guidance from the FDA and other health regulatory authorities regarding the conduct of clinical trials during the COVID-19 pandemic to ensure the safety of study participants, minimize risks to study integrity, and maintain compliance with good clinical practice (GCP).</w:t>
      </w:r>
    </w:p>
    <w:p>
      <w:pPr>
        <w:spacing w:after="0" w:line="90"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The COVID-19 pandemic is disrupting supply chains, and employee retention and recruitment, globally and the Company is closely monitoring this situation and will provide an update if it becomes aware of any meaningful disruption caused by the pandemic to the supply of ensifentrine and drug-related products, equipment and services for its clinical trials.</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18"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This press release contains forward-looking statements. All statements contained in this press release with respect to our operational review, outlook and financial review that do not relate to matters of historical fact should be considered forward-looking statements, including, but not limited to, statements regarding the development of ensifentrine and the progress and timing of clinical trials and data, the goals and design of clinical trials, the assumptions underlying the Company’s models on clinical trial recruitment and progress, including the potential impact of the COVID-19 pandemic on such progress and on our business and operations and the Company’s future financial results, the potential for ensifentrine to be the first therapy for the treatment of respiratory diseases to combine bronchodilator and anti-inflammatory effects in one compound, the potential of ensifentrine in the treatment of COPD, cystic fibrosis, asthma and other respiratory diseases, as well as the potential of the DPI and pMDI formulations of ensifentrine, anticipated management changes, the funding we expect to become available under the $30.0 million debt financing facility and from cash receipts from U.K. tax credits, and the sufficiency of cash and cash equivalents.</w:t>
      </w:r>
    </w:p>
    <w:p>
      <w:pPr>
        <w:spacing w:after="0" w:line="91"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our expectations expressed or implied by the forward-looking statements, including, but not limited to, the following: our limited operating history; our need for additional funding to complete development and commercialization of ensifentrine, which may not be available and which may force us to delay, reduce or eliminate our development or commercialization efforts; the reliance of our business on the success of ensifentrine, our only product candidate under development; economic, political, regulatory and other risks involved with international operations; the lengthy and expensive process of clinical drug development, which has an uncertain outcome; serious adverse, undesirable or unacceptable side effects associated with ensifentrine, which could adversely affect our ability to develop or commercialize ensifentrine; potential delays in enrolling patients, which could adversely affect our research and development efforts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240"/>
          </w:cols>
          <w:pgMar w:left="320" w:top="1432" w:right="339" w:bottom="1440" w:gutter="0" w:footer="0" w:header="0"/>
        </w:sectPr>
      </w:pPr>
    </w:p>
    <w:bookmarkStart w:id="8" w:name="page9"/>
    <w:bookmarkEnd w:id="8"/>
    <w:p>
      <w:pPr>
        <w:jc w:val="both"/>
        <w:spacing w:after="0" w:line="226" w:lineRule="auto"/>
        <w:rPr>
          <w:sz w:val="20"/>
          <w:szCs w:val="20"/>
          <w:color w:val="auto"/>
        </w:rPr>
      </w:pPr>
      <w:r>
        <w:rPr>
          <w:rFonts w:ascii="Arial" w:cs="Arial" w:eastAsia="Arial" w:hAnsi="Arial"/>
          <w:sz w:val="20"/>
          <w:szCs w:val="20"/>
          <w:color w:val="auto"/>
        </w:rPr>
        <w:t>completion of our clinical trials; we may not be successful in developing ensifentrine for multiple indications; our ability to obtain approval for and commercialize ensifentrine in multiple major pharmaceutical markets; misconduct or other improper activities by our employees, consultants, principal investigators, third-party service providers and licensees; our inability to realize the anticipated benefits under licenses granted by us to third parties to develop and commercialize ensifentrine, our future growth and ability to compete depends on retaining our key personnel and recruiting additional qualified personnel; material differences between our “top-line” data and final data; our reliance on third parties, including clinical research organizations, clinical investigators, manufacturers and suppliers, and the risks related to these parties’ ability to successfully develop and commercialize ensifentrine; lawsuits related to patents covering ensifentrine and the potential for our patents to be found invalid or unenforceable; lawsuits related to our licensing of patents and know-how with third parties for the development and commercialization of ensifentrine; changes in our tax rates, unavailability of certain tax credits or reliefs or exposure to additional tax liabilities or assessments could affect our profitability, and audits by tax authorities could result in additional tax payments for prior periods; and our vulnerability to natural disasters, global economic factors and other unexpected events, including health epidemics or pandemics like the COVID-19 pandemic, which has and may continue to adversely impact our business. These and other important factors under the caption “Risk Factors” in our Annual Report on Form 10-K for the year ended December 31, 2020, our Quarterly Report on Form 10-Q for the quarterly period ended September 30, 2021, and our other reports filed with the SEC, could cause actual results to differ materially from those indicated by the forward-looking statements made in this press release. Any such forward-looking statements represent management's estimates as of the date of this press release.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press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240"/>
          </w:cols>
          <w:pgMar w:left="320" w:top="1432" w:right="33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22"/>
          <w:szCs w:val="22"/>
          <w:b w:val="1"/>
          <w:bCs w:val="1"/>
          <w:color w:val="232323"/>
        </w:rPr>
        <w:t>Verona Pharma, plc</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232323"/>
        </w:rPr>
        <w:t>Consolidated Financial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40575" cy="60267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0575" cy="6026785"/>
                    </a:xfrm>
                    <a:prstGeom prst="rect">
                      <a:avLst/>
                    </a:prstGeom>
                    <a:noFill/>
                  </pic:spPr>
                </pic:pic>
              </a:graphicData>
            </a:graphic>
          </wp:anchor>
        </w:drawing>
      </w:r>
    </w:p>
    <w:p>
      <w:pPr>
        <w:spacing w:after="0" w:line="231" w:lineRule="exact"/>
        <w:rPr>
          <w:sz w:val="20"/>
          <w:szCs w:val="20"/>
          <w:color w:val="auto"/>
        </w:rPr>
      </w:pPr>
    </w:p>
    <w:tbl>
      <w:tblPr>
        <w:tblLayout w:type="fixed"/>
        <w:tblInd w:w="80" w:type="dxa"/>
        <w:tblCellMar>
          <w:top w:w="0" w:type="dxa"/>
          <w:left w:w="0" w:type="dxa"/>
          <w:bottom w:w="0" w:type="dxa"/>
          <w:right w:w="0" w:type="dxa"/>
        </w:tblCellMar>
      </w:tblPr>
      <w:tr>
        <w:trPr>
          <w:trHeight w:val="217"/>
        </w:trPr>
        <w:tc>
          <w:tcPr>
            <w:tcW w:w="5680" w:type="dxa"/>
            <w:vAlign w:val="bottom"/>
          </w:tcPr>
          <w:p>
            <w:pPr>
              <w:spacing w:after="0"/>
              <w:rPr>
                <w:sz w:val="18"/>
                <w:szCs w:val="18"/>
                <w:color w:val="auto"/>
              </w:rPr>
            </w:pPr>
          </w:p>
        </w:tc>
        <w:tc>
          <w:tcPr>
            <w:tcW w:w="4500" w:type="dxa"/>
            <w:vAlign w:val="bottom"/>
            <w:gridSpan w:val="4"/>
          </w:tcPr>
          <w:p>
            <w:pPr>
              <w:jc w:val="right"/>
              <w:ind w:right="320"/>
              <w:spacing w:after="0"/>
              <w:rPr>
                <w:sz w:val="20"/>
                <w:szCs w:val="20"/>
                <w:color w:val="auto"/>
              </w:rPr>
            </w:pPr>
            <w:r>
              <w:rPr>
                <w:rFonts w:ascii="Arial" w:cs="Arial" w:eastAsia="Arial" w:hAnsi="Arial"/>
                <w:sz w:val="18"/>
                <w:szCs w:val="18"/>
                <w:color w:val="auto"/>
              </w:rPr>
              <w:t>Three months ended September 30,</w:t>
            </w:r>
          </w:p>
        </w:tc>
        <w:tc>
          <w:tcPr>
            <w:tcW w:w="1000" w:type="dxa"/>
            <w:vAlign w:val="bottom"/>
          </w:tcPr>
          <w:p>
            <w:pPr>
              <w:spacing w:after="0"/>
              <w:rPr>
                <w:sz w:val="18"/>
                <w:szCs w:val="18"/>
                <w:color w:val="auto"/>
              </w:rPr>
            </w:pPr>
          </w:p>
        </w:tc>
      </w:tr>
      <w:tr>
        <w:trPr>
          <w:trHeight w:val="297"/>
        </w:trPr>
        <w:tc>
          <w:tcPr>
            <w:tcW w:w="7340" w:type="dxa"/>
            <w:vAlign w:val="bottom"/>
            <w:gridSpan w:val="2"/>
          </w:tcPr>
          <w:p>
            <w:pPr>
              <w:ind w:left="6780"/>
              <w:spacing w:after="0"/>
              <w:rPr>
                <w:sz w:val="20"/>
                <w:szCs w:val="20"/>
                <w:color w:val="auto"/>
              </w:rPr>
            </w:pPr>
            <w:r>
              <w:rPr>
                <w:rFonts w:ascii="Arial" w:cs="Arial" w:eastAsia="Arial" w:hAnsi="Arial"/>
                <w:sz w:val="18"/>
                <w:szCs w:val="18"/>
                <w:color w:val="auto"/>
              </w:rPr>
              <w:t>2021</w:t>
            </w:r>
          </w:p>
        </w:tc>
        <w:tc>
          <w:tcPr>
            <w:tcW w:w="2840" w:type="dxa"/>
            <w:vAlign w:val="bottom"/>
            <w:gridSpan w:val="3"/>
          </w:tcPr>
          <w:p>
            <w:pPr>
              <w:jc w:val="right"/>
              <w:ind w:right="80"/>
              <w:spacing w:after="0"/>
              <w:rPr>
                <w:sz w:val="20"/>
                <w:szCs w:val="20"/>
                <w:color w:val="auto"/>
              </w:rPr>
            </w:pPr>
            <w:r>
              <w:rPr>
                <w:rFonts w:ascii="Arial" w:cs="Arial" w:eastAsia="Arial" w:hAnsi="Arial"/>
                <w:sz w:val="18"/>
                <w:szCs w:val="18"/>
                <w:color w:val="auto"/>
              </w:rPr>
              <w:t>2020</w:t>
            </w:r>
          </w:p>
        </w:tc>
        <w:tc>
          <w:tcPr>
            <w:tcW w:w="1000" w:type="dxa"/>
            <w:vAlign w:val="bottom"/>
          </w:tcPr>
          <w:p>
            <w:pPr>
              <w:spacing w:after="0"/>
              <w:rPr>
                <w:sz w:val="24"/>
                <w:szCs w:val="24"/>
                <w:color w:val="auto"/>
              </w:rPr>
            </w:pPr>
          </w:p>
        </w:tc>
      </w:tr>
      <w:tr>
        <w:trPr>
          <w:trHeight w:val="40"/>
        </w:trPr>
        <w:tc>
          <w:tcPr>
            <w:tcW w:w="5680" w:type="dxa"/>
            <w:vAlign w:val="bottom"/>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520"/>
        </w:trPr>
        <w:tc>
          <w:tcPr>
            <w:tcW w:w="7340" w:type="dxa"/>
            <w:vAlign w:val="bottom"/>
            <w:gridSpan w:val="2"/>
          </w:tcPr>
          <w:p>
            <w:pPr>
              <w:spacing w:after="0"/>
              <w:rPr>
                <w:sz w:val="20"/>
                <w:szCs w:val="20"/>
                <w:color w:val="auto"/>
              </w:rPr>
            </w:pPr>
            <w:r>
              <w:rPr>
                <w:rFonts w:ascii="Arial" w:cs="Arial" w:eastAsia="Arial" w:hAnsi="Arial"/>
                <w:sz w:val="18"/>
                <w:szCs w:val="18"/>
                <w:b w:val="1"/>
                <w:bCs w:val="1"/>
                <w:color w:val="auto"/>
              </w:rPr>
              <w:t>Revenue</w:t>
            </w:r>
          </w:p>
        </w:tc>
        <w:tc>
          <w:tcPr>
            <w:tcW w:w="940" w:type="dxa"/>
            <w:vAlign w:val="bottom"/>
          </w:tcPr>
          <w:p>
            <w:pPr>
              <w:jc w:val="right"/>
              <w:spacing w:after="0"/>
              <w:rPr>
                <w:sz w:val="20"/>
                <w:szCs w:val="20"/>
                <w:color w:val="auto"/>
              </w:rPr>
            </w:pPr>
            <w:r>
              <w:rPr>
                <w:rFonts w:ascii="Arial" w:cs="Arial" w:eastAsia="Arial" w:hAnsi="Arial"/>
                <w:sz w:val="18"/>
                <w:szCs w:val="18"/>
                <w:color w:val="auto"/>
              </w:rPr>
              <w:t>$ 40,000</w:t>
            </w:r>
          </w:p>
        </w:tc>
        <w:tc>
          <w:tcPr>
            <w:tcW w:w="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83"/>
        </w:trPr>
        <w:tc>
          <w:tcPr>
            <w:tcW w:w="734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84"/>
        </w:trPr>
        <w:tc>
          <w:tcPr>
            <w:tcW w:w="734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940" w:type="dxa"/>
            <w:vAlign w:val="bottom"/>
          </w:tcPr>
          <w:p>
            <w:pPr>
              <w:jc w:val="right"/>
              <w:spacing w:after="0"/>
              <w:rPr>
                <w:sz w:val="20"/>
                <w:szCs w:val="20"/>
                <w:color w:val="auto"/>
              </w:rPr>
            </w:pPr>
            <w:r>
              <w:rPr>
                <w:rFonts w:ascii="Arial" w:cs="Arial" w:eastAsia="Arial" w:hAnsi="Arial"/>
                <w:sz w:val="18"/>
                <w:szCs w:val="18"/>
                <w:color w:val="auto"/>
              </w:rPr>
              <w:t>22,560</w:t>
            </w:r>
          </w:p>
        </w:tc>
        <w:tc>
          <w:tcPr>
            <w:tcW w:w="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12,820</w:t>
            </w:r>
          </w:p>
        </w:tc>
      </w:tr>
      <w:tr>
        <w:trPr>
          <w:trHeight w:val="270"/>
        </w:trPr>
        <w:tc>
          <w:tcPr>
            <w:tcW w:w="734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940" w:type="dxa"/>
            <w:vAlign w:val="bottom"/>
          </w:tcPr>
          <w:p>
            <w:pPr>
              <w:jc w:val="right"/>
              <w:spacing w:after="0"/>
              <w:rPr>
                <w:sz w:val="20"/>
                <w:szCs w:val="20"/>
                <w:color w:val="auto"/>
              </w:rPr>
            </w:pPr>
            <w:r>
              <w:rPr>
                <w:rFonts w:ascii="Arial" w:cs="Arial" w:eastAsia="Arial" w:hAnsi="Arial"/>
                <w:sz w:val="18"/>
                <w:szCs w:val="18"/>
                <w:color w:val="auto"/>
              </w:rPr>
              <w:t>10,883</w:t>
            </w:r>
          </w:p>
        </w:tc>
        <w:tc>
          <w:tcPr>
            <w:tcW w:w="3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8,284</w:t>
            </w:r>
          </w:p>
        </w:tc>
      </w:tr>
      <w:tr>
        <w:trPr>
          <w:trHeight w:val="27"/>
        </w:trPr>
        <w:tc>
          <w:tcPr>
            <w:tcW w:w="734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568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16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33,443</w:t>
            </w:r>
          </w:p>
        </w:tc>
        <w:tc>
          <w:tcPr>
            <w:tcW w:w="360" w:type="dxa"/>
            <w:vAlign w:val="bottom"/>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21,104</w:t>
            </w:r>
          </w:p>
        </w:tc>
      </w:tr>
      <w:tr>
        <w:trPr>
          <w:trHeight w:val="27"/>
        </w:trPr>
        <w:tc>
          <w:tcPr>
            <w:tcW w:w="734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5680" w:type="dxa"/>
            <w:vAlign w:val="bottom"/>
          </w:tcPr>
          <w:p>
            <w:pPr>
              <w:spacing w:after="0"/>
              <w:rPr>
                <w:sz w:val="20"/>
                <w:szCs w:val="20"/>
                <w:color w:val="auto"/>
              </w:rPr>
            </w:pPr>
            <w:r>
              <w:rPr>
                <w:rFonts w:ascii="Arial" w:cs="Arial" w:eastAsia="Arial" w:hAnsi="Arial"/>
                <w:sz w:val="18"/>
                <w:szCs w:val="18"/>
                <w:b w:val="1"/>
                <w:bCs w:val="1"/>
                <w:color w:val="auto"/>
              </w:rPr>
              <w:t>Operating profit/(loss)</w:t>
            </w:r>
          </w:p>
        </w:tc>
        <w:tc>
          <w:tcPr>
            <w:tcW w:w="16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6,557</w:t>
            </w:r>
          </w:p>
        </w:tc>
        <w:tc>
          <w:tcPr>
            <w:tcW w:w="360" w:type="dxa"/>
            <w:vAlign w:val="bottom"/>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(21,104)</w:t>
            </w:r>
          </w:p>
        </w:tc>
      </w:tr>
      <w:tr>
        <w:trPr>
          <w:trHeight w:val="283"/>
        </w:trPr>
        <w:tc>
          <w:tcPr>
            <w:tcW w:w="7340" w:type="dxa"/>
            <w:vAlign w:val="bottom"/>
            <w:gridSpan w:val="2"/>
          </w:tcPr>
          <w:p>
            <w:pPr>
              <w:spacing w:after="0"/>
              <w:rPr>
                <w:sz w:val="20"/>
                <w:szCs w:val="20"/>
                <w:color w:val="auto"/>
              </w:rPr>
            </w:pPr>
            <w:r>
              <w:rPr>
                <w:rFonts w:ascii="Arial" w:cs="Arial" w:eastAsia="Arial" w:hAnsi="Arial"/>
                <w:sz w:val="18"/>
                <w:szCs w:val="18"/>
                <w:b w:val="1"/>
                <w:bCs w:val="1"/>
                <w:color w:val="auto"/>
              </w:rPr>
              <w:t>Other income/(expense)</w:t>
            </w: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83"/>
        </w:trPr>
        <w:tc>
          <w:tcPr>
            <w:tcW w:w="7340" w:type="dxa"/>
            <w:vAlign w:val="bottom"/>
            <w:gridSpan w:val="2"/>
          </w:tcPr>
          <w:p>
            <w:pPr>
              <w:spacing w:after="0"/>
              <w:rPr>
                <w:sz w:val="20"/>
                <w:szCs w:val="20"/>
                <w:color w:val="auto"/>
              </w:rPr>
            </w:pPr>
            <w:r>
              <w:rPr>
                <w:rFonts w:ascii="Arial" w:cs="Arial" w:eastAsia="Arial" w:hAnsi="Arial"/>
                <w:sz w:val="18"/>
                <w:szCs w:val="18"/>
                <w:color w:val="auto"/>
              </w:rPr>
              <w:t>Benefit from R&amp;D tax credit</w:t>
            </w:r>
          </w:p>
        </w:tc>
        <w:tc>
          <w:tcPr>
            <w:tcW w:w="940" w:type="dxa"/>
            <w:vAlign w:val="bottom"/>
          </w:tcPr>
          <w:p>
            <w:pPr>
              <w:jc w:val="right"/>
              <w:spacing w:after="0"/>
              <w:rPr>
                <w:sz w:val="20"/>
                <w:szCs w:val="20"/>
                <w:color w:val="auto"/>
              </w:rPr>
            </w:pPr>
            <w:r>
              <w:rPr>
                <w:rFonts w:ascii="Arial" w:cs="Arial" w:eastAsia="Arial" w:hAnsi="Arial"/>
                <w:sz w:val="18"/>
                <w:szCs w:val="18"/>
                <w:color w:val="auto"/>
              </w:rPr>
              <w:t>4,749</w:t>
            </w:r>
          </w:p>
        </w:tc>
        <w:tc>
          <w:tcPr>
            <w:tcW w:w="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2,338</w:t>
            </w:r>
          </w:p>
        </w:tc>
      </w:tr>
      <w:tr>
        <w:trPr>
          <w:trHeight w:val="270"/>
        </w:trPr>
        <w:tc>
          <w:tcPr>
            <w:tcW w:w="734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73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940" w:type="dxa"/>
            <w:vAlign w:val="bottom"/>
          </w:tcPr>
          <w:p>
            <w:pPr>
              <w:jc w:val="right"/>
              <w:spacing w:after="0"/>
              <w:rPr>
                <w:sz w:val="20"/>
                <w:szCs w:val="20"/>
                <w:color w:val="auto"/>
              </w:rPr>
            </w:pPr>
            <w:r>
              <w:rPr>
                <w:rFonts w:ascii="Arial" w:cs="Arial" w:eastAsia="Arial" w:hAnsi="Arial"/>
                <w:sz w:val="18"/>
                <w:szCs w:val="18"/>
                <w:color w:val="auto"/>
              </w:rPr>
              <w:t>(86)</w:t>
            </w:r>
          </w:p>
        </w:tc>
        <w:tc>
          <w:tcPr>
            <w:tcW w:w="3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7340" w:type="dxa"/>
            <w:vAlign w:val="bottom"/>
            <w:gridSpan w:val="2"/>
          </w:tcPr>
          <w:p>
            <w:pPr>
              <w:spacing w:after="0"/>
              <w:rPr>
                <w:sz w:val="20"/>
                <w:szCs w:val="20"/>
                <w:color w:val="auto"/>
              </w:rPr>
            </w:pPr>
            <w:r>
              <w:rPr>
                <w:rFonts w:ascii="Arial" w:cs="Arial" w:eastAsia="Arial" w:hAnsi="Arial"/>
                <w:sz w:val="18"/>
                <w:szCs w:val="18"/>
                <w:color w:val="auto"/>
              </w:rPr>
              <w:t>Fair value movement on warrants</w:t>
            </w:r>
          </w:p>
        </w:tc>
        <w:tc>
          <w:tcPr>
            <w:tcW w:w="940" w:type="dxa"/>
            <w:vAlign w:val="bottom"/>
          </w:tcPr>
          <w:p>
            <w:pPr>
              <w:jc w:val="right"/>
              <w:spacing w:after="0"/>
              <w:rPr>
                <w:sz w:val="20"/>
                <w:szCs w:val="20"/>
                <w:color w:val="auto"/>
              </w:rPr>
            </w:pPr>
            <w:r>
              <w:rPr>
                <w:rFonts w:ascii="Arial" w:cs="Arial" w:eastAsia="Arial" w:hAnsi="Arial"/>
                <w:sz w:val="18"/>
                <w:szCs w:val="18"/>
                <w:color w:val="auto"/>
              </w:rPr>
              <w:t>40</w:t>
            </w:r>
          </w:p>
        </w:tc>
        <w:tc>
          <w:tcPr>
            <w:tcW w:w="3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(978)</w:t>
            </w:r>
          </w:p>
        </w:tc>
      </w:tr>
      <w:tr>
        <w:trPr>
          <w:trHeight w:val="270"/>
        </w:trPr>
        <w:tc>
          <w:tcPr>
            <w:tcW w:w="7340" w:type="dxa"/>
            <w:vAlign w:val="bottom"/>
            <w:gridSpan w:val="2"/>
          </w:tcPr>
          <w:p>
            <w:pPr>
              <w:spacing w:after="0"/>
              <w:rPr>
                <w:sz w:val="20"/>
                <w:szCs w:val="20"/>
                <w:color w:val="auto"/>
              </w:rPr>
            </w:pPr>
            <w:r>
              <w:rPr>
                <w:rFonts w:ascii="Arial" w:cs="Arial" w:eastAsia="Arial" w:hAnsi="Arial"/>
                <w:sz w:val="18"/>
                <w:szCs w:val="18"/>
                <w:color w:val="auto"/>
              </w:rPr>
              <w:t>Foreign exchange gain / (loss)</w:t>
            </w:r>
          </w:p>
        </w:tc>
        <w:tc>
          <w:tcPr>
            <w:tcW w:w="940" w:type="dxa"/>
            <w:vAlign w:val="bottom"/>
          </w:tcPr>
          <w:p>
            <w:pPr>
              <w:jc w:val="right"/>
              <w:spacing w:after="0"/>
              <w:rPr>
                <w:sz w:val="20"/>
                <w:szCs w:val="20"/>
                <w:color w:val="auto"/>
              </w:rPr>
            </w:pPr>
            <w:r>
              <w:rPr>
                <w:rFonts w:ascii="Arial" w:cs="Arial" w:eastAsia="Arial" w:hAnsi="Arial"/>
                <w:sz w:val="18"/>
                <w:szCs w:val="18"/>
                <w:color w:val="auto"/>
              </w:rPr>
              <w:t>(86)</w:t>
            </w:r>
          </w:p>
        </w:tc>
        <w:tc>
          <w:tcPr>
            <w:tcW w:w="3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844</w:t>
            </w:r>
          </w:p>
        </w:tc>
      </w:tr>
      <w:tr>
        <w:trPr>
          <w:trHeight w:val="27"/>
        </w:trPr>
        <w:tc>
          <w:tcPr>
            <w:tcW w:w="734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5680" w:type="dxa"/>
            <w:vAlign w:val="bottom"/>
          </w:tcPr>
          <w:p>
            <w:pPr>
              <w:spacing w:after="0"/>
              <w:rPr>
                <w:sz w:val="20"/>
                <w:szCs w:val="20"/>
                <w:color w:val="auto"/>
              </w:rPr>
            </w:pPr>
            <w:r>
              <w:rPr>
                <w:rFonts w:ascii="Arial" w:cs="Arial" w:eastAsia="Arial" w:hAnsi="Arial"/>
                <w:sz w:val="18"/>
                <w:szCs w:val="18"/>
                <w:b w:val="1"/>
                <w:bCs w:val="1"/>
                <w:color w:val="auto"/>
              </w:rPr>
              <w:t>Total other income, net</w:t>
            </w:r>
          </w:p>
        </w:tc>
        <w:tc>
          <w:tcPr>
            <w:tcW w:w="16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4,621</w:t>
            </w:r>
          </w:p>
        </w:tc>
        <w:tc>
          <w:tcPr>
            <w:tcW w:w="360" w:type="dxa"/>
            <w:vAlign w:val="bottom"/>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2,217</w:t>
            </w:r>
          </w:p>
        </w:tc>
      </w:tr>
      <w:tr>
        <w:trPr>
          <w:trHeight w:val="27"/>
        </w:trPr>
        <w:tc>
          <w:tcPr>
            <w:tcW w:w="734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5680" w:type="dxa"/>
            <w:vAlign w:val="bottom"/>
          </w:tcPr>
          <w:p>
            <w:pPr>
              <w:spacing w:after="0"/>
              <w:rPr>
                <w:sz w:val="20"/>
                <w:szCs w:val="20"/>
                <w:color w:val="auto"/>
              </w:rPr>
            </w:pPr>
            <w:r>
              <w:rPr>
                <w:rFonts w:ascii="Arial" w:cs="Arial" w:eastAsia="Arial" w:hAnsi="Arial"/>
                <w:sz w:val="18"/>
                <w:szCs w:val="18"/>
                <w:b w:val="1"/>
                <w:bCs w:val="1"/>
                <w:color w:val="auto"/>
              </w:rPr>
              <w:t>Profit/(loss) before income taxes</w:t>
            </w:r>
          </w:p>
        </w:tc>
        <w:tc>
          <w:tcPr>
            <w:tcW w:w="16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11,178</w:t>
            </w:r>
          </w:p>
        </w:tc>
        <w:tc>
          <w:tcPr>
            <w:tcW w:w="360" w:type="dxa"/>
            <w:vAlign w:val="bottom"/>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(18,887)</w:t>
            </w:r>
          </w:p>
        </w:tc>
      </w:tr>
      <w:tr>
        <w:trPr>
          <w:trHeight w:val="270"/>
        </w:trPr>
        <w:tc>
          <w:tcPr>
            <w:tcW w:w="734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940" w:type="dxa"/>
            <w:vAlign w:val="bottom"/>
          </w:tcPr>
          <w:p>
            <w:pPr>
              <w:jc w:val="right"/>
              <w:spacing w:after="0"/>
              <w:rPr>
                <w:sz w:val="20"/>
                <w:szCs w:val="20"/>
                <w:color w:val="auto"/>
              </w:rPr>
            </w:pPr>
            <w:r>
              <w:rPr>
                <w:rFonts w:ascii="Arial" w:cs="Arial" w:eastAsia="Arial" w:hAnsi="Arial"/>
                <w:sz w:val="18"/>
                <w:szCs w:val="18"/>
                <w:color w:val="auto"/>
              </w:rPr>
              <w:t>(127)</w:t>
            </w:r>
          </w:p>
        </w:tc>
        <w:tc>
          <w:tcPr>
            <w:tcW w:w="3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568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7340" w:type="dxa"/>
            <w:vAlign w:val="bottom"/>
            <w:gridSpan w:val="2"/>
          </w:tcPr>
          <w:p>
            <w:pPr>
              <w:spacing w:after="0"/>
              <w:rPr>
                <w:sz w:val="20"/>
                <w:szCs w:val="20"/>
                <w:color w:val="auto"/>
              </w:rPr>
            </w:pPr>
            <w:r>
              <w:rPr>
                <w:rFonts w:ascii="Arial" w:cs="Arial" w:eastAsia="Arial" w:hAnsi="Arial"/>
                <w:sz w:val="18"/>
                <w:szCs w:val="18"/>
                <w:b w:val="1"/>
                <w:bCs w:val="1"/>
                <w:color w:val="auto"/>
              </w:rPr>
              <w:t>Net profit/(loss)</w:t>
            </w:r>
          </w:p>
        </w:tc>
        <w:tc>
          <w:tcPr>
            <w:tcW w:w="940" w:type="dxa"/>
            <w:vAlign w:val="bottom"/>
          </w:tcPr>
          <w:p>
            <w:pPr>
              <w:jc w:val="right"/>
              <w:spacing w:after="0"/>
              <w:rPr>
                <w:sz w:val="20"/>
                <w:szCs w:val="20"/>
                <w:color w:val="auto"/>
              </w:rPr>
            </w:pPr>
            <w:r>
              <w:rPr>
                <w:rFonts w:ascii="Arial" w:cs="Arial" w:eastAsia="Arial" w:hAnsi="Arial"/>
                <w:sz w:val="18"/>
                <w:szCs w:val="18"/>
                <w:color w:val="auto"/>
              </w:rPr>
              <w:t>$ 11,051</w:t>
            </w:r>
          </w:p>
        </w:tc>
        <w:tc>
          <w:tcPr>
            <w:tcW w:w="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 (18,931)</w:t>
            </w:r>
          </w:p>
        </w:tc>
      </w:tr>
      <w:tr>
        <w:trPr>
          <w:trHeight w:val="27"/>
        </w:trPr>
        <w:tc>
          <w:tcPr>
            <w:tcW w:w="568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0"/>
        </w:trPr>
        <w:tc>
          <w:tcPr>
            <w:tcW w:w="56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334" w:lineRule="exact"/>
        <w:rPr>
          <w:sz w:val="20"/>
          <w:szCs w:val="20"/>
          <w:color w:val="auto"/>
        </w:rPr>
      </w:pPr>
    </w:p>
    <w:tbl>
      <w:tblPr>
        <w:tblLayout w:type="fixed"/>
        <w:tblInd w:w="80" w:type="dxa"/>
        <w:tblCellMar>
          <w:top w:w="0" w:type="dxa"/>
          <w:left w:w="0" w:type="dxa"/>
          <w:bottom w:w="0" w:type="dxa"/>
          <w:right w:w="0" w:type="dxa"/>
        </w:tblCellMar>
      </w:tblPr>
      <w:tr>
        <w:trPr>
          <w:trHeight w:val="237"/>
        </w:trPr>
        <w:tc>
          <w:tcPr>
            <w:tcW w:w="5680" w:type="dxa"/>
            <w:vAlign w:val="bottom"/>
          </w:tcPr>
          <w:p>
            <w:pPr>
              <w:spacing w:after="0"/>
              <w:rPr>
                <w:sz w:val="20"/>
                <w:szCs w:val="20"/>
                <w:color w:val="auto"/>
              </w:rPr>
            </w:pPr>
            <w:r>
              <w:rPr>
                <w:rFonts w:ascii="Arial" w:cs="Arial" w:eastAsia="Arial" w:hAnsi="Arial"/>
                <w:sz w:val="20"/>
                <w:szCs w:val="20"/>
                <w:color w:val="auto"/>
              </w:rPr>
              <w:t>Weighted-average shares outstanding - basic</w:t>
            </w:r>
          </w:p>
        </w:tc>
        <w:tc>
          <w:tcPr>
            <w:tcW w:w="2600" w:type="dxa"/>
            <w:vAlign w:val="bottom"/>
          </w:tcPr>
          <w:p>
            <w:pPr>
              <w:jc w:val="right"/>
              <w:spacing w:after="0"/>
              <w:rPr>
                <w:sz w:val="20"/>
                <w:szCs w:val="20"/>
                <w:color w:val="auto"/>
              </w:rPr>
            </w:pPr>
            <w:r>
              <w:rPr>
                <w:rFonts w:ascii="Arial" w:cs="Arial" w:eastAsia="Arial" w:hAnsi="Arial"/>
                <w:sz w:val="18"/>
                <w:szCs w:val="18"/>
                <w:color w:val="auto"/>
              </w:rPr>
              <w:t>475,334,354</w:t>
            </w:r>
          </w:p>
        </w:tc>
        <w:tc>
          <w:tcPr>
            <w:tcW w:w="360" w:type="dxa"/>
            <w:vAlign w:val="bottom"/>
          </w:tcPr>
          <w:p>
            <w:pPr>
              <w:spacing w:after="0"/>
              <w:rPr>
                <w:sz w:val="20"/>
                <w:szCs w:val="20"/>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344,809,792</w:t>
            </w:r>
          </w:p>
        </w:tc>
        <w:tc>
          <w:tcPr>
            <w:tcW w:w="0" w:type="dxa"/>
            <w:vAlign w:val="bottom"/>
          </w:tcPr>
          <w:p>
            <w:pPr>
              <w:spacing w:after="0"/>
              <w:rPr>
                <w:sz w:val="1"/>
                <w:szCs w:val="1"/>
                <w:color w:val="auto"/>
              </w:rPr>
            </w:pPr>
          </w:p>
        </w:tc>
      </w:tr>
      <w:tr>
        <w:trPr>
          <w:trHeight w:val="297"/>
        </w:trPr>
        <w:tc>
          <w:tcPr>
            <w:tcW w:w="5680" w:type="dxa"/>
            <w:vAlign w:val="bottom"/>
          </w:tcPr>
          <w:p>
            <w:pPr>
              <w:spacing w:after="0"/>
              <w:rPr>
                <w:sz w:val="20"/>
                <w:szCs w:val="20"/>
                <w:color w:val="auto"/>
              </w:rPr>
            </w:pPr>
            <w:r>
              <w:rPr>
                <w:rFonts w:ascii="Arial" w:cs="Arial" w:eastAsia="Arial" w:hAnsi="Arial"/>
                <w:sz w:val="20"/>
                <w:szCs w:val="20"/>
                <w:color w:val="auto"/>
              </w:rPr>
              <w:t>Weighted-average shares outstanding -diluted</w:t>
            </w:r>
          </w:p>
        </w:tc>
        <w:tc>
          <w:tcPr>
            <w:tcW w:w="2600" w:type="dxa"/>
            <w:vAlign w:val="bottom"/>
          </w:tcPr>
          <w:p>
            <w:pPr>
              <w:jc w:val="right"/>
              <w:spacing w:after="0"/>
              <w:rPr>
                <w:sz w:val="20"/>
                <w:szCs w:val="20"/>
                <w:color w:val="auto"/>
              </w:rPr>
            </w:pPr>
            <w:r>
              <w:rPr>
                <w:rFonts w:ascii="Arial" w:cs="Arial" w:eastAsia="Arial" w:hAnsi="Arial"/>
                <w:sz w:val="18"/>
                <w:szCs w:val="18"/>
                <w:color w:val="auto"/>
              </w:rPr>
              <w:t>515,819,439</w:t>
            </w:r>
          </w:p>
        </w:tc>
        <w:tc>
          <w:tcPr>
            <w:tcW w:w="360" w:type="dxa"/>
            <w:vAlign w:val="bottom"/>
          </w:tcPr>
          <w:p>
            <w:pPr>
              <w:spacing w:after="0"/>
              <w:rPr>
                <w:sz w:val="24"/>
                <w:szCs w:val="24"/>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344,809,792</w:t>
            </w:r>
          </w:p>
        </w:tc>
        <w:tc>
          <w:tcPr>
            <w:tcW w:w="0" w:type="dxa"/>
            <w:vAlign w:val="bottom"/>
          </w:tcPr>
          <w:p>
            <w:pPr>
              <w:spacing w:after="0"/>
              <w:rPr>
                <w:sz w:val="1"/>
                <w:szCs w:val="1"/>
                <w:color w:val="auto"/>
              </w:rPr>
            </w:pPr>
          </w:p>
        </w:tc>
      </w:tr>
      <w:tr>
        <w:trPr>
          <w:trHeight w:val="570"/>
        </w:trPr>
        <w:tc>
          <w:tcPr>
            <w:tcW w:w="5680" w:type="dxa"/>
            <w:vAlign w:val="bottom"/>
          </w:tcPr>
          <w:p>
            <w:pPr>
              <w:spacing w:after="0"/>
              <w:rPr>
                <w:sz w:val="20"/>
                <w:szCs w:val="20"/>
                <w:color w:val="auto"/>
              </w:rPr>
            </w:pPr>
            <w:r>
              <w:rPr>
                <w:rFonts w:ascii="Arial" w:cs="Arial" w:eastAsia="Arial" w:hAnsi="Arial"/>
                <w:sz w:val="20"/>
                <w:szCs w:val="20"/>
                <w:color w:val="auto"/>
              </w:rPr>
              <w:t>Profit / (loss) per ordinary share - basic</w:t>
            </w:r>
          </w:p>
        </w:tc>
        <w:tc>
          <w:tcPr>
            <w:tcW w:w="2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$ 0.02</w:t>
            </w:r>
          </w:p>
        </w:tc>
        <w:tc>
          <w:tcPr>
            <w:tcW w:w="360" w:type="dxa"/>
            <w:vAlign w:val="bottom"/>
          </w:tcPr>
          <w:p>
            <w:pPr>
              <w:spacing w:after="0"/>
              <w:rPr>
                <w:sz w:val="24"/>
                <w:szCs w:val="24"/>
                <w:color w:val="auto"/>
              </w:rPr>
            </w:pPr>
          </w:p>
        </w:tc>
        <w:tc>
          <w:tcPr>
            <w:tcW w:w="2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(0.05)</w:t>
            </w: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Arial" w:cs="Arial" w:eastAsia="Arial" w:hAnsi="Arial"/>
                <w:sz w:val="20"/>
                <w:szCs w:val="20"/>
                <w:color w:val="auto"/>
              </w:rPr>
              <w:t>Profit / (loss) per ordinary share - diluted</w:t>
            </w:r>
          </w:p>
        </w:tc>
        <w:tc>
          <w:tcPr>
            <w:tcW w:w="2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5680" w:type="dxa"/>
            <w:vAlign w:val="bottom"/>
            <w:vMerge w:val="continue"/>
          </w:tcPr>
          <w:p>
            <w:pPr>
              <w:spacing w:after="0"/>
              <w:rPr>
                <w:sz w:val="20"/>
                <w:szCs w:val="20"/>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$ 0.02</w:t>
            </w:r>
          </w:p>
        </w:tc>
        <w:tc>
          <w:tcPr>
            <w:tcW w:w="360" w:type="dxa"/>
            <w:vAlign w:val="bottom"/>
          </w:tcPr>
          <w:p>
            <w:pPr>
              <w:spacing w:after="0"/>
              <w:rPr>
                <w:sz w:val="20"/>
                <w:szCs w:val="20"/>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 (0.05)</w:t>
            </w:r>
          </w:p>
        </w:tc>
        <w:tc>
          <w:tcPr>
            <w:tcW w:w="0" w:type="dxa"/>
            <w:vAlign w:val="bottom"/>
          </w:tcPr>
          <w:p>
            <w:pPr>
              <w:spacing w:after="0"/>
              <w:rPr>
                <w:sz w:val="1"/>
                <w:szCs w:val="1"/>
                <w:color w:val="auto"/>
              </w:rPr>
            </w:pPr>
          </w:p>
        </w:tc>
      </w:tr>
      <w:tr>
        <w:trPr>
          <w:trHeight w:val="23"/>
        </w:trPr>
        <w:tc>
          <w:tcPr>
            <w:tcW w:w="568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680" w:type="dxa"/>
            <w:vAlign w:val="bottom"/>
          </w:tcPr>
          <w:p>
            <w:pPr>
              <w:spacing w:after="0"/>
              <w:rPr>
                <w:sz w:val="24"/>
                <w:szCs w:val="24"/>
                <w:color w:val="auto"/>
              </w:rPr>
            </w:pPr>
          </w:p>
        </w:tc>
        <w:tc>
          <w:tcPr>
            <w:tcW w:w="2960" w:type="dxa"/>
            <w:vAlign w:val="bottom"/>
            <w:gridSpan w:val="2"/>
          </w:tcPr>
          <w:p>
            <w:pPr>
              <w:ind w:left="1000"/>
              <w:spacing w:after="0"/>
              <w:rPr>
                <w:sz w:val="20"/>
                <w:szCs w:val="20"/>
                <w:color w:val="auto"/>
              </w:rPr>
            </w:pPr>
            <w:r>
              <w:rPr>
                <w:rFonts w:ascii="Arial" w:cs="Arial" w:eastAsia="Arial" w:hAnsi="Arial"/>
                <w:sz w:val="18"/>
                <w:szCs w:val="18"/>
                <w:color w:val="auto"/>
              </w:rPr>
              <w:t>Sep-30</w:t>
            </w:r>
          </w:p>
        </w:tc>
        <w:tc>
          <w:tcPr>
            <w:tcW w:w="2540" w:type="dxa"/>
            <w:vAlign w:val="bottom"/>
          </w:tcPr>
          <w:p>
            <w:pPr>
              <w:jc w:val="right"/>
              <w:ind w:right="910"/>
              <w:spacing w:after="0"/>
              <w:rPr>
                <w:sz w:val="20"/>
                <w:szCs w:val="20"/>
                <w:color w:val="auto"/>
              </w:rPr>
            </w:pPr>
            <w:r>
              <w:rPr>
                <w:rFonts w:ascii="Arial" w:cs="Arial" w:eastAsia="Arial" w:hAnsi="Arial"/>
                <w:sz w:val="18"/>
                <w:szCs w:val="18"/>
                <w:color w:val="auto"/>
              </w:rPr>
              <w:t>Dec-31</w:t>
            </w:r>
          </w:p>
        </w:tc>
        <w:tc>
          <w:tcPr>
            <w:tcW w:w="0" w:type="dxa"/>
            <w:vAlign w:val="bottom"/>
          </w:tcPr>
          <w:p>
            <w:pPr>
              <w:spacing w:after="0"/>
              <w:rPr>
                <w:sz w:val="1"/>
                <w:szCs w:val="1"/>
                <w:color w:val="auto"/>
              </w:rPr>
            </w:pPr>
          </w:p>
        </w:tc>
      </w:tr>
      <w:tr>
        <w:trPr>
          <w:trHeight w:val="297"/>
        </w:trPr>
        <w:tc>
          <w:tcPr>
            <w:tcW w:w="5680" w:type="dxa"/>
            <w:vAlign w:val="bottom"/>
          </w:tcPr>
          <w:p>
            <w:pPr>
              <w:spacing w:after="0"/>
              <w:rPr>
                <w:sz w:val="24"/>
                <w:szCs w:val="24"/>
                <w:color w:val="auto"/>
              </w:rPr>
            </w:pPr>
          </w:p>
        </w:tc>
        <w:tc>
          <w:tcPr>
            <w:tcW w:w="2600" w:type="dxa"/>
            <w:vAlign w:val="bottom"/>
          </w:tcPr>
          <w:p>
            <w:pPr>
              <w:jc w:val="right"/>
              <w:ind w:right="1010"/>
              <w:spacing w:after="0"/>
              <w:rPr>
                <w:sz w:val="20"/>
                <w:szCs w:val="20"/>
                <w:color w:val="auto"/>
              </w:rPr>
            </w:pPr>
            <w:r>
              <w:rPr>
                <w:rFonts w:ascii="Arial" w:cs="Arial" w:eastAsia="Arial" w:hAnsi="Arial"/>
                <w:sz w:val="18"/>
                <w:szCs w:val="18"/>
                <w:color w:val="auto"/>
              </w:rPr>
              <w:t>2021</w:t>
            </w:r>
          </w:p>
        </w:tc>
        <w:tc>
          <w:tcPr>
            <w:tcW w:w="360" w:type="dxa"/>
            <w:vAlign w:val="bottom"/>
          </w:tcPr>
          <w:p>
            <w:pPr>
              <w:spacing w:after="0"/>
              <w:rPr>
                <w:sz w:val="24"/>
                <w:szCs w:val="24"/>
                <w:color w:val="auto"/>
              </w:rPr>
            </w:pPr>
          </w:p>
        </w:tc>
        <w:tc>
          <w:tcPr>
            <w:tcW w:w="2540" w:type="dxa"/>
            <w:vAlign w:val="bottom"/>
          </w:tcPr>
          <w:p>
            <w:pPr>
              <w:jc w:val="right"/>
              <w:ind w:right="99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40"/>
        </w:trPr>
        <w:tc>
          <w:tcPr>
            <w:tcW w:w="5680" w:type="dxa"/>
            <w:vAlign w:val="bottom"/>
          </w:tcPr>
          <w:p>
            <w:pPr>
              <w:spacing w:after="0"/>
              <w:rPr>
                <w:sz w:val="3"/>
                <w:szCs w:val="3"/>
                <w:color w:val="auto"/>
              </w:rPr>
            </w:pPr>
          </w:p>
        </w:tc>
        <w:tc>
          <w:tcPr>
            <w:tcW w:w="260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2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534"/>
        </w:trPr>
        <w:tc>
          <w:tcPr>
            <w:tcW w:w="56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600" w:type="dxa"/>
            <w:vAlign w:val="bottom"/>
          </w:tcPr>
          <w:p>
            <w:pPr>
              <w:jc w:val="right"/>
              <w:spacing w:after="0"/>
              <w:rPr>
                <w:sz w:val="20"/>
                <w:szCs w:val="20"/>
                <w:color w:val="auto"/>
              </w:rPr>
            </w:pPr>
            <w:r>
              <w:rPr>
                <w:rFonts w:ascii="Arial" w:cs="Arial" w:eastAsia="Arial" w:hAnsi="Arial"/>
                <w:sz w:val="18"/>
                <w:szCs w:val="18"/>
                <w:color w:val="auto"/>
              </w:rPr>
              <w:t>$ 166,547</w:t>
            </w:r>
          </w:p>
        </w:tc>
        <w:tc>
          <w:tcPr>
            <w:tcW w:w="360" w:type="dxa"/>
            <w:vAlign w:val="bottom"/>
          </w:tcPr>
          <w:p>
            <w:pPr>
              <w:spacing w:after="0"/>
              <w:rPr>
                <w:sz w:val="24"/>
                <w:szCs w:val="24"/>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$ 187,986</w:t>
            </w:r>
          </w:p>
        </w:tc>
        <w:tc>
          <w:tcPr>
            <w:tcW w:w="0" w:type="dxa"/>
            <w:vAlign w:val="bottom"/>
          </w:tcPr>
          <w:p>
            <w:pPr>
              <w:spacing w:after="0"/>
              <w:rPr>
                <w:sz w:val="1"/>
                <w:szCs w:val="1"/>
                <w:color w:val="auto"/>
              </w:rPr>
            </w:pPr>
          </w:p>
        </w:tc>
      </w:tr>
      <w:tr>
        <w:trPr>
          <w:trHeight w:val="270"/>
        </w:trPr>
        <w:tc>
          <w:tcPr>
            <w:tcW w:w="5680" w:type="dxa"/>
            <w:vAlign w:val="bottom"/>
          </w:tcPr>
          <w:p>
            <w:pPr>
              <w:spacing w:after="0"/>
              <w:rPr>
                <w:sz w:val="20"/>
                <w:szCs w:val="20"/>
                <w:color w:val="auto"/>
              </w:rPr>
            </w:pPr>
            <w:r>
              <w:rPr>
                <w:rFonts w:ascii="Arial" w:cs="Arial" w:eastAsia="Arial" w:hAnsi="Arial"/>
                <w:sz w:val="18"/>
                <w:szCs w:val="18"/>
                <w:color w:val="auto"/>
              </w:rPr>
              <w:t>Total assets</w:t>
            </w:r>
          </w:p>
        </w:tc>
        <w:tc>
          <w:tcPr>
            <w:tcW w:w="2600" w:type="dxa"/>
            <w:vAlign w:val="bottom"/>
          </w:tcPr>
          <w:p>
            <w:pPr>
              <w:jc w:val="right"/>
              <w:spacing w:after="0"/>
              <w:rPr>
                <w:sz w:val="20"/>
                <w:szCs w:val="20"/>
                <w:color w:val="auto"/>
              </w:rPr>
            </w:pPr>
            <w:r>
              <w:rPr>
                <w:rFonts w:ascii="Arial" w:cs="Arial" w:eastAsia="Arial" w:hAnsi="Arial"/>
                <w:sz w:val="18"/>
                <w:szCs w:val="18"/>
                <w:color w:val="auto"/>
              </w:rPr>
              <w:t>$ 201,560</w:t>
            </w:r>
          </w:p>
        </w:tc>
        <w:tc>
          <w:tcPr>
            <w:tcW w:w="360" w:type="dxa"/>
            <w:vAlign w:val="bottom"/>
          </w:tcPr>
          <w:p>
            <w:pPr>
              <w:spacing w:after="0"/>
              <w:rPr>
                <w:sz w:val="23"/>
                <w:szCs w:val="23"/>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$ 204,206</w:t>
            </w:r>
          </w:p>
        </w:tc>
        <w:tc>
          <w:tcPr>
            <w:tcW w:w="0" w:type="dxa"/>
            <w:vAlign w:val="bottom"/>
          </w:tcPr>
          <w:p>
            <w:pPr>
              <w:spacing w:after="0"/>
              <w:rPr>
                <w:sz w:val="1"/>
                <w:szCs w:val="1"/>
                <w:color w:val="auto"/>
              </w:rPr>
            </w:pPr>
          </w:p>
        </w:tc>
      </w:tr>
      <w:tr>
        <w:trPr>
          <w:trHeight w:val="270"/>
        </w:trPr>
        <w:tc>
          <w:tcPr>
            <w:tcW w:w="5680" w:type="dxa"/>
            <w:vAlign w:val="bottom"/>
          </w:tcPr>
          <w:p>
            <w:pPr>
              <w:spacing w:after="0"/>
              <w:rPr>
                <w:sz w:val="20"/>
                <w:szCs w:val="20"/>
                <w:color w:val="auto"/>
              </w:rPr>
            </w:pPr>
            <w:r>
              <w:rPr>
                <w:rFonts w:ascii="Arial" w:cs="Arial" w:eastAsia="Arial" w:hAnsi="Arial"/>
                <w:sz w:val="18"/>
                <w:szCs w:val="18"/>
                <w:color w:val="auto"/>
              </w:rPr>
              <w:t>Equity</w:t>
            </w:r>
          </w:p>
        </w:tc>
        <w:tc>
          <w:tcPr>
            <w:tcW w:w="2600" w:type="dxa"/>
            <w:vAlign w:val="bottom"/>
          </w:tcPr>
          <w:p>
            <w:pPr>
              <w:jc w:val="right"/>
              <w:spacing w:after="0"/>
              <w:rPr>
                <w:sz w:val="20"/>
                <w:szCs w:val="20"/>
                <w:color w:val="auto"/>
              </w:rPr>
            </w:pPr>
            <w:r>
              <w:rPr>
                <w:rFonts w:ascii="Arial" w:cs="Arial" w:eastAsia="Arial" w:hAnsi="Arial"/>
                <w:sz w:val="18"/>
                <w:szCs w:val="18"/>
                <w:color w:val="auto"/>
              </w:rPr>
              <w:t>$ 168,202</w:t>
            </w:r>
          </w:p>
        </w:tc>
        <w:tc>
          <w:tcPr>
            <w:tcW w:w="360" w:type="dxa"/>
            <w:vAlign w:val="bottom"/>
          </w:tcPr>
          <w:p>
            <w:pPr>
              <w:spacing w:after="0"/>
              <w:rPr>
                <w:sz w:val="23"/>
                <w:szCs w:val="23"/>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$ 184,854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143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w:t>
      </w:r>
    </w:p>
    <w:sectPr>
      <w:pgSz w:w="11900" w:h="16838" w:orient="portrait"/>
      <w:cols w:equalWidth="0" w:num="1">
        <w:col w:w="11260"/>
      </w:cols>
      <w:pgMar w:left="320" w:top="1430"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lvl w:ilvl="1">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2021-11-09T08:02:34Z</dcterms:created>
  <dcterms:modified xsi:type="dcterms:W3CDTF">2021-11-09T08:02:34Z</dcterms:modified>
</cp:coreProperties>
</file>