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4"/>
          <w:szCs w:val="24"/>
          <w:color w:val="auto"/>
        </w:rPr>
      </w:pPr>
    </w:p>
    <w:p>
      <w:pPr>
        <w:spacing w:after="0" w:line="264" w:lineRule="exact"/>
        <w:rPr>
          <w:sz w:val="24"/>
          <w:szCs w:val="24"/>
          <w:color w:val="auto"/>
        </w:rPr>
      </w:pPr>
    </w:p>
    <w:p>
      <w:pPr>
        <w:ind w:left="2660"/>
        <w:spacing w:after="0"/>
        <w:rPr>
          <w:sz w:val="20"/>
          <w:szCs w:val="20"/>
          <w:color w:val="auto"/>
        </w:rPr>
      </w:pPr>
      <w:r>
        <w:rPr>
          <w:rFonts w:ascii="Arial" w:cs="Arial" w:eastAsia="Arial" w:hAnsi="Arial"/>
          <w:sz w:val="18"/>
          <w:szCs w:val="18"/>
          <w:b w:val="1"/>
          <w:bCs w:val="1"/>
          <w:color w:val="auto"/>
        </w:rPr>
        <w:t>As filed with the Securities and Exchange Commission on March 19, 2021</w:t>
      </w:r>
    </w:p>
    <w:p>
      <w:pPr>
        <w:spacing w:after="0" w:line="50" w:lineRule="exact"/>
        <w:rPr>
          <w:sz w:val="24"/>
          <w:szCs w:val="24"/>
          <w:color w:val="auto"/>
        </w:rPr>
      </w:pPr>
    </w:p>
    <w:p>
      <w:pPr>
        <w:ind w:left="79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311150</wp:posOffset>
            </wp:positionH>
            <wp:positionV relativeFrom="paragraph">
              <wp:posOffset>43180</wp:posOffset>
            </wp:positionV>
            <wp:extent cx="618934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9345" cy="25400"/>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102870</wp:posOffset>
            </wp:positionV>
            <wp:extent cx="61893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9345" cy="8255"/>
                    </a:xfrm>
                    <a:prstGeom prst="rect">
                      <a:avLst/>
                    </a:prstGeom>
                    <a:noFill/>
                  </pic:spPr>
                </pic:pic>
              </a:graphicData>
            </a:graphic>
          </wp:anchor>
        </w:drawing>
      </w:r>
    </w:p>
    <w:p>
      <w:pPr>
        <w:spacing w:after="0" w:line="371"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UNITED STATES</w:t>
      </w:r>
    </w:p>
    <w:p>
      <w:pPr>
        <w:spacing w:after="0" w:line="19" w:lineRule="exact"/>
        <w:rPr>
          <w:sz w:val="24"/>
          <w:szCs w:val="24"/>
          <w:color w:val="auto"/>
        </w:rPr>
      </w:pPr>
    </w:p>
    <w:p>
      <w:pPr>
        <w:jc w:val="center"/>
        <w:ind w:right="-599"/>
        <w:spacing w:after="0"/>
        <w:rPr>
          <w:sz w:val="20"/>
          <w:szCs w:val="20"/>
          <w:color w:val="auto"/>
        </w:rPr>
      </w:pPr>
      <w:r>
        <w:rPr>
          <w:rFonts w:ascii="Arial" w:cs="Arial" w:eastAsia="Arial" w:hAnsi="Arial"/>
          <w:sz w:val="32"/>
          <w:szCs w:val="32"/>
          <w:b w:val="1"/>
          <w:bCs w:val="1"/>
          <w:color w:val="auto"/>
        </w:rPr>
        <w:t>SECURITIES AND EXCHANGE COMMISSION</w:t>
      </w:r>
    </w:p>
    <w:p>
      <w:pPr>
        <w:spacing w:after="0" w:line="17"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116205</wp:posOffset>
            </wp:positionV>
            <wp:extent cx="12344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43" w:lineRule="exact"/>
        <w:rPr>
          <w:sz w:val="24"/>
          <w:szCs w:val="24"/>
          <w:color w:val="auto"/>
        </w:rPr>
      </w:pPr>
    </w:p>
    <w:p>
      <w:pPr>
        <w:jc w:val="center"/>
        <w:ind w:right="-599"/>
        <w:spacing w:after="0"/>
        <w:rPr>
          <w:sz w:val="20"/>
          <w:szCs w:val="20"/>
          <w:color w:val="auto"/>
        </w:rPr>
      </w:pPr>
      <w:r>
        <w:rPr>
          <w:rFonts w:ascii="Arial" w:cs="Arial" w:eastAsia="Arial" w:hAnsi="Arial"/>
          <w:sz w:val="32"/>
          <w:szCs w:val="32"/>
          <w:b w:val="1"/>
          <w:bCs w:val="1"/>
          <w:color w:val="auto"/>
        </w:rPr>
        <w:t>Form S-3</w:t>
      </w:r>
    </w:p>
    <w:p>
      <w:pPr>
        <w:spacing w:after="0" w:line="53"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REGISTRATION STATEMENT</w:t>
      </w:r>
    </w:p>
    <w:p>
      <w:pPr>
        <w:spacing w:after="0" w:line="21"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117475</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58" w:lineRule="exact"/>
        <w:rPr>
          <w:sz w:val="24"/>
          <w:szCs w:val="24"/>
          <w:color w:val="auto"/>
        </w:rPr>
      </w:pPr>
    </w:p>
    <w:tbl>
      <w:tblPr>
        <w:tblLayout w:type="fixed"/>
        <w:tblInd w:w="1980" w:type="dxa"/>
        <w:tblCellMar>
          <w:top w:w="0" w:type="dxa"/>
          <w:left w:w="0" w:type="dxa"/>
          <w:bottom w:w="0" w:type="dxa"/>
          <w:right w:w="0" w:type="dxa"/>
        </w:tblCellMar>
      </w:tblPr>
      <w:tr>
        <w:trPr>
          <w:trHeight w:val="383"/>
        </w:trPr>
        <w:tc>
          <w:tcPr>
            <w:tcW w:w="1840" w:type="dxa"/>
            <w:vAlign w:val="bottom"/>
          </w:tcPr>
          <w:p>
            <w:pPr>
              <w:spacing w:after="0"/>
              <w:rPr>
                <w:sz w:val="24"/>
                <w:szCs w:val="24"/>
                <w:color w:val="auto"/>
              </w:rPr>
            </w:pPr>
          </w:p>
        </w:tc>
        <w:tc>
          <w:tcPr>
            <w:tcW w:w="4700" w:type="dxa"/>
            <w:vAlign w:val="bottom"/>
            <w:gridSpan w:val="3"/>
          </w:tcPr>
          <w:p>
            <w:pPr>
              <w:jc w:val="center"/>
              <w:ind w:right="1522"/>
              <w:spacing w:after="0"/>
              <w:rPr>
                <w:sz w:val="20"/>
                <w:szCs w:val="20"/>
                <w:color w:val="auto"/>
              </w:rPr>
            </w:pPr>
            <w:r>
              <w:rPr>
                <w:rFonts w:ascii="Arial" w:cs="Arial" w:eastAsia="Arial" w:hAnsi="Arial"/>
                <w:sz w:val="32"/>
                <w:szCs w:val="32"/>
                <w:b w:val="1"/>
                <w:bCs w:val="1"/>
                <w:color w:val="auto"/>
                <w:w w:val="88"/>
              </w:rPr>
              <w:t>Verona Pharma plc</w:t>
            </w:r>
          </w:p>
        </w:tc>
        <w:tc>
          <w:tcPr>
            <w:tcW w:w="0" w:type="dxa"/>
            <w:vAlign w:val="bottom"/>
          </w:tcPr>
          <w:p>
            <w:pPr>
              <w:spacing w:after="0"/>
              <w:rPr>
                <w:sz w:val="1"/>
                <w:szCs w:val="1"/>
                <w:color w:val="auto"/>
              </w:rPr>
            </w:pPr>
          </w:p>
        </w:tc>
      </w:tr>
      <w:tr>
        <w:trPr>
          <w:trHeight w:val="186"/>
        </w:trPr>
        <w:tc>
          <w:tcPr>
            <w:tcW w:w="1840" w:type="dxa"/>
            <w:vAlign w:val="bottom"/>
          </w:tcPr>
          <w:p>
            <w:pPr>
              <w:spacing w:after="0"/>
              <w:rPr>
                <w:sz w:val="16"/>
                <w:szCs w:val="16"/>
                <w:color w:val="auto"/>
              </w:rPr>
            </w:pPr>
          </w:p>
        </w:tc>
        <w:tc>
          <w:tcPr>
            <w:tcW w:w="4700" w:type="dxa"/>
            <w:vAlign w:val="bottom"/>
            <w:gridSpan w:val="3"/>
          </w:tcPr>
          <w:p>
            <w:pPr>
              <w:jc w:val="center"/>
              <w:ind w:right="1522"/>
              <w:spacing w:after="0"/>
              <w:rPr>
                <w:sz w:val="20"/>
                <w:szCs w:val="20"/>
                <w:color w:val="auto"/>
              </w:rPr>
            </w:pPr>
            <w:r>
              <w:rPr>
                <w:rFonts w:ascii="Arial" w:cs="Arial" w:eastAsia="Arial" w:hAnsi="Arial"/>
                <w:sz w:val="14"/>
                <w:szCs w:val="14"/>
                <w:b w:val="1"/>
                <w:bCs w:val="1"/>
                <w:color w:val="auto"/>
                <w:w w:val="87"/>
              </w:rPr>
              <w:t>(Exact name of registrant as specified in its charter)</w:t>
            </w:r>
          </w:p>
        </w:tc>
        <w:tc>
          <w:tcPr>
            <w:tcW w:w="0" w:type="dxa"/>
            <w:vAlign w:val="bottom"/>
          </w:tcPr>
          <w:p>
            <w:pPr>
              <w:spacing w:after="0"/>
              <w:rPr>
                <w:sz w:val="1"/>
                <w:szCs w:val="1"/>
                <w:color w:val="auto"/>
              </w:rPr>
            </w:pPr>
          </w:p>
        </w:tc>
      </w:tr>
      <w:tr>
        <w:trPr>
          <w:trHeight w:val="174"/>
        </w:trPr>
        <w:tc>
          <w:tcPr>
            <w:tcW w:w="1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United Kingdom</w:t>
            </w:r>
          </w:p>
        </w:tc>
        <w:tc>
          <w:tcPr>
            <w:tcW w:w="580" w:type="dxa"/>
            <w:vAlign w:val="bottom"/>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2180" w:type="dxa"/>
            <w:vAlign w:val="bottom"/>
            <w:vMerge w:val="restart"/>
          </w:tcPr>
          <w:p>
            <w:pPr>
              <w:jc w:val="center"/>
              <w:ind w:left="742"/>
              <w:spacing w:after="0"/>
              <w:rPr>
                <w:sz w:val="20"/>
                <w:szCs w:val="20"/>
                <w:color w:val="auto"/>
              </w:rPr>
            </w:pPr>
            <w:r>
              <w:rPr>
                <w:rFonts w:ascii="Arial" w:cs="Arial" w:eastAsia="Arial" w:hAnsi="Arial"/>
                <w:sz w:val="18"/>
                <w:szCs w:val="18"/>
                <w:b w:val="1"/>
                <w:bCs w:val="1"/>
                <w:color w:val="auto"/>
                <w:w w:val="88"/>
              </w:rPr>
              <w:t>Not Applicable</w:t>
            </w:r>
          </w:p>
        </w:tc>
        <w:tc>
          <w:tcPr>
            <w:tcW w:w="0" w:type="dxa"/>
            <w:vAlign w:val="bottom"/>
          </w:tcPr>
          <w:p>
            <w:pPr>
              <w:spacing w:after="0"/>
              <w:rPr>
                <w:sz w:val="1"/>
                <w:szCs w:val="1"/>
                <w:color w:val="auto"/>
              </w:rPr>
            </w:pPr>
          </w:p>
        </w:tc>
      </w:tr>
      <w:tr>
        <w:trPr>
          <w:trHeight w:val="227"/>
        </w:trPr>
        <w:tc>
          <w:tcPr>
            <w:tcW w:w="184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21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1840" w:type="dxa"/>
            <w:vAlign w:val="bottom"/>
          </w:tcPr>
          <w:p>
            <w:pPr>
              <w:jc w:val="center"/>
              <w:ind w:right="22"/>
              <w:spacing w:after="0" w:line="145" w:lineRule="exact"/>
              <w:rPr>
                <w:sz w:val="20"/>
                <w:szCs w:val="20"/>
                <w:color w:val="auto"/>
              </w:rPr>
            </w:pPr>
            <w:r>
              <w:rPr>
                <w:rFonts w:ascii="Arial" w:cs="Arial" w:eastAsia="Arial" w:hAnsi="Arial"/>
                <w:sz w:val="14"/>
                <w:szCs w:val="14"/>
                <w:b w:val="1"/>
                <w:bCs w:val="1"/>
                <w:color w:val="auto"/>
                <w:w w:val="88"/>
              </w:rPr>
              <w:t>(State or other jurisdiction of</w:t>
            </w:r>
          </w:p>
        </w:tc>
        <w:tc>
          <w:tcPr>
            <w:tcW w:w="5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2180" w:type="dxa"/>
            <w:vAlign w:val="bottom"/>
          </w:tcPr>
          <w:p>
            <w:pPr>
              <w:jc w:val="center"/>
              <w:ind w:left="702"/>
              <w:spacing w:after="0" w:line="145" w:lineRule="exact"/>
              <w:rPr>
                <w:sz w:val="20"/>
                <w:szCs w:val="20"/>
                <w:color w:val="auto"/>
              </w:rPr>
            </w:pPr>
            <w:r>
              <w:rPr>
                <w:rFonts w:ascii="Arial" w:cs="Arial" w:eastAsia="Arial" w:hAnsi="Arial"/>
                <w:sz w:val="14"/>
                <w:szCs w:val="14"/>
                <w:b w:val="1"/>
                <w:bCs w:val="1"/>
                <w:color w:val="auto"/>
                <w:w w:val="93"/>
              </w:rPr>
              <w:t>(I.R.S. Employer</w:t>
            </w:r>
          </w:p>
        </w:tc>
        <w:tc>
          <w:tcPr>
            <w:tcW w:w="0" w:type="dxa"/>
            <w:vAlign w:val="bottom"/>
          </w:tcPr>
          <w:p>
            <w:pPr>
              <w:spacing w:after="0"/>
              <w:rPr>
                <w:sz w:val="1"/>
                <w:szCs w:val="1"/>
                <w:color w:val="auto"/>
              </w:rPr>
            </w:pPr>
          </w:p>
        </w:tc>
      </w:tr>
      <w:tr>
        <w:trPr>
          <w:trHeight w:val="186"/>
        </w:trPr>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89"/>
              </w:rPr>
              <w:t>incorporation or organization)</w:t>
            </w:r>
          </w:p>
        </w:tc>
        <w:tc>
          <w:tcPr>
            <w:tcW w:w="5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180" w:type="dxa"/>
            <w:vAlign w:val="bottom"/>
          </w:tcPr>
          <w:p>
            <w:pPr>
              <w:jc w:val="center"/>
              <w:ind w:left="742"/>
              <w:spacing w:after="0"/>
              <w:rPr>
                <w:sz w:val="20"/>
                <w:szCs w:val="20"/>
                <w:color w:val="auto"/>
              </w:rPr>
            </w:pPr>
            <w:r>
              <w:rPr>
                <w:rFonts w:ascii="Arial" w:cs="Arial" w:eastAsia="Arial" w:hAnsi="Arial"/>
                <w:sz w:val="14"/>
                <w:szCs w:val="14"/>
                <w:b w:val="1"/>
                <w:bCs w:val="1"/>
                <w:color w:val="auto"/>
                <w:w w:val="91"/>
              </w:rPr>
              <w:t>Identification Number)</w:t>
            </w:r>
          </w:p>
        </w:tc>
        <w:tc>
          <w:tcPr>
            <w:tcW w:w="0" w:type="dxa"/>
            <w:vAlign w:val="bottom"/>
          </w:tcPr>
          <w:p>
            <w:pPr>
              <w:spacing w:after="0"/>
              <w:rPr>
                <w:sz w:val="1"/>
                <w:szCs w:val="1"/>
                <w:color w:val="auto"/>
              </w:rPr>
            </w:pPr>
          </w:p>
        </w:tc>
      </w:tr>
    </w:tbl>
    <w:p>
      <w:pPr>
        <w:spacing w:after="0" w:line="52"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3 More London Riverside</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London SE1 2RE</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United Kingdom</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+(44) 203 283 4200</w:t>
      </w:r>
    </w:p>
    <w:p>
      <w:pPr>
        <w:spacing w:after="0" w:line="13" w:lineRule="exact"/>
        <w:rPr>
          <w:sz w:val="24"/>
          <w:szCs w:val="24"/>
          <w:color w:val="auto"/>
        </w:rPr>
      </w:pPr>
    </w:p>
    <w:p>
      <w:pPr>
        <w:jc w:val="center"/>
        <w:ind w:right="-5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79" w:lineRule="exact"/>
        <w:rPr>
          <w:sz w:val="24"/>
          <w:szCs w:val="24"/>
          <w:color w:val="auto"/>
        </w:rPr>
      </w:pPr>
    </w:p>
    <w:p>
      <w:pPr>
        <w:jc w:val="center"/>
        <w:ind w:right="-539"/>
        <w:spacing w:after="0"/>
        <w:rPr>
          <w:sz w:val="20"/>
          <w:szCs w:val="20"/>
          <w:color w:val="auto"/>
        </w:rPr>
      </w:pPr>
      <w:r>
        <w:rPr>
          <w:rFonts w:ascii="Arial" w:cs="Arial" w:eastAsia="Arial" w:hAnsi="Arial"/>
          <w:sz w:val="16"/>
          <w:szCs w:val="16"/>
          <w:b w:val="1"/>
          <w:bCs w:val="1"/>
          <w:color w:val="auto"/>
        </w:rPr>
        <w:t>Cogency Global Inc.</w:t>
      </w:r>
    </w:p>
    <w:p>
      <w:pPr>
        <w:jc w:val="center"/>
        <w:ind w:right="-539"/>
        <w:spacing w:after="0" w:line="198" w:lineRule="auto"/>
        <w:rPr>
          <w:sz w:val="20"/>
          <w:szCs w:val="20"/>
          <w:color w:val="auto"/>
        </w:rPr>
      </w:pPr>
      <w:r>
        <w:rPr>
          <w:rFonts w:ascii="Arial" w:cs="Arial" w:eastAsia="Arial" w:hAnsi="Arial"/>
          <w:sz w:val="16"/>
          <w:szCs w:val="16"/>
          <w:b w:val="1"/>
          <w:bCs w:val="1"/>
          <w:color w:val="auto"/>
        </w:rPr>
        <w:t>122 East 42</w:t>
      </w:r>
      <w:r>
        <w:rPr>
          <w:rFonts w:ascii="Arial" w:cs="Arial" w:eastAsia="Arial" w:hAnsi="Arial"/>
          <w:sz w:val="25"/>
          <w:szCs w:val="25"/>
          <w:b w:val="1"/>
          <w:bCs w:val="1"/>
          <w:color w:val="auto"/>
          <w:vertAlign w:val="superscript"/>
        </w:rPr>
        <w:t>nd</w:t>
      </w:r>
      <w:r>
        <w:rPr>
          <w:rFonts w:ascii="Arial" w:cs="Arial" w:eastAsia="Arial" w:hAnsi="Arial"/>
          <w:sz w:val="16"/>
          <w:szCs w:val="16"/>
          <w:b w:val="1"/>
          <w:bCs w:val="1"/>
          <w:color w:val="auto"/>
        </w:rPr>
        <w:t xml:space="preserve"> Street, 18</w:t>
      </w:r>
      <w:r>
        <w:rPr>
          <w:rFonts w:ascii="Arial" w:cs="Arial" w:eastAsia="Arial" w:hAnsi="Arial"/>
          <w:sz w:val="25"/>
          <w:szCs w:val="25"/>
          <w:b w:val="1"/>
          <w:bCs w:val="1"/>
          <w:color w:val="auto"/>
          <w:vertAlign w:val="superscript"/>
        </w:rPr>
        <w:t>th</w:t>
      </w:r>
      <w:r>
        <w:rPr>
          <w:rFonts w:ascii="Arial" w:cs="Arial" w:eastAsia="Arial" w:hAnsi="Arial"/>
          <w:sz w:val="16"/>
          <w:szCs w:val="16"/>
          <w:b w:val="1"/>
          <w:bCs w:val="1"/>
          <w:color w:val="auto"/>
        </w:rPr>
        <w:t xml:space="preserve"> floor</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16"/>
          <w:szCs w:val="16"/>
          <w:b w:val="1"/>
          <w:bCs w:val="1"/>
          <w:color w:val="auto"/>
        </w:rPr>
        <w:t>New York, NY 10168</w:t>
      </w:r>
    </w:p>
    <w:p>
      <w:pPr>
        <w:spacing w:after="0" w:line="8" w:lineRule="exact"/>
        <w:rPr>
          <w:sz w:val="24"/>
          <w:szCs w:val="24"/>
          <w:color w:val="auto"/>
        </w:rPr>
      </w:pPr>
    </w:p>
    <w:p>
      <w:pPr>
        <w:jc w:val="center"/>
        <w:ind w:right="-579"/>
        <w:spacing w:after="0"/>
        <w:rPr>
          <w:sz w:val="20"/>
          <w:szCs w:val="20"/>
          <w:color w:val="auto"/>
        </w:rPr>
      </w:pPr>
      <w:r>
        <w:rPr>
          <w:rFonts w:ascii="Arial" w:cs="Arial" w:eastAsia="Arial" w:hAnsi="Arial"/>
          <w:sz w:val="14"/>
          <w:szCs w:val="14"/>
          <w:b w:val="1"/>
          <w:bCs w:val="1"/>
          <w:color w:val="auto"/>
        </w:rPr>
        <w:t>(Address, including zip code, and telephone number, including area code, of agent for service)</w:t>
      </w:r>
    </w:p>
    <w:p>
      <w:pPr>
        <w:spacing w:after="0" w:line="5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i w:val="1"/>
          <w:iCs w:val="1"/>
          <w:color w:val="auto"/>
        </w:rPr>
        <w:t>Copies to</w:t>
      </w:r>
      <w:r>
        <w:rPr>
          <w:rFonts w:ascii="Arial" w:cs="Arial" w:eastAsia="Arial" w:hAnsi="Arial"/>
          <w:sz w:val="18"/>
          <w:szCs w:val="18"/>
          <w:b w:val="1"/>
          <w:bCs w:val="1"/>
          <w:color w:val="auto"/>
        </w:rPr>
        <w:t>:</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Peter N. Handrinos</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Latham &amp; Watkins LLP</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200 Clarendon Street</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Boston, Massachusetts 02116</w:t>
      </w:r>
    </w:p>
    <w:p>
      <w:pPr>
        <w:spacing w:after="0" w:line="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+1 617 948-6000</w:t>
      </w:r>
    </w:p>
    <w:p>
      <w:pPr>
        <w:spacing w:after="0" w:line="4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7" w:lineRule="exact"/>
        <w:rPr>
          <w:sz w:val="24"/>
          <w:szCs w:val="24"/>
          <w:color w:val="auto"/>
        </w:rPr>
      </w:pPr>
    </w:p>
    <w:p>
      <w:pPr>
        <w:jc w:val="center"/>
        <w:ind w:right="-579"/>
        <w:spacing w:after="0"/>
        <w:rPr>
          <w:sz w:val="20"/>
          <w:szCs w:val="20"/>
          <w:color w:val="auto"/>
        </w:rPr>
      </w:pPr>
      <w:r>
        <w:rPr>
          <w:rFonts w:ascii="Arial" w:cs="Arial" w:eastAsia="Arial" w:hAnsi="Arial"/>
          <w:sz w:val="18"/>
          <w:szCs w:val="18"/>
          <w:color w:val="auto"/>
        </w:rPr>
        <w:t>From time to time after the effective date of this registration statement.</w:t>
      </w:r>
    </w:p>
    <w:p>
      <w:pPr>
        <w:spacing w:after="0" w:line="130" w:lineRule="exact"/>
        <w:rPr>
          <w:sz w:val="24"/>
          <w:szCs w:val="24"/>
          <w:color w:val="auto"/>
        </w:rPr>
      </w:pPr>
    </w:p>
    <w:p>
      <w:pPr>
        <w:ind w:left="500" w:right="200" w:firstLine="360"/>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15" w:lineRule="exact"/>
        <w:rPr>
          <w:sz w:val="24"/>
          <w:szCs w:val="24"/>
          <w:color w:val="auto"/>
        </w:rPr>
      </w:pPr>
    </w:p>
    <w:p>
      <w:pPr>
        <w:ind w:left="500" w:right="640" w:firstLine="360"/>
        <w:spacing w:after="0" w:line="227"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16" w:lineRule="exact"/>
        <w:rPr>
          <w:sz w:val="24"/>
          <w:szCs w:val="24"/>
          <w:color w:val="auto"/>
        </w:rPr>
      </w:pPr>
    </w:p>
    <w:p>
      <w:pPr>
        <w:ind w:left="500" w:firstLine="360"/>
        <w:spacing w:after="0" w:line="227"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03" w:lineRule="exact"/>
        <w:rPr>
          <w:sz w:val="24"/>
          <w:szCs w:val="24"/>
          <w:color w:val="auto"/>
        </w:rPr>
      </w:pPr>
    </w:p>
    <w:p>
      <w:pPr>
        <w:ind w:left="500" w:right="60" w:firstLine="360"/>
        <w:spacing w:after="0" w:line="233" w:lineRule="exact"/>
        <w:rPr>
          <w:sz w:val="20"/>
          <w:szCs w:val="20"/>
          <w:color w:val="auto"/>
        </w:rPr>
      </w:pPr>
      <w:r>
        <w:rPr>
          <w:rFonts w:ascii="Arial" w:cs="Arial" w:eastAsia="Arial" w:hAnsi="Arial"/>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15" w:lineRule="exact"/>
        <w:rPr>
          <w:sz w:val="24"/>
          <w:szCs w:val="24"/>
          <w:color w:val="auto"/>
        </w:rPr>
      </w:pPr>
    </w:p>
    <w:p>
      <w:pPr>
        <w:ind w:left="500" w:firstLine="360"/>
        <w:spacing w:after="0" w:line="233" w:lineRule="exact"/>
        <w:rPr>
          <w:sz w:val="20"/>
          <w:szCs w:val="20"/>
          <w:color w:val="auto"/>
        </w:rPr>
      </w:pPr>
      <w:r>
        <w:rPr>
          <w:rFonts w:ascii="Arial" w:cs="Arial" w:eastAsia="Arial" w:hAnsi="Arial"/>
          <w:sz w:val="17"/>
          <w:szCs w:val="17"/>
          <w:color w:val="auto"/>
        </w:rPr>
        <w:t xml:space="preserve">If this Form is a registration statement pursuant to General Instruction I.D. or a post-effective amendment thereto that shall become effective on filing with the Commission pursuant to Rule 462(e) under the Securities Act, check the following box. </w:t>
      </w:r>
      <w:r>
        <w:rPr>
          <w:rFonts w:ascii="MS PGothic" w:cs="MS PGothic" w:eastAsia="MS PGothic" w:hAnsi="MS PGothic"/>
          <w:sz w:val="17"/>
          <w:szCs w:val="17"/>
          <w:color w:val="auto"/>
        </w:rPr>
        <w:t>☐</w:t>
      </w:r>
    </w:p>
    <w:p>
      <w:pPr>
        <w:spacing w:after="0" w:line="115" w:lineRule="exact"/>
        <w:rPr>
          <w:sz w:val="24"/>
          <w:szCs w:val="24"/>
          <w:color w:val="auto"/>
        </w:rPr>
      </w:pPr>
    </w:p>
    <w:p>
      <w:pPr>
        <w:ind w:left="500" w:right="340" w:firstLine="360"/>
        <w:spacing w:after="0" w:line="227"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236855</wp:posOffset>
            </wp:positionV>
            <wp:extent cx="68065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140"/>
          </w:cols>
          <w:pgMar w:left="580" w:top="239" w:right="1179" w:bottom="1440" w:gutter="0" w:footer="0" w:header="0"/>
        </w:sectPr>
      </w:pPr>
    </w:p>
    <w:bookmarkStart w:id="1" w:name="page2"/>
    <w:bookmarkEnd w:id="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67" w:lineRule="exact"/>
        <w:rPr>
          <w:sz w:val="20"/>
          <w:szCs w:val="20"/>
          <w:color w:val="auto"/>
        </w:rPr>
      </w:pPr>
    </w:p>
    <w:p>
      <w:pPr>
        <w:ind w:left="500" w:right="100" w:firstLine="3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7" w:lineRule="exact"/>
        <w:rPr>
          <w:sz w:val="20"/>
          <w:szCs w:val="20"/>
          <w:color w:val="auto"/>
        </w:rPr>
      </w:pPr>
    </w:p>
    <w:tbl>
      <w:tblPr>
        <w:tblLayout w:type="fixed"/>
        <w:tblInd w:w="1220" w:type="dxa"/>
        <w:tblCellMar>
          <w:top w:w="0" w:type="dxa"/>
          <w:left w:w="0" w:type="dxa"/>
          <w:bottom w:w="0" w:type="dxa"/>
          <w:right w:w="0" w:type="dxa"/>
        </w:tblCellMar>
      </w:tblPr>
      <w:tr>
        <w:trPr>
          <w:trHeight w:val="243"/>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36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106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136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1060"/>
              <w:spacing w:after="0"/>
              <w:rPr>
                <w:sz w:val="20"/>
                <w:szCs w:val="20"/>
                <w:color w:val="auto"/>
              </w:rPr>
            </w:pPr>
            <w:r>
              <w:rPr>
                <w:rFonts w:ascii="Arial" w:cs="Arial" w:eastAsia="Arial" w:hAnsi="Arial"/>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80" w:type="dxa"/>
            <w:vAlign w:val="bottom"/>
          </w:tcPr>
          <w:p>
            <w:pPr>
              <w:ind w:left="1060"/>
              <w:spacing w:after="0"/>
              <w:rPr>
                <w:sz w:val="20"/>
                <w:szCs w:val="20"/>
                <w:color w:val="auto"/>
              </w:rPr>
            </w:pPr>
            <w:r>
              <w:rPr>
                <w:rFonts w:ascii="Arial" w:cs="Arial" w:eastAsia="Arial" w:hAnsi="Arial"/>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w:t>
      </w:r>
    </w:p>
    <w:p>
      <w:pPr>
        <w:spacing w:after="0" w:line="23" w:lineRule="exact"/>
        <w:rPr>
          <w:sz w:val="20"/>
          <w:szCs w:val="20"/>
          <w:color w:val="auto"/>
        </w:rPr>
      </w:pPr>
    </w:p>
    <w:p>
      <w:pPr>
        <w:ind w:left="500" w:right="120"/>
        <w:spacing w:after="0" w:line="226" w:lineRule="exact"/>
        <w:rPr>
          <w:sz w:val="20"/>
          <w:szCs w:val="20"/>
          <w:color w:val="auto"/>
        </w:rPr>
      </w:pPr>
      <w:r>
        <w:rPr>
          <w:rFonts w:ascii="Arial" w:cs="Arial" w:eastAsia="Arial" w:hAnsi="Arial"/>
          <w:sz w:val="18"/>
          <w:szCs w:val="18"/>
          <w:color w:val="auto"/>
        </w:rPr>
        <w:t xml:space="preserve">period for comply with any new or revised financial accounting standards provided pursuant to Section 7(a)(2)(B) of Securities Act. </w:t>
      </w:r>
      <w:r>
        <w:rPr>
          <w:rFonts w:ascii="MS PGothic" w:cs="MS PGothic" w:eastAsia="MS PGothic" w:hAnsi="MS PGothic"/>
          <w:sz w:val="18"/>
          <w:szCs w:val="18"/>
          <w:color w:val="auto"/>
        </w:rPr>
        <w:t>☒</w:t>
      </w:r>
    </w:p>
    <w:p>
      <w:pPr>
        <w:spacing w:after="0" w:line="124"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34290</wp:posOffset>
            </wp:positionV>
            <wp:extent cx="6180455" cy="16287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80455" cy="1628775"/>
                    </a:xfrm>
                    <a:prstGeom prst="rect">
                      <a:avLst/>
                    </a:prstGeom>
                    <a:noFill/>
                  </pic:spPr>
                </pic:pic>
              </a:graphicData>
            </a:graphic>
          </wp:anchor>
        </w:drawing>
      </w:r>
    </w:p>
    <w:p>
      <w:pPr>
        <w:spacing w:after="0" w:line="93" w:lineRule="exact"/>
        <w:rPr>
          <w:sz w:val="20"/>
          <w:szCs w:val="20"/>
          <w:color w:val="auto"/>
        </w:rPr>
      </w:pPr>
    </w:p>
    <w:tbl>
      <w:tblPr>
        <w:tblLayout w:type="fixed"/>
        <w:tblInd w:w="2180" w:type="dxa"/>
        <w:tblCellMar>
          <w:top w:w="0" w:type="dxa"/>
          <w:left w:w="0" w:type="dxa"/>
          <w:bottom w:w="0" w:type="dxa"/>
          <w:right w:w="0" w:type="dxa"/>
        </w:tblCellMar>
      </w:tblPr>
      <w:tr>
        <w:trPr>
          <w:trHeight w:val="162"/>
        </w:trPr>
        <w:tc>
          <w:tcPr>
            <w:tcW w:w="3700" w:type="dxa"/>
            <w:vAlign w:val="bottom"/>
          </w:tcPr>
          <w:p>
            <w:pPr>
              <w:spacing w:after="0"/>
              <w:rPr>
                <w:sz w:val="14"/>
                <w:szCs w:val="14"/>
                <w:color w:val="auto"/>
              </w:rPr>
            </w:pPr>
          </w:p>
        </w:tc>
        <w:tc>
          <w:tcPr>
            <w:tcW w:w="2800" w:type="dxa"/>
            <w:vAlign w:val="bottom"/>
          </w:tcPr>
          <w:p>
            <w:pPr>
              <w:jc w:val="center"/>
              <w:ind w:left="588"/>
              <w:spacing w:after="0"/>
              <w:rPr>
                <w:sz w:val="20"/>
                <w:szCs w:val="20"/>
                <w:color w:val="auto"/>
              </w:rPr>
            </w:pPr>
            <w:r>
              <w:rPr>
                <w:rFonts w:ascii="Arial" w:cs="Arial" w:eastAsia="Arial" w:hAnsi="Arial"/>
                <w:sz w:val="14"/>
                <w:szCs w:val="14"/>
                <w:b w:val="1"/>
                <w:bCs w:val="1"/>
                <w:color w:val="auto"/>
                <w:w w:val="90"/>
              </w:rPr>
              <w:t>Amount to be</w:t>
            </w:r>
          </w:p>
        </w:tc>
        <w:tc>
          <w:tcPr>
            <w:tcW w:w="1220" w:type="dxa"/>
            <w:vAlign w:val="bottom"/>
          </w:tcPr>
          <w:p>
            <w:pPr>
              <w:spacing w:after="0"/>
              <w:rPr>
                <w:sz w:val="14"/>
                <w:szCs w:val="14"/>
                <w:color w:val="auto"/>
              </w:rPr>
            </w:pPr>
          </w:p>
        </w:tc>
      </w:tr>
      <w:tr>
        <w:trPr>
          <w:trHeight w:val="162"/>
        </w:trPr>
        <w:tc>
          <w:tcPr>
            <w:tcW w:w="3700" w:type="dxa"/>
            <w:vAlign w:val="bottom"/>
          </w:tcPr>
          <w:p>
            <w:pPr>
              <w:spacing w:after="0"/>
              <w:rPr>
                <w:sz w:val="14"/>
                <w:szCs w:val="14"/>
                <w:color w:val="auto"/>
              </w:rPr>
            </w:pPr>
          </w:p>
        </w:tc>
        <w:tc>
          <w:tcPr>
            <w:tcW w:w="2800" w:type="dxa"/>
            <w:vAlign w:val="bottom"/>
          </w:tcPr>
          <w:p>
            <w:pPr>
              <w:jc w:val="center"/>
              <w:ind w:left="588"/>
              <w:spacing w:after="0"/>
              <w:rPr>
                <w:sz w:val="20"/>
                <w:szCs w:val="20"/>
                <w:color w:val="auto"/>
              </w:rPr>
            </w:pPr>
            <w:r>
              <w:rPr>
                <w:rFonts w:ascii="Arial" w:cs="Arial" w:eastAsia="Arial" w:hAnsi="Arial"/>
                <w:sz w:val="14"/>
                <w:szCs w:val="14"/>
                <w:b w:val="1"/>
                <w:bCs w:val="1"/>
                <w:color w:val="auto"/>
                <w:w w:val="87"/>
              </w:rPr>
              <w:t>registered/proposed</w:t>
            </w:r>
          </w:p>
        </w:tc>
        <w:tc>
          <w:tcPr>
            <w:tcW w:w="1220" w:type="dxa"/>
            <w:vAlign w:val="bottom"/>
          </w:tcPr>
          <w:p>
            <w:pPr>
              <w:spacing w:after="0"/>
              <w:rPr>
                <w:sz w:val="14"/>
                <w:szCs w:val="14"/>
                <w:color w:val="auto"/>
              </w:rPr>
            </w:pPr>
          </w:p>
        </w:tc>
      </w:tr>
      <w:tr>
        <w:trPr>
          <w:trHeight w:val="162"/>
        </w:trPr>
        <w:tc>
          <w:tcPr>
            <w:tcW w:w="3700" w:type="dxa"/>
            <w:vAlign w:val="bottom"/>
          </w:tcPr>
          <w:p>
            <w:pPr>
              <w:spacing w:after="0"/>
              <w:rPr>
                <w:sz w:val="14"/>
                <w:szCs w:val="14"/>
                <w:color w:val="auto"/>
              </w:rPr>
            </w:pPr>
          </w:p>
        </w:tc>
        <w:tc>
          <w:tcPr>
            <w:tcW w:w="2800" w:type="dxa"/>
            <w:vAlign w:val="bottom"/>
          </w:tcPr>
          <w:p>
            <w:pPr>
              <w:jc w:val="center"/>
              <w:ind w:left="588"/>
              <w:spacing w:after="0"/>
              <w:rPr>
                <w:sz w:val="20"/>
                <w:szCs w:val="20"/>
                <w:color w:val="auto"/>
              </w:rPr>
            </w:pPr>
            <w:r>
              <w:rPr>
                <w:rFonts w:ascii="Arial" w:cs="Arial" w:eastAsia="Arial" w:hAnsi="Arial"/>
                <w:sz w:val="14"/>
                <w:szCs w:val="14"/>
                <w:b w:val="1"/>
                <w:bCs w:val="1"/>
                <w:color w:val="auto"/>
                <w:w w:val="89"/>
              </w:rPr>
              <w:t>maximum offering price</w:t>
            </w:r>
          </w:p>
        </w:tc>
        <w:tc>
          <w:tcPr>
            <w:tcW w:w="1220" w:type="dxa"/>
            <w:vAlign w:val="bottom"/>
          </w:tcPr>
          <w:p>
            <w:pPr>
              <w:spacing w:after="0"/>
              <w:rPr>
                <w:sz w:val="14"/>
                <w:szCs w:val="14"/>
                <w:color w:val="auto"/>
              </w:rPr>
            </w:pPr>
          </w:p>
        </w:tc>
      </w:tr>
      <w:tr>
        <w:trPr>
          <w:trHeight w:val="162"/>
        </w:trPr>
        <w:tc>
          <w:tcPr>
            <w:tcW w:w="3700" w:type="dxa"/>
            <w:vAlign w:val="bottom"/>
          </w:tcPr>
          <w:p>
            <w:pPr>
              <w:spacing w:after="0"/>
              <w:rPr>
                <w:sz w:val="14"/>
                <w:szCs w:val="14"/>
                <w:color w:val="auto"/>
              </w:rPr>
            </w:pPr>
          </w:p>
        </w:tc>
        <w:tc>
          <w:tcPr>
            <w:tcW w:w="2800" w:type="dxa"/>
            <w:vAlign w:val="bottom"/>
          </w:tcPr>
          <w:p>
            <w:pPr>
              <w:jc w:val="center"/>
              <w:ind w:left="588"/>
              <w:spacing w:after="0"/>
              <w:rPr>
                <w:sz w:val="20"/>
                <w:szCs w:val="20"/>
                <w:color w:val="auto"/>
              </w:rPr>
            </w:pPr>
            <w:r>
              <w:rPr>
                <w:rFonts w:ascii="Arial" w:cs="Arial" w:eastAsia="Arial" w:hAnsi="Arial"/>
                <w:sz w:val="14"/>
                <w:szCs w:val="14"/>
                <w:b w:val="1"/>
                <w:bCs w:val="1"/>
                <w:color w:val="auto"/>
                <w:w w:val="89"/>
              </w:rPr>
              <w:t>per unit/proposed</w:t>
            </w:r>
          </w:p>
        </w:tc>
        <w:tc>
          <w:tcPr>
            <w:tcW w:w="1220" w:type="dxa"/>
            <w:vAlign w:val="bottom"/>
          </w:tcPr>
          <w:p>
            <w:pPr>
              <w:spacing w:after="0"/>
              <w:rPr>
                <w:sz w:val="14"/>
                <w:szCs w:val="14"/>
                <w:color w:val="auto"/>
              </w:rPr>
            </w:pPr>
          </w:p>
        </w:tc>
      </w:tr>
      <w:tr>
        <w:trPr>
          <w:trHeight w:val="162"/>
        </w:trPr>
        <w:tc>
          <w:tcPr>
            <w:tcW w:w="3700" w:type="dxa"/>
            <w:vAlign w:val="bottom"/>
          </w:tcPr>
          <w:p>
            <w:pPr>
              <w:spacing w:after="0"/>
              <w:rPr>
                <w:sz w:val="14"/>
                <w:szCs w:val="14"/>
                <w:color w:val="auto"/>
              </w:rPr>
            </w:pPr>
          </w:p>
        </w:tc>
        <w:tc>
          <w:tcPr>
            <w:tcW w:w="2800" w:type="dxa"/>
            <w:vAlign w:val="bottom"/>
          </w:tcPr>
          <w:p>
            <w:pPr>
              <w:jc w:val="center"/>
              <w:ind w:left="588"/>
              <w:spacing w:after="0"/>
              <w:rPr>
                <w:sz w:val="20"/>
                <w:szCs w:val="20"/>
                <w:color w:val="auto"/>
              </w:rPr>
            </w:pPr>
            <w:r>
              <w:rPr>
                <w:rFonts w:ascii="Arial" w:cs="Arial" w:eastAsia="Arial" w:hAnsi="Arial"/>
                <w:sz w:val="14"/>
                <w:szCs w:val="14"/>
                <w:b w:val="1"/>
                <w:bCs w:val="1"/>
                <w:color w:val="auto"/>
                <w:w w:val="89"/>
              </w:rPr>
              <w:t>maximum aggregate</w:t>
            </w:r>
          </w:p>
        </w:tc>
        <w:tc>
          <w:tcPr>
            <w:tcW w:w="1220" w:type="dxa"/>
            <w:vAlign w:val="bottom"/>
          </w:tcPr>
          <w:p>
            <w:pPr>
              <w:jc w:val="center"/>
              <w:ind w:left="228"/>
              <w:spacing w:after="0"/>
              <w:rPr>
                <w:sz w:val="20"/>
                <w:szCs w:val="20"/>
                <w:color w:val="auto"/>
              </w:rPr>
            </w:pPr>
            <w:r>
              <w:rPr>
                <w:rFonts w:ascii="Arial" w:cs="Arial" w:eastAsia="Arial" w:hAnsi="Arial"/>
                <w:sz w:val="14"/>
                <w:szCs w:val="14"/>
                <w:b w:val="1"/>
                <w:bCs w:val="1"/>
                <w:color w:val="auto"/>
                <w:w w:val="91"/>
              </w:rPr>
              <w:t>Amount of</w:t>
            </w:r>
          </w:p>
        </w:tc>
      </w:tr>
      <w:tr>
        <w:trPr>
          <w:trHeight w:val="186"/>
        </w:trPr>
        <w:tc>
          <w:tcPr>
            <w:tcW w:w="3700" w:type="dxa"/>
            <w:vAlign w:val="bottom"/>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2800" w:type="dxa"/>
            <w:vAlign w:val="bottom"/>
          </w:tcPr>
          <w:p>
            <w:pPr>
              <w:jc w:val="center"/>
              <w:ind w:left="628"/>
              <w:spacing w:after="0"/>
              <w:rPr>
                <w:sz w:val="20"/>
                <w:szCs w:val="20"/>
                <w:color w:val="auto"/>
              </w:rPr>
            </w:pPr>
            <w:r>
              <w:rPr>
                <w:rFonts w:ascii="Arial" w:cs="Arial" w:eastAsia="Arial" w:hAnsi="Arial"/>
                <w:sz w:val="14"/>
                <w:szCs w:val="14"/>
                <w:b w:val="1"/>
                <w:bCs w:val="1"/>
                <w:color w:val="auto"/>
                <w:w w:val="87"/>
              </w:rPr>
              <w:t>offering price</w:t>
            </w:r>
          </w:p>
        </w:tc>
        <w:tc>
          <w:tcPr>
            <w:tcW w:w="1220" w:type="dxa"/>
            <w:vAlign w:val="bottom"/>
          </w:tcPr>
          <w:p>
            <w:pPr>
              <w:jc w:val="center"/>
              <w:ind w:left="268"/>
              <w:spacing w:after="0"/>
              <w:rPr>
                <w:sz w:val="20"/>
                <w:szCs w:val="20"/>
                <w:color w:val="auto"/>
              </w:rPr>
            </w:pPr>
            <w:r>
              <w:rPr>
                <w:rFonts w:ascii="Arial" w:cs="Arial" w:eastAsia="Arial" w:hAnsi="Arial"/>
                <w:sz w:val="14"/>
                <w:szCs w:val="14"/>
                <w:b w:val="1"/>
                <w:bCs w:val="1"/>
                <w:color w:val="auto"/>
                <w:w w:val="86"/>
              </w:rPr>
              <w:t>registration fee</w:t>
            </w:r>
          </w:p>
        </w:tc>
      </w:tr>
    </w:tbl>
    <w:p>
      <w:pPr>
        <w:spacing w:after="0" w:line="10" w:lineRule="exact"/>
        <w:rPr>
          <w:sz w:val="20"/>
          <w:szCs w:val="20"/>
          <w:color w:val="auto"/>
        </w:rPr>
      </w:pPr>
    </w:p>
    <w:tbl>
      <w:tblPr>
        <w:tblLayout w:type="fixed"/>
        <w:tblInd w:w="500" w:type="dxa"/>
        <w:tblCellMar>
          <w:top w:w="0" w:type="dxa"/>
          <w:left w:w="0" w:type="dxa"/>
          <w:bottom w:w="0" w:type="dxa"/>
          <w:right w:w="0" w:type="dxa"/>
        </w:tblCellMar>
      </w:tblPr>
      <w:tr>
        <w:trPr>
          <w:trHeight w:val="299"/>
        </w:trPr>
        <w:tc>
          <w:tcPr>
            <w:tcW w:w="5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Ordinary shares, nominal value £0.05 per share</w:t>
            </w:r>
            <w:r>
              <w:rPr>
                <w:rFonts w:ascii="Arial" w:cs="Arial" w:eastAsia="Arial" w:hAnsi="Arial"/>
                <w:sz w:val="26"/>
                <w:szCs w:val="26"/>
                <w:color w:val="auto"/>
                <w:vertAlign w:val="superscript"/>
              </w:rPr>
              <w:t>(1)</w:t>
            </w:r>
          </w:p>
        </w:tc>
        <w:tc>
          <w:tcPr>
            <w:tcW w:w="31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3"/>
                <w:szCs w:val="13"/>
                <w:color w:val="auto"/>
              </w:rPr>
              <w:t>(2)(3)</w:t>
            </w:r>
          </w:p>
        </w:tc>
        <w:tc>
          <w:tcPr>
            <w:tcW w:w="14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5100" w:type="dxa"/>
            <w:vAlign w:val="bottom"/>
            <w:vMerge w:val="restart"/>
          </w:tcPr>
          <w:p>
            <w:pPr>
              <w:spacing w:after="0"/>
              <w:rPr>
                <w:sz w:val="20"/>
                <w:szCs w:val="20"/>
                <w:color w:val="auto"/>
              </w:rPr>
            </w:pPr>
            <w:r>
              <w:rPr>
                <w:rFonts w:ascii="Arial" w:cs="Arial" w:eastAsia="Arial" w:hAnsi="Arial"/>
                <w:sz w:val="18"/>
                <w:szCs w:val="18"/>
                <w:color w:val="auto"/>
              </w:rPr>
              <w:t>Debt Securities</w:t>
            </w:r>
          </w:p>
        </w:tc>
        <w:tc>
          <w:tcPr>
            <w:tcW w:w="3160" w:type="dxa"/>
            <w:vAlign w:val="bottom"/>
          </w:tcPr>
          <w:p>
            <w:pPr>
              <w:jc w:val="right"/>
              <w:ind w:right="348"/>
              <w:spacing w:after="0"/>
              <w:rPr>
                <w:sz w:val="20"/>
                <w:szCs w:val="20"/>
                <w:color w:val="auto"/>
              </w:rPr>
            </w:pPr>
            <w:r>
              <w:rPr>
                <w:rFonts w:ascii="Arial" w:cs="Arial" w:eastAsia="Arial" w:hAnsi="Arial"/>
                <w:sz w:val="13"/>
                <w:szCs w:val="13"/>
                <w:color w:val="auto"/>
              </w:rPr>
              <w:t>(2)</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5100" w:type="dxa"/>
            <w:vAlign w:val="bottom"/>
            <w:tcBorders>
              <w:bottom w:val="single" w:sz="8" w:color="auto"/>
            </w:tcBorders>
            <w:vMerge w:val="continue"/>
          </w:tcPr>
          <w:p>
            <w:pPr>
              <w:spacing w:after="0"/>
              <w:rPr>
                <w:sz w:val="7"/>
                <w:szCs w:val="7"/>
                <w:color w:val="auto"/>
              </w:rPr>
            </w:pPr>
          </w:p>
        </w:tc>
        <w:tc>
          <w:tcPr>
            <w:tcW w:w="316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51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Warrants</w:t>
            </w:r>
          </w:p>
        </w:tc>
        <w:tc>
          <w:tcPr>
            <w:tcW w:w="3160" w:type="dxa"/>
            <w:vAlign w:val="bottom"/>
            <w:shd w:val="clear" w:color="auto" w:fill="CCEEFF"/>
          </w:tcPr>
          <w:p>
            <w:pPr>
              <w:jc w:val="right"/>
              <w:ind w:right="348"/>
              <w:spacing w:after="0"/>
              <w:rPr>
                <w:sz w:val="20"/>
                <w:szCs w:val="20"/>
                <w:color w:val="auto"/>
              </w:rPr>
            </w:pPr>
            <w:r>
              <w:rPr>
                <w:rFonts w:ascii="Arial" w:cs="Arial" w:eastAsia="Arial" w:hAnsi="Arial"/>
                <w:sz w:val="13"/>
                <w:szCs w:val="13"/>
                <w:color w:val="auto"/>
              </w:rPr>
              <w:t>(2)</w:t>
            </w:r>
          </w:p>
        </w:tc>
        <w:tc>
          <w:tcPr>
            <w:tcW w:w="14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5100" w:type="dxa"/>
            <w:vAlign w:val="bottom"/>
            <w:tcBorders>
              <w:bottom w:val="single" w:sz="8" w:color="auto"/>
            </w:tcBorders>
            <w:vMerge w:val="continue"/>
            <w:shd w:val="clear" w:color="auto" w:fill="CCEEFF"/>
          </w:tcPr>
          <w:p>
            <w:pPr>
              <w:spacing w:after="0"/>
              <w:rPr>
                <w:sz w:val="7"/>
                <w:szCs w:val="7"/>
                <w:color w:val="auto"/>
              </w:rPr>
            </w:pPr>
          </w:p>
        </w:tc>
        <w:tc>
          <w:tcPr>
            <w:tcW w:w="3160" w:type="dxa"/>
            <w:vAlign w:val="bottom"/>
            <w:tcBorders>
              <w:bottom w:val="single" w:sz="8" w:color="auto"/>
            </w:tcBorders>
            <w:shd w:val="clear" w:color="auto" w:fill="CCEEFF"/>
          </w:tcPr>
          <w:p>
            <w:pPr>
              <w:spacing w:after="0"/>
              <w:rPr>
                <w:sz w:val="7"/>
                <w:szCs w:val="7"/>
                <w:color w:val="auto"/>
              </w:rPr>
            </w:pPr>
          </w:p>
        </w:tc>
        <w:tc>
          <w:tcPr>
            <w:tcW w:w="1460" w:type="dxa"/>
            <w:vAlign w:val="bottom"/>
            <w:tcBorders>
              <w:bottom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5100" w:type="dxa"/>
            <w:vAlign w:val="bottom"/>
            <w:vMerge w:val="restart"/>
          </w:tcPr>
          <w:p>
            <w:pPr>
              <w:spacing w:after="0"/>
              <w:rPr>
                <w:sz w:val="20"/>
                <w:szCs w:val="20"/>
                <w:color w:val="auto"/>
              </w:rPr>
            </w:pPr>
            <w:r>
              <w:rPr>
                <w:rFonts w:ascii="Arial" w:cs="Arial" w:eastAsia="Arial" w:hAnsi="Arial"/>
                <w:sz w:val="18"/>
                <w:szCs w:val="18"/>
                <w:color w:val="auto"/>
              </w:rPr>
              <w:t>Units</w:t>
            </w:r>
          </w:p>
        </w:tc>
        <w:tc>
          <w:tcPr>
            <w:tcW w:w="3160" w:type="dxa"/>
            <w:vAlign w:val="bottom"/>
          </w:tcPr>
          <w:p>
            <w:pPr>
              <w:jc w:val="right"/>
              <w:ind w:right="348"/>
              <w:spacing w:after="0"/>
              <w:rPr>
                <w:sz w:val="20"/>
                <w:szCs w:val="20"/>
                <w:color w:val="auto"/>
              </w:rPr>
            </w:pPr>
            <w:r>
              <w:rPr>
                <w:rFonts w:ascii="Arial" w:cs="Arial" w:eastAsia="Arial" w:hAnsi="Arial"/>
                <w:sz w:val="13"/>
                <w:szCs w:val="13"/>
                <w:color w:val="auto"/>
              </w:rPr>
              <w:t>(2)</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5100" w:type="dxa"/>
            <w:vAlign w:val="bottom"/>
            <w:tcBorders>
              <w:bottom w:val="single" w:sz="8" w:color="auto"/>
            </w:tcBorders>
            <w:vMerge w:val="continue"/>
          </w:tcPr>
          <w:p>
            <w:pPr>
              <w:spacing w:after="0"/>
              <w:rPr>
                <w:sz w:val="7"/>
                <w:szCs w:val="7"/>
                <w:color w:val="auto"/>
              </w:rPr>
            </w:pPr>
          </w:p>
        </w:tc>
        <w:tc>
          <w:tcPr>
            <w:tcW w:w="316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60" w:type="dxa"/>
            <w:vAlign w:val="bottom"/>
            <w:shd w:val="clear" w:color="auto" w:fill="CCEEFF"/>
          </w:tcPr>
          <w:p>
            <w:pPr>
              <w:jc w:val="right"/>
              <w:ind w:right="348"/>
              <w:spacing w:after="0"/>
              <w:rPr>
                <w:sz w:val="20"/>
                <w:szCs w:val="20"/>
                <w:color w:val="auto"/>
              </w:rPr>
            </w:pPr>
            <w:r>
              <w:rPr>
                <w:rFonts w:ascii="Arial" w:cs="Arial" w:eastAsia="Arial" w:hAnsi="Arial"/>
                <w:sz w:val="18"/>
                <w:szCs w:val="18"/>
                <w:color w:val="auto"/>
              </w:rPr>
              <w:t>$250,000,000.00</w:t>
            </w:r>
            <w:r>
              <w:rPr>
                <w:rFonts w:ascii="Arial" w:cs="Arial" w:eastAsia="Arial" w:hAnsi="Arial"/>
                <w:sz w:val="26"/>
                <w:szCs w:val="26"/>
                <w:color w:val="auto"/>
                <w:vertAlign w:val="superscript"/>
              </w:rPr>
              <w:t>(4)</w:t>
            </w:r>
          </w:p>
        </w:tc>
        <w:tc>
          <w:tcPr>
            <w:tcW w:w="14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$27,275.00</w:t>
            </w:r>
            <w:r>
              <w:rPr>
                <w:rFonts w:ascii="Arial" w:cs="Arial" w:eastAsia="Arial" w:hAnsi="Arial"/>
                <w:sz w:val="26"/>
                <w:szCs w:val="26"/>
                <w:color w:val="auto"/>
                <w:vertAlign w:val="superscript"/>
              </w:rPr>
              <w:t>(5)</w:t>
            </w: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860" w:right="180" w:hanging="368"/>
        <w:spacing w:after="0" w:line="277"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Ordinary shares may be in the form of American Depositary Shares, or ADSs, with each ADS representing eight ordinary shares.</w:t>
      </w:r>
    </w:p>
    <w:p>
      <w:pPr>
        <w:spacing w:after="0" w:line="21" w:lineRule="exact"/>
        <w:rPr>
          <w:rFonts w:ascii="Arial" w:cs="Arial" w:eastAsia="Arial" w:hAnsi="Arial"/>
          <w:sz w:val="18"/>
          <w:szCs w:val="18"/>
          <w:color w:val="auto"/>
        </w:rPr>
      </w:pPr>
    </w:p>
    <w:p>
      <w:pPr>
        <w:ind w:left="860" w:right="200" w:hanging="368"/>
        <w:spacing w:after="0" w:line="279" w:lineRule="auto"/>
        <w:tabs>
          <w:tab w:leader="none" w:pos="860" w:val="left"/>
        </w:tabs>
        <w:numPr>
          <w:ilvl w:val="0"/>
          <w:numId w:val="1"/>
        </w:numPr>
        <w:rPr>
          <w:rFonts w:ascii="Arial" w:cs="Arial" w:eastAsia="Arial" w:hAnsi="Arial"/>
          <w:sz w:val="17"/>
          <w:szCs w:val="17"/>
          <w:color w:val="auto"/>
        </w:rPr>
      </w:pPr>
      <w:r>
        <w:rPr>
          <w:rFonts w:ascii="Arial" w:cs="Arial" w:eastAsia="Arial" w:hAnsi="Arial"/>
          <w:sz w:val="17"/>
          <w:szCs w:val="17"/>
          <w:color w:val="auto"/>
        </w:rPr>
        <w:t>An unspecified number of securities or aggregate principal amount, as applicable, is being registered as may from time to time be offered at unspecified prices and, in addition, an unspecified number of additional ordinary shares is being registered as may be issued from time to time upon conversion of any Debt Securities that are convertible into ordinary shares or pursuant to any anti-dilution adjustments with respect to any such convertible Debt Securities.</w:t>
      </w:r>
    </w:p>
    <w:p>
      <w:pPr>
        <w:spacing w:after="0" w:line="22" w:lineRule="exact"/>
        <w:rPr>
          <w:rFonts w:ascii="Arial" w:cs="Arial" w:eastAsia="Arial" w:hAnsi="Arial"/>
          <w:sz w:val="17"/>
          <w:szCs w:val="17"/>
          <w:color w:val="auto"/>
        </w:rPr>
      </w:pPr>
    </w:p>
    <w:p>
      <w:pPr>
        <w:ind w:left="860" w:right="340" w:hanging="368"/>
        <w:spacing w:after="0" w:line="277"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rights to acquire ordinary shares of the Company under any shareholder rights plan then in effect, if applicable under the terms of any such plan.</w:t>
      </w:r>
    </w:p>
    <w:p>
      <w:pPr>
        <w:spacing w:after="0" w:line="35" w:lineRule="exact"/>
        <w:rPr>
          <w:rFonts w:ascii="Arial" w:cs="Arial" w:eastAsia="Arial" w:hAnsi="Arial"/>
          <w:sz w:val="18"/>
          <w:szCs w:val="18"/>
          <w:color w:val="auto"/>
        </w:rPr>
      </w:pPr>
    </w:p>
    <w:p>
      <w:pPr>
        <w:jc w:val="both"/>
        <w:ind w:left="860" w:right="100" w:hanging="368"/>
        <w:spacing w:after="0" w:line="259" w:lineRule="auto"/>
        <w:tabs>
          <w:tab w:leader="none" w:pos="8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No separate consideration will be received for ordinary shares that are issued upon conversion of debt securities, depositary shares or preferred stock or upon exercise of warrants registered hereunder. The aggregate maximum offering price of all securities issued pursuant to this registration statement will not exceed $250,000,000.</w:t>
      </w:r>
    </w:p>
    <w:p>
      <w:pPr>
        <w:spacing w:after="0" w:line="38" w:lineRule="exact"/>
        <w:rPr>
          <w:rFonts w:ascii="Arial" w:cs="Arial" w:eastAsia="Arial" w:hAnsi="Arial"/>
          <w:sz w:val="18"/>
          <w:szCs w:val="18"/>
          <w:color w:val="auto"/>
        </w:rPr>
      </w:pPr>
    </w:p>
    <w:p>
      <w:pPr>
        <w:ind w:left="860" w:hanging="368"/>
        <w:spacing w:after="0"/>
        <w:tabs>
          <w:tab w:leader="none" w:pos="8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registration fee has been calculated in accordance with Rule 457(o) under the Securities Act of 1933, as amended.</w:t>
      </w:r>
    </w:p>
    <w:p>
      <w:pPr>
        <w:spacing w:after="0" w:line="165" w:lineRule="exact"/>
        <w:rPr>
          <w:sz w:val="20"/>
          <w:szCs w:val="20"/>
          <w:color w:val="auto"/>
        </w:rPr>
      </w:pPr>
    </w:p>
    <w:p>
      <w:pPr>
        <w:jc w:val="both"/>
        <w:ind w:left="500" w:right="240" w:firstLine="360"/>
        <w:spacing w:after="0" w:line="303"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311150</wp:posOffset>
            </wp:positionH>
            <wp:positionV relativeFrom="paragraph">
              <wp:posOffset>90170</wp:posOffset>
            </wp:positionV>
            <wp:extent cx="61893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89345" cy="8255"/>
                    </a:xfrm>
                    <a:prstGeom prst="rect">
                      <a:avLst/>
                    </a:prstGeom>
                    <a:noFill/>
                  </pic:spPr>
                </pic:pic>
              </a:graphicData>
            </a:graphic>
          </wp:anchor>
        </w:drawing>
        <w:drawing>
          <wp:anchor simplePos="0" relativeHeight="251657728" behindDoc="1" locked="0" layoutInCell="0" allowOverlap="1">
            <wp:simplePos x="0" y="0"/>
            <wp:positionH relativeFrom="column">
              <wp:posOffset>311150</wp:posOffset>
            </wp:positionH>
            <wp:positionV relativeFrom="paragraph">
              <wp:posOffset>133350</wp:posOffset>
            </wp:positionV>
            <wp:extent cx="618934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89345" cy="2540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2036445</wp:posOffset>
            </wp:positionV>
            <wp:extent cx="68065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10220"/>
          </w:cols>
          <w:pgMar w:left="580" w:top="131" w:right="1099" w:bottom="1440" w:gutter="0" w:footer="0" w:header="0"/>
        </w:sectPr>
      </w:pPr>
    </w:p>
    <w:bookmarkStart w:id="2" w:name="page3"/>
    <w:bookmarkEnd w:id="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This registration statement contains:</w:t>
      </w:r>
    </w:p>
    <w:p>
      <w:pPr>
        <w:spacing w:after="0" w:line="117" w:lineRule="exact"/>
        <w:rPr>
          <w:sz w:val="20"/>
          <w:szCs w:val="20"/>
          <w:color w:val="auto"/>
        </w:rPr>
      </w:pPr>
    </w:p>
    <w:p>
      <w:pPr>
        <w:ind w:left="1800" w:right="739" w:hanging="180"/>
        <w:spacing w:after="0" w:line="308" w:lineRule="auto"/>
        <w:tabs>
          <w:tab w:leader="none" w:pos="18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base prospectus which covers the offering, issuance and sale by us of up to $250,000,000 in the aggregate of the securities identified above from time to time in one or more offerings; and</w:t>
      </w:r>
    </w:p>
    <w:p>
      <w:pPr>
        <w:spacing w:after="0" w:line="38" w:lineRule="exact"/>
        <w:rPr>
          <w:rFonts w:ascii="Arial" w:cs="Arial" w:eastAsia="Arial" w:hAnsi="Arial"/>
          <w:sz w:val="17"/>
          <w:szCs w:val="17"/>
          <w:color w:val="auto"/>
        </w:rPr>
      </w:pPr>
    </w:p>
    <w:p>
      <w:pPr>
        <w:ind w:left="1800" w:right="459" w:hanging="180"/>
        <w:spacing w:after="0" w:line="263" w:lineRule="auto"/>
        <w:tabs>
          <w:tab w:leader="none" w:pos="1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sales agreement prospectus supplement covering the offering, issuance and sale by us of up to a maximum aggregate offering price of $100,000,000 of our ordinary shares, in the form of ADSs, that may be issued and sold under a sales agreement with Jefferies LLC.</w:t>
      </w:r>
    </w:p>
    <w:p>
      <w:pPr>
        <w:spacing w:after="0" w:line="103"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The base prospectus immediately follows this explanatory note. The specific terms of any securities to be offered pursuant to the base prospectus will be specified in a prospectus supplement to the base prospectus. The sales agreement prospectus supplement immediately follows the base prospectus. The $100,000,000 of ordinary shares, in the form of ADSs, that may be offered, issued and sold under the sales agreement prospectus supplement is included in the $250,000,000 of securities that may be offered, issued and sold by us under the base prospectus. Upon termination of the sales agreement with Jefferies LLC, any portion of the $100,000,000 included in the sales agreement prospectus supplement that is not sold pursuant to the sales agreement will be available for sale in other offerings pursuant to the base prospectus, and if no ordinary shares are sold under the sales agreement, the full $100,000,000 of securities may be sold in other offerings pursuant to the base prospectus and a corresponding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5715635</wp:posOffset>
            </wp:positionV>
            <wp:extent cx="68065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 w:name="page4"/>
    <w:bookmarkEnd w:id="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37" w:lineRule="exact"/>
        <w:rPr>
          <w:sz w:val="20"/>
          <w:szCs w:val="20"/>
          <w:color w:val="auto"/>
        </w:rPr>
      </w:pPr>
    </w:p>
    <w:tbl>
      <w:tblPr>
        <w:tblLayout w:type="fixed"/>
        <w:tblInd w:w="880" w:type="dxa"/>
        <w:tblCellMar>
          <w:top w:w="0" w:type="dxa"/>
          <w:left w:w="0" w:type="dxa"/>
          <w:bottom w:w="0" w:type="dxa"/>
          <w:right w:w="0" w:type="dxa"/>
        </w:tblCellMar>
      </w:tblPr>
      <w:tr>
        <w:trPr>
          <w:trHeight w:val="1677"/>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Securities and Exchange</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is not permitted.</w:t>
            </w:r>
          </w:p>
        </w:tc>
      </w:tr>
      <w:tr>
        <w:trPr>
          <w:trHeight w:val="4164"/>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may not be sold until the registration statement filed with the</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buy these securities in any jurisdiction where the offer or sale</w:t>
            </w:r>
          </w:p>
        </w:tc>
      </w:tr>
      <w:tr>
        <w:trPr>
          <w:trHeight w:val="2632"/>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and may be changed. These securities</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w w:val="99"/>
              </w:rPr>
              <w:t>offer to sell nor does it seek an offer to</w:t>
            </w:r>
          </w:p>
        </w:tc>
      </w:tr>
      <w:tr>
        <w:trPr>
          <w:trHeight w:val="644"/>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complete</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is not an</w:t>
            </w:r>
          </w:p>
        </w:tc>
      </w:tr>
      <w:tr>
        <w:trPr>
          <w:trHeight w:val="3590"/>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The information in this preliminary prospectus is not</w:t>
            </w:r>
          </w:p>
        </w:tc>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C0014"/>
              </w:rPr>
              <w:t>Commission is effective. This preliminary prospectus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FC0014"/>
        </w:rPr>
        <w:t>Subject to Completion, dated March 19,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317500</wp:posOffset>
            </wp:positionV>
            <wp:extent cx="1688465" cy="651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8846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Verona Pharma plc</w:t>
      </w:r>
    </w:p>
    <w:p>
      <w:pPr>
        <w:spacing w:after="0" w:line="217" w:lineRule="exact"/>
        <w:rPr>
          <w:sz w:val="20"/>
          <w:szCs w:val="20"/>
          <w:color w:val="auto"/>
        </w:rPr>
      </w:pPr>
    </w:p>
    <w:p>
      <w:pPr>
        <w:ind w:left="3440"/>
        <w:spacing w:after="0"/>
        <w:rPr>
          <w:sz w:val="20"/>
          <w:szCs w:val="20"/>
          <w:color w:val="auto"/>
        </w:rPr>
      </w:pPr>
      <w:r>
        <w:rPr>
          <w:rFonts w:ascii="Arial" w:cs="Arial" w:eastAsia="Arial" w:hAnsi="Arial"/>
          <w:sz w:val="25"/>
          <w:szCs w:val="25"/>
          <w:b w:val="1"/>
          <w:bCs w:val="1"/>
          <w:color w:val="auto"/>
        </w:rPr>
        <w:t>$250,000,000</w:t>
      </w:r>
    </w:p>
    <w:p>
      <w:pPr>
        <w:spacing w:after="0" w:line="212" w:lineRule="exact"/>
        <w:rPr>
          <w:sz w:val="20"/>
          <w:szCs w:val="20"/>
          <w:color w:val="auto"/>
        </w:rPr>
      </w:pPr>
    </w:p>
    <w:p>
      <w:pPr>
        <w:ind w:left="3220"/>
        <w:spacing w:after="0"/>
        <w:rPr>
          <w:sz w:val="20"/>
          <w:szCs w:val="20"/>
          <w:color w:val="auto"/>
        </w:rPr>
      </w:pPr>
      <w:r>
        <w:rPr>
          <w:rFonts w:ascii="Arial" w:cs="Arial" w:eastAsia="Arial" w:hAnsi="Arial"/>
          <w:sz w:val="25"/>
          <w:szCs w:val="25"/>
          <w:b w:val="1"/>
          <w:bCs w:val="1"/>
          <w:color w:val="auto"/>
        </w:rPr>
        <w:t>Ordinary Shares</w:t>
      </w:r>
    </w:p>
    <w:p>
      <w:pPr>
        <w:spacing w:after="0" w:line="24" w:lineRule="exact"/>
        <w:rPr>
          <w:sz w:val="20"/>
          <w:szCs w:val="20"/>
          <w:color w:val="auto"/>
        </w:rPr>
      </w:pPr>
    </w:p>
    <w:p>
      <w:pPr>
        <w:ind w:left="380"/>
        <w:spacing w:after="0"/>
        <w:rPr>
          <w:sz w:val="20"/>
          <w:szCs w:val="20"/>
          <w:color w:val="auto"/>
        </w:rPr>
      </w:pPr>
      <w:r>
        <w:rPr>
          <w:rFonts w:ascii="Arial" w:cs="Arial" w:eastAsia="Arial" w:hAnsi="Arial"/>
          <w:sz w:val="23"/>
          <w:szCs w:val="23"/>
          <w:b w:val="1"/>
          <w:bCs w:val="1"/>
          <w:color w:val="auto"/>
        </w:rPr>
        <w:t>(including Ordinary Shares in the form of American Depositary Shares)</w:t>
      </w:r>
    </w:p>
    <w:p>
      <w:pPr>
        <w:spacing w:after="0" w:line="15" w:lineRule="exact"/>
        <w:rPr>
          <w:sz w:val="20"/>
          <w:szCs w:val="20"/>
          <w:color w:val="auto"/>
        </w:rPr>
      </w:pPr>
    </w:p>
    <w:p>
      <w:pPr>
        <w:ind w:left="3300"/>
        <w:spacing w:after="0"/>
        <w:rPr>
          <w:sz w:val="20"/>
          <w:szCs w:val="20"/>
          <w:color w:val="auto"/>
        </w:rPr>
      </w:pPr>
      <w:r>
        <w:rPr>
          <w:rFonts w:ascii="Arial" w:cs="Arial" w:eastAsia="Arial" w:hAnsi="Arial"/>
          <w:sz w:val="25"/>
          <w:szCs w:val="25"/>
          <w:b w:val="1"/>
          <w:bCs w:val="1"/>
          <w:color w:val="auto"/>
        </w:rPr>
        <w:t>Debt Securities</w:t>
      </w:r>
    </w:p>
    <w:p>
      <w:pPr>
        <w:ind w:left="3580"/>
        <w:spacing w:after="0" w:line="236" w:lineRule="auto"/>
        <w:rPr>
          <w:sz w:val="20"/>
          <w:szCs w:val="20"/>
          <w:color w:val="auto"/>
        </w:rPr>
      </w:pPr>
      <w:r>
        <w:rPr>
          <w:rFonts w:ascii="Arial" w:cs="Arial" w:eastAsia="Arial" w:hAnsi="Arial"/>
          <w:sz w:val="25"/>
          <w:szCs w:val="25"/>
          <w:b w:val="1"/>
          <w:bCs w:val="1"/>
          <w:color w:val="auto"/>
        </w:rPr>
        <w:t>Warrants</w:t>
      </w:r>
    </w:p>
    <w:p>
      <w:pPr>
        <w:spacing w:after="0" w:line="1" w:lineRule="exact"/>
        <w:rPr>
          <w:sz w:val="20"/>
          <w:szCs w:val="20"/>
          <w:color w:val="auto"/>
        </w:rPr>
      </w:pPr>
    </w:p>
    <w:p>
      <w:pPr>
        <w:ind w:left="3840"/>
        <w:spacing w:after="0"/>
        <w:rPr>
          <w:sz w:val="20"/>
          <w:szCs w:val="20"/>
          <w:color w:val="auto"/>
        </w:rPr>
      </w:pPr>
      <w:r>
        <w:rPr>
          <w:rFonts w:ascii="Arial" w:cs="Arial" w:eastAsia="Arial" w:hAnsi="Arial"/>
          <w:sz w:val="25"/>
          <w:szCs w:val="25"/>
          <w:b w:val="1"/>
          <w:bCs w:val="1"/>
          <w:color w:val="auto"/>
        </w:rPr>
        <w:t>Units</w:t>
      </w:r>
    </w:p>
    <w:p>
      <w:pPr>
        <w:spacing w:after="0" w:line="125" w:lineRule="exact"/>
        <w:rPr>
          <w:sz w:val="20"/>
          <w:szCs w:val="20"/>
          <w:color w:val="auto"/>
        </w:rPr>
      </w:pPr>
    </w:p>
    <w:p>
      <w:pPr>
        <w:ind w:right="199" w:firstLine="360"/>
        <w:spacing w:after="0" w:line="308" w:lineRule="auto"/>
        <w:rPr>
          <w:sz w:val="20"/>
          <w:szCs w:val="20"/>
          <w:color w:val="auto"/>
        </w:rPr>
      </w:pPr>
      <w:r>
        <w:rPr>
          <w:rFonts w:ascii="Arial" w:cs="Arial" w:eastAsia="Arial" w:hAnsi="Arial"/>
          <w:sz w:val="17"/>
          <w:szCs w:val="17"/>
          <w:color w:val="auto"/>
        </w:rPr>
        <w:t>We may offer and sell up to $250,000,000 in the aggregate of the securities identified above from time to time in one or more offerings. This prospectus provides you with a general description of the securities.</w:t>
      </w:r>
    </w:p>
    <w:p>
      <w:pPr>
        <w:spacing w:after="0" w:line="79" w:lineRule="exact"/>
        <w:rPr>
          <w:sz w:val="20"/>
          <w:szCs w:val="20"/>
          <w:color w:val="auto"/>
        </w:rPr>
      </w:pPr>
    </w:p>
    <w:p>
      <w:pPr>
        <w:ind w:right="199" w:firstLine="360"/>
        <w:spacing w:after="0" w:line="257" w:lineRule="auto"/>
        <w:rPr>
          <w:sz w:val="20"/>
          <w:szCs w:val="20"/>
          <w:color w:val="auto"/>
        </w:rPr>
      </w:pPr>
      <w:r>
        <w:rPr>
          <w:rFonts w:ascii="Arial" w:cs="Arial" w:eastAsia="Arial" w:hAnsi="Arial"/>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07" w:lineRule="exact"/>
        <w:rPr>
          <w:sz w:val="20"/>
          <w:szCs w:val="20"/>
          <w:color w:val="auto"/>
        </w:rPr>
      </w:pPr>
    </w:p>
    <w:p>
      <w:pPr>
        <w:ind w:right="139" w:firstLine="360"/>
        <w:spacing w:after="0" w:line="271" w:lineRule="auto"/>
        <w:rPr>
          <w:sz w:val="20"/>
          <w:szCs w:val="20"/>
          <w:color w:val="auto"/>
        </w:rPr>
      </w:pPr>
      <w:r>
        <w:rPr>
          <w:rFonts w:ascii="Arial" w:cs="Arial" w:eastAsia="Arial" w:hAnsi="Arial"/>
          <w:sz w:val="17"/>
          <w:szCs w:val="17"/>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11" w:lineRule="exact"/>
        <w:rPr>
          <w:sz w:val="20"/>
          <w:szCs w:val="20"/>
          <w:color w:val="auto"/>
        </w:rPr>
      </w:pPr>
    </w:p>
    <w:p>
      <w:pPr>
        <w:ind w:right="219" w:firstLine="360"/>
        <w:spacing w:after="0" w:line="263" w:lineRule="auto"/>
        <w:rPr>
          <w:sz w:val="20"/>
          <w:szCs w:val="20"/>
          <w:color w:val="auto"/>
        </w:rPr>
      </w:pPr>
      <w:r>
        <w:rPr>
          <w:rFonts w:ascii="Arial" w:cs="Arial" w:eastAsia="Arial" w:hAnsi="Arial"/>
          <w:sz w:val="18"/>
          <w:szCs w:val="18"/>
          <w:color w:val="auto"/>
        </w:rPr>
        <w:t>Our ADSs, each representing eight ordinary shares, are listed on The Nasdaq Global Market under the symbol “VRNA.” On March 16, 2021, the last reported sale price of our ADSs on The Nasdaq Global Market was $8.60 per ADS.</w:t>
      </w:r>
    </w:p>
    <w:p>
      <w:pPr>
        <w:spacing w:after="0" w:line="112" w:lineRule="exact"/>
        <w:rPr>
          <w:sz w:val="20"/>
          <w:szCs w:val="20"/>
          <w:color w:val="auto"/>
        </w:rPr>
      </w:pPr>
    </w:p>
    <w:p>
      <w:pPr>
        <w:jc w:val="both"/>
        <w:ind w:right="119" w:firstLine="36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Investing in our securities involves risks. See “Risk Factors” beginning on page </w:t>
      </w:r>
      <w:hyperlink w:anchor="page9">
        <w:r>
          <w:rPr>
            <w:rFonts w:ascii="Arial" w:cs="Arial" w:eastAsia="Arial" w:hAnsi="Arial"/>
            <w:sz w:val="18"/>
            <w:szCs w:val="18"/>
            <w:b w:val="1"/>
            <w:bCs w:val="1"/>
            <w:u w:val="single" w:color="auto"/>
            <w:color w:val="0000EE"/>
          </w:rPr>
          <w:t>5</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of this prospectus and the documents incorporated by reference in this prospectus concerning factors you should consider before investing in our securities.</w:t>
      </w:r>
    </w:p>
    <w:p>
      <w:pPr>
        <w:spacing w:after="0" w:line="99" w:lineRule="exact"/>
        <w:rPr>
          <w:sz w:val="20"/>
          <w:szCs w:val="20"/>
          <w:color w:val="auto"/>
        </w:rPr>
      </w:pPr>
    </w:p>
    <w:p>
      <w:pPr>
        <w:ind w:right="159" w:firstLine="360"/>
        <w:spacing w:after="0" w:line="308" w:lineRule="auto"/>
        <w:rPr>
          <w:sz w:val="20"/>
          <w:szCs w:val="20"/>
          <w:color w:val="auto"/>
        </w:rPr>
      </w:pPr>
      <w:r>
        <w:rPr>
          <w:rFonts w:ascii="Arial" w:cs="Arial" w:eastAsia="Arial" w:hAnsi="Arial"/>
          <w:sz w:val="17"/>
          <w:szCs w:val="17"/>
          <w:color w:val="auto"/>
        </w:rPr>
        <w:t>We are an “emerging growth company” and a “smaller reporting company” under applicable Securities and Exchange Commission rules and are eligible for reduced public company disclosure requirements</w:t>
      </w:r>
    </w:p>
    <w:p>
      <w:pPr>
        <w:spacing w:after="0" w:line="75" w:lineRule="exact"/>
        <w:rPr>
          <w:sz w:val="20"/>
          <w:szCs w:val="20"/>
          <w:color w:val="auto"/>
        </w:rPr>
      </w:pPr>
    </w:p>
    <w:p>
      <w:pPr>
        <w:ind w:right="179"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on the adequacy or accuracy of this prospectus.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234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51435</wp:posOffset>
            </wp:positionV>
            <wp:extent cx="68065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2">
            <w:col w:w="1180" w:space="400"/>
            <w:col w:w="8299"/>
          </w:cols>
          <w:pgMar w:left="580" w:top="132" w:right="1440" w:bottom="1440" w:gutter="0" w:footer="0" w:header="0"/>
          <w:type w:val="continuous"/>
        </w:sectPr>
      </w:pPr>
    </w:p>
    <w:bookmarkStart w:id="4" w:name="page5"/>
    <w:bookmarkEnd w:id="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7480" w:type="dxa"/>
            <w:vAlign w:val="bottom"/>
          </w:tcPr>
          <w:p>
            <w:pPr>
              <w:ind w:left="3180"/>
              <w:spacing w:after="0"/>
              <w:rPr>
                <w:sz w:val="20"/>
                <w:szCs w:val="20"/>
                <w:color w:val="auto"/>
              </w:rPr>
            </w:pPr>
            <w:r>
              <w:rPr>
                <w:rFonts w:ascii="Arial" w:cs="Arial" w:eastAsia="Arial" w:hAnsi="Arial"/>
                <w:sz w:val="18"/>
                <w:szCs w:val="18"/>
                <w:b w:val="1"/>
                <w:bCs w:val="1"/>
                <w:color w:val="auto"/>
              </w:rPr>
              <w:t>TABLE OF CONTENTS</w:t>
            </w:r>
          </w:p>
        </w:tc>
        <w:tc>
          <w:tcPr>
            <w:tcW w:w="720" w:type="dxa"/>
            <w:vAlign w:val="bottom"/>
          </w:tcPr>
          <w:p>
            <w:pPr>
              <w:spacing w:after="0"/>
              <w:rPr>
                <w:sz w:val="20"/>
                <w:szCs w:val="20"/>
                <w:color w:val="auto"/>
              </w:rPr>
            </w:pPr>
          </w:p>
        </w:tc>
      </w:tr>
      <w:tr>
        <w:trPr>
          <w:trHeight w:val="176"/>
        </w:trPr>
        <w:tc>
          <w:tcPr>
            <w:tcW w:w="748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189"/>
        </w:trPr>
        <w:tc>
          <w:tcPr>
            <w:tcW w:w="7480" w:type="dxa"/>
            <w:vAlign w:val="bottom"/>
            <w:shd w:val="clear" w:color="auto" w:fill="CCEEFF"/>
          </w:tcPr>
          <w:p>
            <w:pPr>
              <w:spacing w:after="0" w:line="189"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ABOUT THIS PROSPECTUS</w:t>
              </w:r>
            </w:hyperlink>
          </w:p>
        </w:tc>
        <w:tc>
          <w:tcPr>
            <w:tcW w:w="720" w:type="dxa"/>
            <w:vAlign w:val="bottom"/>
            <w:shd w:val="clear" w:color="auto" w:fill="CCEEFF"/>
          </w:tcPr>
          <w:p>
            <w:pPr>
              <w:jc w:val="right"/>
              <w:spacing w:after="0" w:line="189" w:lineRule="exact"/>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1</w:t>
              </w:r>
            </w:hyperlink>
          </w:p>
        </w:tc>
      </w:tr>
      <w:tr>
        <w:trPr>
          <w:trHeight w:val="257"/>
        </w:trPr>
        <w:tc>
          <w:tcPr>
            <w:tcW w:w="7480" w:type="dxa"/>
            <w:vAlign w:val="bottom"/>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WHERE YOU CAN FIND MORE INFORMATION; INCORPORATION BY REFERENCE</w:t>
              </w:r>
            </w:hyperlink>
          </w:p>
        </w:tc>
        <w:tc>
          <w:tcPr>
            <w:tcW w:w="720" w:type="dxa"/>
            <w:vAlign w:val="bottom"/>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2</w:t>
              </w:r>
            </w:hyperlink>
          </w:p>
        </w:tc>
      </w:tr>
      <w:tr>
        <w:trPr>
          <w:trHeight w:val="270"/>
        </w:trPr>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THE COMPANY</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4</w:t>
              </w:r>
            </w:hyperlink>
          </w:p>
        </w:tc>
      </w:tr>
      <w:tr>
        <w:trPr>
          <w:trHeight w:val="270"/>
        </w:trPr>
        <w:tc>
          <w:tcPr>
            <w:tcW w:w="7480" w:type="dxa"/>
            <w:vAlign w:val="bottom"/>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RISK FACTORS</w:t>
              </w:r>
            </w:hyperlink>
          </w:p>
        </w:tc>
        <w:tc>
          <w:tcPr>
            <w:tcW w:w="720" w:type="dxa"/>
            <w:vAlign w:val="bottom"/>
          </w:tcPr>
          <w:p>
            <w:pPr>
              <w:jc w:val="right"/>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5</w:t>
              </w:r>
            </w:hyperlink>
          </w:p>
        </w:tc>
      </w:tr>
      <w:tr>
        <w:trPr>
          <w:trHeight w:val="270"/>
        </w:trPr>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USE OF PROCEEDS</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6</w:t>
              </w:r>
            </w:hyperlink>
          </w:p>
        </w:tc>
      </w:tr>
      <w:tr>
        <w:trPr>
          <w:trHeight w:val="270"/>
        </w:trPr>
        <w:tc>
          <w:tcPr>
            <w:tcW w:w="7480" w:type="dxa"/>
            <w:vAlign w:val="bottom"/>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DESCRIPTION OF SHARE CAPITAL AND ARTICLES OF ASSOCIATION</w:t>
              </w:r>
            </w:hyperlink>
          </w:p>
        </w:tc>
        <w:tc>
          <w:tcPr>
            <w:tcW w:w="720" w:type="dxa"/>
            <w:vAlign w:val="bottom"/>
          </w:tcPr>
          <w:p>
            <w:pPr>
              <w:jc w:val="right"/>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7</w:t>
              </w:r>
            </w:hyperlink>
          </w:p>
        </w:tc>
      </w:tr>
      <w:tr>
        <w:trPr>
          <w:trHeight w:val="270"/>
        </w:trPr>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DESCRIPTION OF AMERICAN DEPOSITARY SHARES</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EE"/>
              </w:rPr>
            </w:pPr>
            <w:hyperlink w:anchor="page27">
              <w:r>
                <w:rPr>
                  <w:rFonts w:ascii="Arial" w:cs="Arial" w:eastAsia="Arial" w:hAnsi="Arial"/>
                  <w:sz w:val="18"/>
                  <w:szCs w:val="18"/>
                  <w:u w:val="single" w:color="auto"/>
                  <w:color w:val="0000EE"/>
                </w:rPr>
                <w:t>23</w:t>
              </w:r>
            </w:hyperlink>
          </w:p>
        </w:tc>
      </w:tr>
      <w:tr>
        <w:trPr>
          <w:trHeight w:val="270"/>
        </w:trPr>
        <w:tc>
          <w:tcPr>
            <w:tcW w:w="748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DESCRIPTION OF DEBT SECURITIES</w:t>
              </w:r>
            </w:hyperlink>
          </w:p>
        </w:tc>
        <w:tc>
          <w:tcPr>
            <w:tcW w:w="720" w:type="dxa"/>
            <w:vAlign w:val="bottom"/>
          </w:tcPr>
          <w:p>
            <w:pPr>
              <w:jc w:val="right"/>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33</w:t>
              </w:r>
            </w:hyperlink>
          </w:p>
        </w:tc>
      </w:tr>
      <w:tr>
        <w:trPr>
          <w:trHeight w:val="270"/>
        </w:trPr>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DESCRIPTION OF WARRANTS</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40</w:t>
              </w:r>
            </w:hyperlink>
          </w:p>
        </w:tc>
      </w:tr>
      <w:tr>
        <w:trPr>
          <w:trHeight w:val="270"/>
        </w:trPr>
        <w:tc>
          <w:tcPr>
            <w:tcW w:w="7480" w:type="dxa"/>
            <w:vAlign w:val="bottom"/>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DESCRIPTION OF UNITS</w:t>
              </w:r>
            </w:hyperlink>
          </w:p>
        </w:tc>
        <w:tc>
          <w:tcPr>
            <w:tcW w:w="720" w:type="dxa"/>
            <w:vAlign w:val="bottom"/>
          </w:tcPr>
          <w:p>
            <w:pPr>
              <w:jc w:val="right"/>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41</w:t>
              </w:r>
            </w:hyperlink>
          </w:p>
        </w:tc>
      </w:tr>
      <w:tr>
        <w:trPr>
          <w:trHeight w:val="270"/>
        </w:trPr>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GLOBAL SECURITIES</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EE"/>
              </w:rPr>
            </w:pPr>
            <w:hyperlink w:anchor="page46">
              <w:r>
                <w:rPr>
                  <w:rFonts w:ascii="Arial" w:cs="Arial" w:eastAsia="Arial" w:hAnsi="Arial"/>
                  <w:sz w:val="18"/>
                  <w:szCs w:val="18"/>
                  <w:u w:val="single" w:color="auto"/>
                  <w:color w:val="0000EE"/>
                </w:rPr>
                <w:t>42</w:t>
              </w:r>
            </w:hyperlink>
          </w:p>
        </w:tc>
      </w:tr>
      <w:tr>
        <w:trPr>
          <w:trHeight w:val="270"/>
        </w:trPr>
        <w:tc>
          <w:tcPr>
            <w:tcW w:w="7480" w:type="dxa"/>
            <w:vAlign w:val="bottom"/>
          </w:tcPr>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PLAN OF DISTRIBUTION</w:t>
              </w:r>
            </w:hyperlink>
          </w:p>
        </w:tc>
        <w:tc>
          <w:tcPr>
            <w:tcW w:w="720" w:type="dxa"/>
            <w:vAlign w:val="bottom"/>
          </w:tcPr>
          <w:p>
            <w:pPr>
              <w:jc w:val="right"/>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46</w:t>
              </w:r>
            </w:hyperlink>
          </w:p>
        </w:tc>
      </w:tr>
      <w:tr>
        <w:trPr>
          <w:trHeight w:val="270"/>
        </w:trPr>
        <w:tc>
          <w:tcPr>
            <w:tcW w:w="7480" w:type="dxa"/>
            <w:vAlign w:val="bottom"/>
            <w:shd w:val="clear" w:color="auto" w:fill="CCEEFF"/>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LEGAL MATTERS</w:t>
              </w:r>
            </w:hyperlink>
          </w:p>
        </w:tc>
        <w:tc>
          <w:tcPr>
            <w:tcW w:w="720" w:type="dxa"/>
            <w:vAlign w:val="bottom"/>
            <w:shd w:val="clear" w:color="auto" w:fill="CCEEFF"/>
          </w:tcPr>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48</w:t>
              </w:r>
            </w:hyperlink>
          </w:p>
        </w:tc>
      </w:tr>
      <w:tr>
        <w:trPr>
          <w:trHeight w:val="270"/>
        </w:trPr>
        <w:tc>
          <w:tcPr>
            <w:tcW w:w="7480" w:type="dxa"/>
            <w:vAlign w:val="bottom"/>
          </w:tcPr>
          <w:p>
            <w:pPr>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EXPERTS</w:t>
              </w:r>
            </w:hyperlink>
          </w:p>
        </w:tc>
        <w:tc>
          <w:tcPr>
            <w:tcW w:w="720" w:type="dxa"/>
            <w:vAlign w:val="bottom"/>
          </w:tcPr>
          <w:p>
            <w:pPr>
              <w:jc w:val="right"/>
              <w:spacing w:after="0"/>
              <w:rPr>
                <w:rFonts w:ascii="Arial" w:cs="Arial" w:eastAsia="Arial" w:hAnsi="Arial"/>
                <w:sz w:val="18"/>
                <w:szCs w:val="18"/>
                <w:u w:val="single" w:color="auto"/>
                <w:color w:val="0000EE"/>
              </w:rPr>
            </w:pPr>
            <w:hyperlink w:anchor="page52">
              <w:r>
                <w:rPr>
                  <w:rFonts w:ascii="Arial" w:cs="Arial" w:eastAsia="Arial" w:hAnsi="Arial"/>
                  <w:sz w:val="18"/>
                  <w:szCs w:val="18"/>
                  <w:u w:val="single" w:color="auto"/>
                  <w:color w:val="0000EE"/>
                </w:rPr>
                <w:t>48</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 w:name="page6"/>
    <w:bookmarkEnd w:id="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ABOUT THIS PROSPECTUS</w:t>
      </w:r>
    </w:p>
    <w:p>
      <w:pPr>
        <w:spacing w:after="0" w:line="148" w:lineRule="exact"/>
        <w:rPr>
          <w:sz w:val="20"/>
          <w:szCs w:val="20"/>
          <w:color w:val="auto"/>
        </w:rPr>
      </w:pPr>
    </w:p>
    <w:p>
      <w:pPr>
        <w:ind w:left="1260" w:right="559" w:firstLine="360"/>
        <w:spacing w:after="0" w:line="268" w:lineRule="auto"/>
        <w:rPr>
          <w:sz w:val="20"/>
          <w:szCs w:val="20"/>
          <w:color w:val="auto"/>
        </w:rPr>
      </w:pPr>
      <w:r>
        <w:rPr>
          <w:rFonts w:ascii="Arial" w:cs="Arial" w:eastAsia="Arial" w:hAnsi="Arial"/>
          <w:sz w:val="17"/>
          <w:szCs w:val="17"/>
          <w:color w:val="auto"/>
        </w:rPr>
        <w:t>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$250,000,000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 Incorporation by Reference.”</w:t>
      </w:r>
    </w:p>
    <w:p>
      <w:pPr>
        <w:spacing w:after="0" w:line="117"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“Risk Factors” contained in this prospectus, the applicable prospectus supplement and any applicable free writing prospectus, and under similar headings in other documents that are incorporated by reference into this prospectus. Accordingly, investors should not place undue reliance on this information.</w:t>
      </w:r>
    </w:p>
    <w:p>
      <w:pPr>
        <w:spacing w:after="0" w:line="116" w:lineRule="exact"/>
        <w:rPr>
          <w:sz w:val="20"/>
          <w:szCs w:val="20"/>
          <w:color w:val="auto"/>
        </w:rPr>
      </w:pPr>
    </w:p>
    <w:p>
      <w:pPr>
        <w:jc w:val="both"/>
        <w:ind w:left="1260" w:right="539" w:firstLine="360"/>
        <w:spacing w:after="0" w:line="263" w:lineRule="auto"/>
        <w:rPr>
          <w:sz w:val="20"/>
          <w:szCs w:val="20"/>
          <w:color w:val="auto"/>
        </w:rPr>
      </w:pPr>
      <w:r>
        <w:rPr>
          <w:rFonts w:ascii="Arial" w:cs="Arial" w:eastAsia="Arial" w:hAnsi="Arial"/>
          <w:sz w:val="18"/>
          <w:szCs w:val="18"/>
          <w:color w:val="auto"/>
        </w:rPr>
        <w:t>When we refer to Verona,” “we,” “our,” “us” and the “Company” in this prospectus, we mean Verona Pharma plc and its consolidated subsidiaries, unless otherwise specified. When we refer to “you,” we mean the potential holders of the applicable series of securities.</w:t>
      </w:r>
    </w:p>
    <w:p>
      <w:pPr>
        <w:spacing w:after="0" w:line="100"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Solely for convenience, any trademarks, service marks, logos and trade names referred to in this</w:t>
      </w:r>
    </w:p>
    <w:p>
      <w:pPr>
        <w:ind w:left="1260" w:right="419"/>
        <w:spacing w:after="0" w:line="241" w:lineRule="auto"/>
        <w:rPr>
          <w:sz w:val="20"/>
          <w:szCs w:val="20"/>
          <w:color w:val="auto"/>
        </w:rPr>
      </w:pPr>
      <w:r>
        <w:rPr>
          <w:rFonts w:ascii="Arial" w:cs="Arial" w:eastAsia="Arial" w:hAnsi="Arial"/>
          <w:sz w:val="18"/>
          <w:szCs w:val="18"/>
          <w:color w:val="auto"/>
        </w:rPr>
        <w:t xml:space="preserve">prospectus are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 symbols, but such references are not intended to indicate, in any way, that we will not assert, to the fullest extent under applicable law, our rights. This prospectus may contain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6" w:name="page7"/>
    <w:bookmarkEnd w:id="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Available Information</w:t>
      </w:r>
    </w:p>
    <w:p>
      <w:pPr>
        <w:spacing w:after="0" w:line="148"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Arial" w:cs="Arial" w:eastAsia="Arial" w:hAnsi="Arial"/>
          <w:sz w:val="18"/>
          <w:szCs w:val="18"/>
          <w:i w:val="1"/>
          <w:iCs w:val="1"/>
          <w:color w:val="auto"/>
        </w:rPr>
        <w:t>http://www.sec.gov</w:t>
      </w:r>
      <w:r>
        <w:rPr>
          <w:rFonts w:ascii="Arial" w:cs="Arial" w:eastAsia="Arial" w:hAnsi="Arial"/>
          <w:sz w:val="18"/>
          <w:szCs w:val="18"/>
          <w:color w:val="auto"/>
        </w:rPr>
        <w:t>.</w:t>
      </w:r>
    </w:p>
    <w:p>
      <w:pPr>
        <w:spacing w:after="0" w:line="116"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 xml:space="preserve">Our web site address is </w:t>
      </w:r>
      <w:r>
        <w:rPr>
          <w:rFonts w:ascii="Arial" w:cs="Arial" w:eastAsia="Arial" w:hAnsi="Arial"/>
          <w:sz w:val="18"/>
          <w:szCs w:val="18"/>
          <w:i w:val="1"/>
          <w:iCs w:val="1"/>
          <w:color w:val="auto"/>
        </w:rPr>
        <w:t>www.veronapharma.com</w:t>
      </w:r>
      <w:r>
        <w:rPr>
          <w:rFonts w:ascii="Arial" w:cs="Arial" w:eastAsia="Arial" w:hAnsi="Arial"/>
          <w:sz w:val="18"/>
          <w:szCs w:val="18"/>
          <w:color w:val="auto"/>
        </w:rPr>
        <w:t>. The information on our web site, however, is not, and should not be deemed to be, a part of this prospectus.</w:t>
      </w:r>
    </w:p>
    <w:p>
      <w:pPr>
        <w:spacing w:after="0" w:line="103" w:lineRule="exact"/>
        <w:rPr>
          <w:sz w:val="20"/>
          <w:szCs w:val="20"/>
          <w:color w:val="auto"/>
        </w:rPr>
      </w:pPr>
    </w:p>
    <w:p>
      <w:pPr>
        <w:ind w:left="1260" w:right="559" w:firstLine="360"/>
        <w:spacing w:after="0" w:line="270" w:lineRule="auto"/>
        <w:rPr>
          <w:sz w:val="20"/>
          <w:szCs w:val="20"/>
          <w:color w:val="auto"/>
        </w:rPr>
      </w:pPr>
      <w:r>
        <w:rPr>
          <w:rFonts w:ascii="Arial" w:cs="Arial" w:eastAsia="Arial" w:hAnsi="Arial"/>
          <w:sz w:val="17"/>
          <w:szCs w:val="17"/>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or documents incorporated by reference in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Incorporation by Reference</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spacing w:after="0" w:line="124"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62" w:lineRule="exact"/>
        <w:rPr>
          <w:sz w:val="20"/>
          <w:szCs w:val="20"/>
          <w:color w:val="auto"/>
        </w:rPr>
      </w:pPr>
    </w:p>
    <w:p>
      <w:pPr>
        <w:ind w:left="1800" w:right="839" w:hanging="180"/>
        <w:spacing w:after="0" w:line="277" w:lineRule="auto"/>
        <w:tabs>
          <w:tab w:leader="none" w:pos="1800" w:val="left"/>
        </w:tabs>
        <w:numPr>
          <w:ilvl w:val="0"/>
          <w:numId w:val="3"/>
        </w:numPr>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Our Annual Report on Form 10-K for the year ended December 31, 2020, filed with the SEC on</w:t>
        </w:r>
      </w:hyperlink>
      <w:r>
        <w:rPr>
          <w:rFonts w:ascii="Arial" w:cs="Arial" w:eastAsia="Arial" w:hAnsi="Arial"/>
          <w:sz w:val="18"/>
          <w:szCs w:val="18"/>
          <w:u w:val="single" w:color="auto"/>
          <w:color w:val="0000EE"/>
        </w:rPr>
        <w:t xml:space="preserve"> </w:t>
      </w:r>
      <w:hyperlink r:id="rId22">
        <w:r>
          <w:rPr>
            <w:rFonts w:ascii="Arial" w:cs="Arial" w:eastAsia="Arial" w:hAnsi="Arial"/>
            <w:sz w:val="18"/>
            <w:szCs w:val="18"/>
            <w:u w:val="single" w:color="auto"/>
            <w:color w:val="0000EE"/>
          </w:rPr>
          <w:t>February 25, 2021.</w:t>
        </w:r>
      </w:hyperlink>
    </w:p>
    <w:p>
      <w:pPr>
        <w:spacing w:after="0" w:line="62" w:lineRule="exact"/>
        <w:rPr>
          <w:rFonts w:ascii="Arial" w:cs="Arial" w:eastAsia="Arial" w:hAnsi="Arial"/>
          <w:sz w:val="18"/>
          <w:szCs w:val="18"/>
          <w:u w:val="single" w:color="auto"/>
          <w:color w:val="0000EE"/>
        </w:rPr>
      </w:pPr>
    </w:p>
    <w:p>
      <w:pPr>
        <w:ind w:left="1800" w:right="619" w:hanging="180"/>
        <w:spacing w:after="0" w:line="277" w:lineRule="auto"/>
        <w:tabs>
          <w:tab w:leader="none" w:pos="180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from our </w:t>
      </w:r>
      <w:hyperlink r:id="rId23">
        <w:r>
          <w:rPr>
            <w:rFonts w:ascii="Arial" w:cs="Arial" w:eastAsia="Arial" w:hAnsi="Arial"/>
            <w:sz w:val="18"/>
            <w:szCs w:val="18"/>
            <w:u w:val="single" w:color="auto"/>
            <w:color w:val="0000EE"/>
          </w:rPr>
          <w:t>Definitive Proxy Statement on Schedule 14A, filed with the SEC on March 19, 2021</w:t>
        </w:r>
      </w:hyperlink>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
        </w:numPr>
        <w:rPr>
          <w:rFonts w:ascii="Arial" w:cs="Arial" w:eastAsia="Arial" w:hAnsi="Arial"/>
          <w:sz w:val="18"/>
          <w:szCs w:val="18"/>
          <w:u w:val="single" w:color="auto"/>
          <w:color w:val="0000EE"/>
        </w:rPr>
      </w:pPr>
      <w:hyperlink r:id="rId24">
        <w:r>
          <w:rPr>
            <w:rFonts w:ascii="Arial" w:cs="Arial" w:eastAsia="Arial" w:hAnsi="Arial"/>
            <w:sz w:val="18"/>
            <w:szCs w:val="18"/>
            <w:u w:val="single" w:color="auto"/>
            <w:color w:val="0000EE"/>
          </w:rPr>
          <w:t>Our Current Report on Form 8-K filed with the SEC on March 2, 2021.</w:t>
        </w:r>
      </w:hyperlink>
    </w:p>
    <w:p>
      <w:pPr>
        <w:spacing w:after="0" w:line="117" w:lineRule="exact"/>
        <w:rPr>
          <w:rFonts w:ascii="Arial" w:cs="Arial" w:eastAsia="Arial" w:hAnsi="Arial"/>
          <w:sz w:val="18"/>
          <w:szCs w:val="18"/>
          <w:u w:val="single" w:color="auto"/>
          <w:color w:val="0000EE"/>
        </w:rPr>
      </w:pPr>
    </w:p>
    <w:p>
      <w:pPr>
        <w:ind w:left="1800" w:right="519" w:hanging="180"/>
        <w:spacing w:after="0" w:line="263" w:lineRule="auto"/>
        <w:tabs>
          <w:tab w:leader="none" w:pos="1800" w:val="left"/>
        </w:tabs>
        <w:numPr>
          <w:ilvl w:val="0"/>
          <w:numId w:val="3"/>
        </w:numPr>
        <w:rPr>
          <w:rFonts w:ascii="Arial" w:cs="Arial" w:eastAsia="Arial" w:hAnsi="Arial"/>
          <w:sz w:val="18"/>
          <w:szCs w:val="18"/>
          <w:u w:val="single" w:color="auto"/>
          <w:color w:val="0000EE"/>
        </w:rPr>
      </w:pPr>
      <w:hyperlink r:id="rId25">
        <w:r>
          <w:rPr>
            <w:rFonts w:ascii="Arial" w:cs="Arial" w:eastAsia="Arial" w:hAnsi="Arial"/>
            <w:sz w:val="18"/>
            <w:szCs w:val="18"/>
            <w:u w:val="single" w:color="auto"/>
            <w:color w:val="0000EE"/>
          </w:rPr>
          <w:t>The description of our ordinary shares and ADSs contained in our registration statement on Form 8-</w:t>
        </w:r>
      </w:hyperlink>
      <w:hyperlink r:id="rId25">
        <w:r>
          <w:rPr>
            <w:rFonts w:ascii="Arial" w:cs="Arial" w:eastAsia="Arial" w:hAnsi="Arial"/>
            <w:sz w:val="18"/>
            <w:szCs w:val="18"/>
            <w:u w:val="single" w:color="auto"/>
            <w:color w:val="0000EE"/>
          </w:rPr>
          <w:t>A filed with the SEC on April 19, 2017 and any amendment or report filed with the SEC for the</w:t>
        </w:r>
      </w:hyperlink>
      <w:r>
        <w:rPr>
          <w:rFonts w:ascii="Arial" w:cs="Arial" w:eastAsia="Arial" w:hAnsi="Arial"/>
          <w:sz w:val="18"/>
          <w:szCs w:val="18"/>
          <w:u w:val="single" w:color="auto"/>
          <w:color w:val="0000EE"/>
        </w:rPr>
        <w:t xml:space="preserve"> </w:t>
      </w:r>
      <w:hyperlink r:id="rId25">
        <w:r>
          <w:rPr>
            <w:rFonts w:ascii="Arial" w:cs="Arial" w:eastAsia="Arial" w:hAnsi="Arial"/>
            <w:sz w:val="18"/>
            <w:szCs w:val="18"/>
            <w:u w:val="single" w:color="auto"/>
            <w:color w:val="0000EE"/>
          </w:rPr>
          <w:t>purpose of updating the description.</w:t>
        </w:r>
      </w:hyperlink>
    </w:p>
    <w:p>
      <w:pPr>
        <w:spacing w:after="0" w:line="116" w:lineRule="exact"/>
        <w:rPr>
          <w:rFonts w:ascii="Arial" w:cs="Arial" w:eastAsia="Arial" w:hAnsi="Arial"/>
          <w:sz w:val="18"/>
          <w:szCs w:val="18"/>
          <w:u w:val="single" w:color="auto"/>
          <w:color w:val="0000EE"/>
        </w:rPr>
      </w:pPr>
    </w:p>
    <w:p>
      <w:pPr>
        <w:ind w:left="1260" w:right="479" w:firstLine="360"/>
        <w:spacing w:after="0" w:line="254" w:lineRule="auto"/>
        <w:rPr>
          <w:sz w:val="20"/>
          <w:szCs w:val="20"/>
          <w:color w:val="auto"/>
        </w:rPr>
      </w:pPr>
      <w:r>
        <w:rPr>
          <w:rFonts w:ascii="Arial" w:cs="Arial" w:eastAsia="Arial" w:hAnsi="Arial"/>
          <w:sz w:val="18"/>
          <w:szCs w:val="18"/>
          <w:color w:val="auto"/>
        </w:rPr>
        <w:t>All reports and other documents we subsequently file pursuant to Section 13(a), 13(c), 14 or 15(d) of the Securities Exchange Act of 1934, as amended, which we refer to as the “Exchange Act” in this prospectus,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89" w:lineRule="exact"/>
        <w:rPr>
          <w:rFonts w:ascii="Arial" w:cs="Arial" w:eastAsia="Arial" w:hAnsi="Arial"/>
          <w:sz w:val="18"/>
          <w:szCs w:val="18"/>
          <w:u w:val="single" w:color="auto"/>
          <w:color w:val="0000EE"/>
        </w:rPr>
      </w:pPr>
    </w:p>
    <w:p>
      <w:pPr>
        <w:ind w:left="5300"/>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7" w:name="page8"/>
    <w:bookmarkEnd w:id="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639" w:firstLine="360"/>
        <w:spacing w:after="0" w:line="277" w:lineRule="auto"/>
        <w:rPr>
          <w:sz w:val="20"/>
          <w:szCs w:val="20"/>
          <w:color w:val="auto"/>
        </w:rPr>
      </w:pPr>
      <w:r>
        <w:rPr>
          <w:rFonts w:ascii="Arial" w:cs="Arial" w:eastAsia="Arial" w:hAnsi="Arial"/>
          <w:sz w:val="18"/>
          <w:szCs w:val="18"/>
          <w:color w:val="auto"/>
        </w:rPr>
        <w:t>You may request a free copy of any of the documents incorporated by reference in this prospectus by writing or telephoning us at the following address:</w:t>
      </w:r>
    </w:p>
    <w:p>
      <w:pPr>
        <w:spacing w:after="0" w:line="8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Verona Pharma plc</w:t>
      </w:r>
    </w:p>
    <w:p>
      <w:pPr>
        <w:spacing w:after="0" w:line="2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3 More London Riverside</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London SE1 2RE</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+44 203 283 4200</w:t>
      </w:r>
    </w:p>
    <w:p>
      <w:pPr>
        <w:spacing w:after="0" w:line="9" w:lineRule="exact"/>
        <w:rPr>
          <w:sz w:val="20"/>
          <w:szCs w:val="20"/>
          <w:color w:val="auto"/>
        </w:rPr>
      </w:pPr>
    </w:p>
    <w:p>
      <w:pPr>
        <w:jc w:val="center"/>
        <w:ind w:right="-860"/>
        <w:spacing w:after="0"/>
        <w:rPr>
          <w:sz w:val="20"/>
          <w:szCs w:val="20"/>
          <w:color w:val="auto"/>
        </w:rPr>
      </w:pPr>
      <w:r>
        <w:rPr>
          <w:rFonts w:ascii="Arial" w:cs="Arial" w:eastAsia="Arial" w:hAnsi="Arial"/>
          <w:sz w:val="18"/>
          <w:szCs w:val="18"/>
          <w:color w:val="auto"/>
        </w:rPr>
        <w:t>info@veronapharma.com</w:t>
      </w:r>
    </w:p>
    <w:p>
      <w:pPr>
        <w:spacing w:after="0" w:line="143" w:lineRule="exact"/>
        <w:rPr>
          <w:sz w:val="20"/>
          <w:szCs w:val="20"/>
          <w:color w:val="auto"/>
        </w:rPr>
      </w:pPr>
    </w:p>
    <w:p>
      <w:pPr>
        <w:ind w:left="1260" w:right="1299" w:firstLine="360"/>
        <w:spacing w:after="0" w:line="308" w:lineRule="auto"/>
        <w:rPr>
          <w:sz w:val="20"/>
          <w:szCs w:val="20"/>
          <w:color w:val="auto"/>
        </w:rPr>
      </w:pPr>
      <w:r>
        <w:rPr>
          <w:rFonts w:ascii="Arial" w:cs="Arial" w:eastAsia="Arial" w:hAnsi="Arial"/>
          <w:sz w:val="17"/>
          <w:szCs w:val="17"/>
          <w:color w:val="auto"/>
        </w:rPr>
        <w:t>Exhibits to the filings will not be sent, however, unless those exhibits have specifically been incorporated by reference in this prospectus or any accompanying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8" w:name="page9"/>
    <w:bookmarkEnd w:id="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We are a clinical-stage biopharmaceutical company focused on developing and commercializing innovative therapeutics for the treatment of respiratory diseases with significant unmet medical needs. Our product candidate, ensifentrine, is a first-in-class, inhaled, dual inhibitor of the phosphodiesterase 3 and PDE4 enzymes. We are developing ensifentrine in three formulations for the most widely used inhalation devices: nebulizer, dry powder inhaler and pressurized metered-dose inhaler. Initially, we are targeting chronic obstructive pulmonary disease (“COPD”), a common, chronic, progressive, and life-threatening respiratory disease without a cure. If successfully developed, ensifentrine would be the first therapeutic with a novel mode of action for COPD in a decade. In 2020, we commenced a Phase 3 clinical trial of ensifentrine for the treatment of COPD.</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Our principal office is located at 3 More London Riverside, London SE1 2RE, United Kingdom, and our telephone number is +(44) 203 283 4200.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9" w:name="page10"/>
    <w:bookmarkEnd w:id="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8"/>
          <w:szCs w:val="18"/>
          <w:color w:val="auto"/>
        </w:rPr>
        <w:t>Investment in any securities offered pursuant to this prospectus and the applicable prospectus supplement involves risks. You should carefully consider the risk factors incorporated by reference to our most recent Annual Report on Form 10-K and any subsequent Quarterly Reports on Form 10-Q or Current Reports on Form 8-K, and all other information contained or incorporated by reference into this prospectus, as updated by our subsequent filings under the Exchange Act, and the risk factors and other information contained in the applicable prospectus supplement and any applicable free writing prospectus before acquiring any of such securities. The occurrence of any of these risks might cause you to lose all or part of your investment in the offered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10" w:name="page11"/>
    <w:bookmarkEnd w:id="1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1260" w:right="1259" w:firstLine="360"/>
        <w:spacing w:after="0" w:line="277" w:lineRule="auto"/>
        <w:rPr>
          <w:sz w:val="20"/>
          <w:szCs w:val="20"/>
          <w:color w:val="auto"/>
        </w:rPr>
      </w:pPr>
      <w:r>
        <w:rPr>
          <w:rFonts w:ascii="Arial" w:cs="Arial" w:eastAsia="Arial" w:hAnsi="Arial"/>
          <w:sz w:val="18"/>
          <w:szCs w:val="18"/>
          <w:color w:val="auto"/>
        </w:rPr>
        <w:t>We intend to use the net proceeds from the sale of the securities as set forth in the applicable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1" w:name="page12"/>
    <w:bookmarkEnd w:id="1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440"/>
        <w:spacing w:after="0"/>
        <w:rPr>
          <w:sz w:val="20"/>
          <w:szCs w:val="20"/>
          <w:color w:val="auto"/>
        </w:rPr>
      </w:pPr>
      <w:r>
        <w:rPr>
          <w:rFonts w:ascii="Arial" w:cs="Arial" w:eastAsia="Arial" w:hAnsi="Arial"/>
          <w:sz w:val="18"/>
          <w:szCs w:val="18"/>
          <w:b w:val="1"/>
          <w:bCs w:val="1"/>
          <w:color w:val="auto"/>
        </w:rPr>
        <w:t>DESCRIPTION OF SHARE CAPITAL AND ARTICLES OF ASSOCIATION</w:t>
      </w:r>
    </w:p>
    <w:p>
      <w:pPr>
        <w:spacing w:after="0" w:line="148"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7"/>
          <w:szCs w:val="17"/>
          <w:i w:val="1"/>
          <w:iCs w:val="1"/>
          <w:color w:val="auto"/>
        </w:rPr>
        <w:t>Set forth below is a summary of certain information concerning our share capital as well as a description of certain provisions of our articles of association and relevant provisions of English law. Because the following is only a summary, it does not contain all of the information that may be important to you. The summary includes certain references to and descriptions of material provisions of our articles of association and English law in effect as of the date of this prospectus. The summary below does not purport to be complete and is qualified in its entirety by reference to applicable English law and our articles of association, which have been publicly filed with the Securities and Exchange Commission.</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260" w:right="619" w:firstLine="360"/>
        <w:spacing w:after="0"/>
        <w:rPr>
          <w:sz w:val="20"/>
          <w:szCs w:val="20"/>
          <w:color w:val="auto"/>
        </w:rPr>
      </w:pPr>
      <w:r>
        <w:rPr>
          <w:rFonts w:ascii="Arial" w:cs="Arial" w:eastAsia="Arial" w:hAnsi="Arial"/>
          <w:sz w:val="18"/>
          <w:szCs w:val="18"/>
          <w:color w:val="auto"/>
        </w:rPr>
        <w:t>We were incorporated as a public limited company with the legal name Isis Resources plc under the laws of England and Wales on February 24, 2005 with the company number 5375156. In September 2006, we acquired Rhinopharma Limited, a company incorporated under the laws of the province of British Columbia, Canada and changed our name to Verona Pharma plc. Our registered office is One Central Square, Cardiff, CF10 1FS. The principal legislation under which we operate and our shares are issued is the Companies Act 2006.</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Articles of Association</w:t>
      </w:r>
    </w:p>
    <w:p>
      <w:pPr>
        <w:spacing w:after="0" w:line="162" w:lineRule="exact"/>
        <w:rPr>
          <w:sz w:val="20"/>
          <w:szCs w:val="20"/>
          <w:color w:val="auto"/>
        </w:rPr>
      </w:pPr>
    </w:p>
    <w:p>
      <w:pPr>
        <w:ind w:left="1260" w:right="1079" w:firstLine="360"/>
        <w:spacing w:after="0" w:line="261" w:lineRule="auto"/>
        <w:rPr>
          <w:sz w:val="20"/>
          <w:szCs w:val="20"/>
          <w:color w:val="auto"/>
        </w:rPr>
      </w:pPr>
      <w:r>
        <w:rPr>
          <w:rFonts w:ascii="Arial" w:cs="Arial" w:eastAsia="Arial" w:hAnsi="Arial"/>
          <w:sz w:val="18"/>
          <w:szCs w:val="18"/>
          <w:color w:val="auto"/>
        </w:rPr>
        <w:t>Set forth below is a summary of relevant information concerning our share capital and material provisions of our Articles of Association, or the Articles, and applicable UK law.</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44" w:lineRule="exact"/>
        <w:rPr>
          <w:sz w:val="20"/>
          <w:szCs w:val="20"/>
          <w:color w:val="auto"/>
        </w:rPr>
      </w:pPr>
    </w:p>
    <w:p>
      <w:pPr>
        <w:ind w:left="1260" w:right="559" w:firstLine="360"/>
        <w:spacing w:after="0" w:line="261" w:lineRule="auto"/>
        <w:rPr>
          <w:sz w:val="20"/>
          <w:szCs w:val="20"/>
          <w:color w:val="auto"/>
        </w:rPr>
      </w:pPr>
      <w:r>
        <w:rPr>
          <w:rFonts w:ascii="Arial" w:cs="Arial" w:eastAsia="Arial" w:hAnsi="Arial"/>
          <w:sz w:val="18"/>
          <w:szCs w:val="18"/>
          <w:color w:val="auto"/>
        </w:rPr>
        <w:t>In accordance with the Articles, the following summarizes the rights of holders of our voting ordinary shares:</w:t>
      </w:r>
    </w:p>
    <w:p>
      <w:pPr>
        <w:spacing w:after="0" w:line="63" w:lineRule="exact"/>
        <w:rPr>
          <w:sz w:val="20"/>
          <w:szCs w:val="20"/>
          <w:color w:val="auto"/>
        </w:rPr>
      </w:pPr>
    </w:p>
    <w:p>
      <w:pPr>
        <w:ind w:left="1800" w:right="41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each holder of our ordinary shares is entitled to one vote per ordinary share on all matters to be voted on by shareholders generally;</w:t>
      </w:r>
    </w:p>
    <w:p>
      <w:pPr>
        <w:spacing w:after="0" w:line="62" w:lineRule="exact"/>
        <w:rPr>
          <w:rFonts w:ascii="Arial" w:cs="Arial" w:eastAsia="Arial" w:hAnsi="Arial"/>
          <w:sz w:val="18"/>
          <w:szCs w:val="18"/>
          <w:color w:val="auto"/>
        </w:rPr>
      </w:pPr>
    </w:p>
    <w:p>
      <w:pPr>
        <w:ind w:left="1800" w:right="53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holders of the ordinary shares shall be entitled to receive notice of, attend, speak and vote at our general meetings; and</w:t>
      </w:r>
    </w:p>
    <w:p>
      <w:pPr>
        <w:spacing w:after="0" w:line="62" w:lineRule="exact"/>
        <w:rPr>
          <w:rFonts w:ascii="Arial" w:cs="Arial" w:eastAsia="Arial" w:hAnsi="Arial"/>
          <w:sz w:val="18"/>
          <w:szCs w:val="18"/>
          <w:color w:val="auto"/>
        </w:rPr>
      </w:pPr>
    </w:p>
    <w:p>
      <w:pPr>
        <w:ind w:left="1800" w:right="839" w:hanging="180"/>
        <w:spacing w:after="0" w:line="277" w:lineRule="auto"/>
        <w:tabs>
          <w:tab w:leader="none" w:pos="1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holders of our ordinary shares are entitled to receive such dividends as are recommended by our directors and declared by our shareholders.</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Registered Shares</w:t>
      </w:r>
    </w:p>
    <w:p>
      <w:pPr>
        <w:spacing w:after="0" w:line="158"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 xml:space="preserve">We are required by the Companies Act 2006 to keep a register of our shareholders. Under English law, the ordinary shares are deemed to be issued when the name of the shareholder is entered in our share register. The share register therefore is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identity of our shareholders, and the shares that they hold. The share register generally provides limited, or no, information regarding the ultimate beneficial owners of our ordinary shares. Our share register is maintained by our registrar, Computershare Investor Services plc.</w:t>
      </w:r>
    </w:p>
    <w:p>
      <w:pPr>
        <w:spacing w:after="0" w:line="108" w:lineRule="exact"/>
        <w:rPr>
          <w:sz w:val="20"/>
          <w:szCs w:val="20"/>
          <w:color w:val="auto"/>
        </w:rPr>
      </w:pPr>
    </w:p>
    <w:p>
      <w:pPr>
        <w:ind w:left="1260" w:right="619" w:firstLine="360"/>
        <w:spacing w:after="0" w:line="259" w:lineRule="auto"/>
        <w:rPr>
          <w:sz w:val="20"/>
          <w:szCs w:val="20"/>
          <w:color w:val="auto"/>
        </w:rPr>
      </w:pPr>
      <w:r>
        <w:rPr>
          <w:rFonts w:ascii="Arial" w:cs="Arial" w:eastAsia="Arial" w:hAnsi="Arial"/>
          <w:sz w:val="17"/>
          <w:szCs w:val="17"/>
          <w:color w:val="auto"/>
        </w:rPr>
        <w:t>Holders of our ADSs will not be treated as one of our shareholders and their names will therefore not be entered in our share register. The depositary, the custodian or their nominees will be the holder of the shares underlying our ADSs. For discussion on our ADSs and ADS holder rights see “Description of American Depository Shares” below. Holders of our ADSs have a right to receive the ordinary shares underlying their ADSs as discussed in “Description of American Depository Shares” below.</w:t>
      </w:r>
    </w:p>
    <w:p>
      <w:pPr>
        <w:spacing w:after="0" w:line="106"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Under the Companies Act 2006, we must enter an allotment of shares in our share register as soon as practicable and in any event within two months of the allotment. We also are required by the Companies Act 2006 to register a transfer of shares (or give the transferee notice of and reasons for refusal) as soon as practicable and in any event within two months of receiving notice of the transfer.</w:t>
      </w:r>
    </w:p>
    <w:p>
      <w:pPr>
        <w:spacing w:after="0" w:line="120" w:lineRule="exact"/>
        <w:rPr>
          <w:sz w:val="20"/>
          <w:szCs w:val="20"/>
          <w:color w:val="auto"/>
        </w:rPr>
      </w:pPr>
    </w:p>
    <w:p>
      <w:pPr>
        <w:ind w:left="1260" w:right="519" w:firstLine="360"/>
        <w:spacing w:after="0" w:line="261" w:lineRule="auto"/>
        <w:rPr>
          <w:sz w:val="20"/>
          <w:szCs w:val="20"/>
          <w:color w:val="auto"/>
        </w:rPr>
      </w:pPr>
      <w:r>
        <w:rPr>
          <w:rFonts w:ascii="Arial" w:cs="Arial" w:eastAsia="Arial" w:hAnsi="Arial"/>
          <w:sz w:val="18"/>
          <w:szCs w:val="18"/>
          <w:color w:val="auto"/>
        </w:rPr>
        <w:t>We, any of our shareholders or any other affected person may apply to the court for rectification of the share register if:</w:t>
      </w:r>
    </w:p>
    <w:p>
      <w:pPr>
        <w:spacing w:after="0" w:line="346"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2" w:name="page13"/>
    <w:bookmarkEnd w:id="1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79" w:hanging="180"/>
        <w:spacing w:after="0" w:line="277"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name of any person, without sufficient cause, is wrongly entered in or omitted from our register of members; or</w:t>
      </w:r>
    </w:p>
    <w:p>
      <w:pPr>
        <w:spacing w:after="0" w:line="48" w:lineRule="exact"/>
        <w:rPr>
          <w:rFonts w:ascii="Arial" w:cs="Arial" w:eastAsia="Arial" w:hAnsi="Arial"/>
          <w:sz w:val="18"/>
          <w:szCs w:val="18"/>
          <w:color w:val="auto"/>
        </w:rPr>
      </w:pPr>
    </w:p>
    <w:p>
      <w:pPr>
        <w:jc w:val="both"/>
        <w:ind w:left="1800" w:right="939" w:hanging="180"/>
        <w:spacing w:after="0" w:line="263" w:lineRule="auto"/>
        <w:tabs>
          <w:tab w:leader="none" w:pos="1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there is a default or unnecessary delay in entering on the register the fact of any person having ceased to be a member or on which we have a lien, provided that such refusal does not prevent dealings in the shares taking place on an open and proper basis.</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58" w:lineRule="exact"/>
        <w:rPr>
          <w:sz w:val="20"/>
          <w:szCs w:val="20"/>
          <w:color w:val="auto"/>
        </w:rPr>
      </w:pPr>
    </w:p>
    <w:p>
      <w:pPr>
        <w:ind w:left="1260" w:right="499" w:firstLine="360"/>
        <w:spacing w:after="0" w:line="238" w:lineRule="auto"/>
        <w:rPr>
          <w:sz w:val="20"/>
          <w:szCs w:val="20"/>
          <w:color w:val="auto"/>
        </w:rPr>
      </w:pPr>
      <w:r>
        <w:rPr>
          <w:rFonts w:ascii="Arial" w:cs="Arial" w:eastAsia="Arial" w:hAnsi="Arial"/>
          <w:sz w:val="18"/>
          <w:szCs w:val="18"/>
          <w:color w:val="auto"/>
        </w:rPr>
        <w:t>English law generally provides shareholders with preemptive rights when new shares are issued for cash; however, it is possible for the articles of association, or shareholders in general meeting,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 On April 16, 2020, our shareholders approved the exclusion of preemptive rights up to an aggregate nominal amount of £21,065,327.60 which shall expire on June 1, 2021 unless renewed, revoked or varied sooner.</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Shares and Rights Attaching to Them</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Objects</w:t>
      </w:r>
    </w:p>
    <w:p>
      <w:pPr>
        <w:spacing w:after="0" w:line="15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objects of our company are unrestricted.</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Share Rights</w:t>
      </w:r>
    </w:p>
    <w:p>
      <w:pPr>
        <w:spacing w:after="0" w:line="144" w:lineRule="exact"/>
        <w:rPr>
          <w:sz w:val="20"/>
          <w:szCs w:val="20"/>
          <w:color w:val="auto"/>
        </w:rPr>
      </w:pPr>
    </w:p>
    <w:p>
      <w:pPr>
        <w:ind w:left="1260" w:right="479" w:firstLine="360"/>
        <w:spacing w:after="0" w:line="270" w:lineRule="auto"/>
        <w:rPr>
          <w:sz w:val="20"/>
          <w:szCs w:val="20"/>
          <w:color w:val="auto"/>
        </w:rPr>
      </w:pPr>
      <w:r>
        <w:rPr>
          <w:rFonts w:ascii="Arial" w:cs="Arial" w:eastAsia="Arial" w:hAnsi="Arial"/>
          <w:sz w:val="17"/>
          <w:szCs w:val="17"/>
          <w:color w:val="auto"/>
        </w:rPr>
        <w:t>Subject to any special rights attaching to shares already in issue, our shares may be issued with or have attached to them any preferred, deferred or other special rights or privileges or be subject to such restrictions as we may resolve by ordinary resolution of the shareholders or decision of our board.</w:t>
      </w:r>
    </w:p>
    <w:p>
      <w:pPr>
        <w:spacing w:after="0" w:line="164"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Voting Rights</w:t>
      </w:r>
    </w:p>
    <w:p>
      <w:pPr>
        <w:spacing w:after="0" w:line="158" w:lineRule="exact"/>
        <w:rPr>
          <w:sz w:val="20"/>
          <w:szCs w:val="20"/>
          <w:color w:val="auto"/>
        </w:rPr>
      </w:pPr>
    </w:p>
    <w:p>
      <w:pPr>
        <w:jc w:val="both"/>
        <w:ind w:left="1260" w:right="779" w:firstLine="360"/>
        <w:spacing w:after="0" w:line="248" w:lineRule="auto"/>
        <w:rPr>
          <w:sz w:val="20"/>
          <w:szCs w:val="20"/>
          <w:color w:val="auto"/>
        </w:rPr>
      </w:pPr>
      <w:r>
        <w:rPr>
          <w:rFonts w:ascii="Arial" w:cs="Arial" w:eastAsia="Arial" w:hAnsi="Arial"/>
          <w:sz w:val="18"/>
          <w:szCs w:val="18"/>
          <w:color w:val="auto"/>
        </w:rPr>
        <w:t>Without prejudice to any special rights, privileges or restrictions as to voting rights attached to any shares forming part of our share capital from time to time, the voting rights attaching to voting ordinary shares are as follows:</w:t>
      </w:r>
    </w:p>
    <w:p>
      <w:pPr>
        <w:spacing w:after="0" w:line="74" w:lineRule="exact"/>
        <w:rPr>
          <w:sz w:val="20"/>
          <w:szCs w:val="20"/>
          <w:color w:val="auto"/>
        </w:rPr>
      </w:pPr>
    </w:p>
    <w:p>
      <w:pPr>
        <w:ind w:left="1800" w:right="67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 show of hands, every shareholder who (being an individual) is present in person and (being a corporation) is present by a duly authorized representative shall have one vote;</w:t>
      </w:r>
    </w:p>
    <w:p>
      <w:pPr>
        <w:spacing w:after="0" w:line="62" w:lineRule="exact"/>
        <w:rPr>
          <w:rFonts w:ascii="Arial" w:cs="Arial" w:eastAsia="Arial" w:hAnsi="Arial"/>
          <w:sz w:val="18"/>
          <w:szCs w:val="18"/>
          <w:color w:val="auto"/>
        </w:rPr>
      </w:pPr>
    </w:p>
    <w:p>
      <w:pPr>
        <w:ind w:left="1800" w:right="459" w:hanging="180"/>
        <w:spacing w:after="0" w:line="259"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78" w:lineRule="exact"/>
        <w:rPr>
          <w:rFonts w:ascii="Arial" w:cs="Arial" w:eastAsia="Arial" w:hAnsi="Arial"/>
          <w:sz w:val="18"/>
          <w:szCs w:val="18"/>
          <w:color w:val="auto"/>
        </w:rPr>
      </w:pPr>
    </w:p>
    <w:p>
      <w:pPr>
        <w:ind w:left="1800" w:right="439" w:hanging="180"/>
        <w:spacing w:after="0" w:line="272" w:lineRule="auto"/>
        <w:tabs>
          <w:tab w:leader="none" w:pos="1800" w:val="left"/>
        </w:tabs>
        <w:numPr>
          <w:ilvl w:val="0"/>
          <w:numId w:val="6"/>
        </w:numPr>
        <w:rPr>
          <w:rFonts w:ascii="Arial" w:cs="Arial" w:eastAsia="Arial" w:hAnsi="Arial"/>
          <w:sz w:val="17"/>
          <w:szCs w:val="17"/>
          <w:color w:val="auto"/>
        </w:rPr>
      </w:pPr>
      <w:r>
        <w:rPr>
          <w:rFonts w:ascii="Arial" w:cs="Arial" w:eastAsia="Arial" w:hAnsi="Arial"/>
          <w:sz w:val="17"/>
          <w:szCs w:val="17"/>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and</w:t>
      </w:r>
    </w:p>
    <w:p>
      <w:pPr>
        <w:spacing w:after="0" w:line="55" w:lineRule="exact"/>
        <w:rPr>
          <w:rFonts w:ascii="Arial" w:cs="Arial" w:eastAsia="Arial" w:hAnsi="Arial"/>
          <w:sz w:val="17"/>
          <w:szCs w:val="17"/>
          <w:color w:val="auto"/>
        </w:rPr>
      </w:pPr>
    </w:p>
    <w:p>
      <w:pPr>
        <w:ind w:left="1800" w:right="599" w:hanging="180"/>
        <w:spacing w:after="0" w:line="277" w:lineRule="auto"/>
        <w:tabs>
          <w:tab w:leader="none" w:pos="1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a poll every shareholder who is present in person or by proxy shall have one vote for each share of which he is the holder.</w:t>
      </w:r>
    </w:p>
    <w:p>
      <w:pPr>
        <w:spacing w:after="0" w:line="103" w:lineRule="exact"/>
        <w:rPr>
          <w:sz w:val="20"/>
          <w:szCs w:val="20"/>
          <w:color w:val="auto"/>
        </w:rPr>
      </w:pPr>
    </w:p>
    <w:p>
      <w:pPr>
        <w:ind w:left="1260" w:right="519" w:firstLine="360"/>
        <w:spacing w:after="0" w:line="248" w:lineRule="auto"/>
        <w:rPr>
          <w:sz w:val="20"/>
          <w:szCs w:val="20"/>
          <w:color w:val="auto"/>
        </w:rPr>
      </w:pPr>
      <w:r>
        <w:rPr>
          <w:rFonts w:ascii="Arial" w:cs="Arial" w:eastAsia="Arial" w:hAnsi="Arial"/>
          <w:sz w:val="18"/>
          <w:szCs w:val="18"/>
          <w:color w:val="auto"/>
        </w:rPr>
        <w:t>At any general meeting a resolution put to the vote of the meeting shall be decided on a show of hands unless a poll is demanded. Subject to the provisions of the Companies Act 2006, as described in “Differences in Corporate Law — Voting Rights” below, a poll may be demanded by:</w:t>
      </w:r>
    </w:p>
    <w:p>
      <w:pPr>
        <w:spacing w:after="0" w:line="35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68065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3" w:name="page14"/>
    <w:bookmarkEnd w:id="1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chairman of the meeting;</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least five shareholders present in person or by proxy and entitled to vote;</w:t>
      </w:r>
    </w:p>
    <w:p>
      <w:pPr>
        <w:spacing w:after="0" w:line="117" w:lineRule="exact"/>
        <w:rPr>
          <w:rFonts w:ascii="Arial" w:cs="Arial" w:eastAsia="Arial" w:hAnsi="Arial"/>
          <w:sz w:val="18"/>
          <w:szCs w:val="18"/>
          <w:color w:val="auto"/>
        </w:rPr>
      </w:pPr>
    </w:p>
    <w:p>
      <w:pPr>
        <w:ind w:left="1800" w:right="479" w:hanging="180"/>
        <w:spacing w:after="0" w:line="263"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shareholder(s) present in person or by proxy and representing in the aggregate not less than one-tenth of the total voting rights of all shareholders having the right to attend and vote at the meeting (excluding the shares held in treasury); or</w:t>
      </w:r>
    </w:p>
    <w:p>
      <w:pPr>
        <w:spacing w:after="0" w:line="75" w:lineRule="exact"/>
        <w:rPr>
          <w:rFonts w:ascii="Arial" w:cs="Arial" w:eastAsia="Arial" w:hAnsi="Arial"/>
          <w:sz w:val="18"/>
          <w:szCs w:val="18"/>
          <w:color w:val="auto"/>
        </w:rPr>
      </w:pPr>
    </w:p>
    <w:p>
      <w:pPr>
        <w:ind w:left="1800" w:right="559" w:hanging="180"/>
        <w:spacing w:after="0" w:line="259" w:lineRule="auto"/>
        <w:tabs>
          <w:tab w:leader="none" w:pos="1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shareholder(s) present in person or by proxy and holding shares conferring a right to attend and vote at the meeting on which there have been paid up sums in the aggregate equal to not less than one-tenth of the total sums paid up on all shares conferring that right (excluding the shares held in treasury).</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Restrictions on Voting</w:t>
      </w:r>
    </w:p>
    <w:p>
      <w:pPr>
        <w:spacing w:after="0" w:line="144"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No shareholder shall be entitled to vote at any general meeting or at any separate class meeting in respect of any share held by him unless all calls or other sums payable by him in respect of that share have been paid.</w:t>
      </w:r>
    </w:p>
    <w:p>
      <w:pPr>
        <w:spacing w:after="0" w:line="114" w:lineRule="exact"/>
        <w:rPr>
          <w:sz w:val="20"/>
          <w:szCs w:val="20"/>
          <w:color w:val="auto"/>
        </w:rPr>
      </w:pPr>
    </w:p>
    <w:p>
      <w:pPr>
        <w:jc w:val="both"/>
        <w:ind w:left="1260" w:right="539" w:firstLine="360"/>
        <w:spacing w:after="0" w:line="270" w:lineRule="auto"/>
        <w:rPr>
          <w:sz w:val="20"/>
          <w:szCs w:val="20"/>
          <w:color w:val="auto"/>
        </w:rPr>
      </w:pPr>
      <w:r>
        <w:rPr>
          <w:rFonts w:ascii="Arial" w:cs="Arial" w:eastAsia="Arial" w:hAnsi="Arial"/>
          <w:sz w:val="17"/>
          <w:szCs w:val="17"/>
          <w:color w:val="auto"/>
        </w:rPr>
        <w:t>The board may from time to time make calls upon the shareholders in respect of any money unpaid on their shares and each shareholder shall (subject to at least 14 days’ notice specifying the time or times and place of payment) pay at the time or times so specified the amount called on his shares.</w:t>
      </w:r>
    </w:p>
    <w:p>
      <w:pPr>
        <w:spacing w:after="0" w:line="96" w:lineRule="exact"/>
        <w:rPr>
          <w:sz w:val="20"/>
          <w:szCs w:val="20"/>
          <w:color w:val="auto"/>
        </w:rPr>
      </w:pPr>
    </w:p>
    <w:p>
      <w:pPr>
        <w:ind w:left="1260" w:right="759" w:firstLine="360"/>
        <w:spacing w:after="0" w:line="261" w:lineRule="auto"/>
        <w:rPr>
          <w:sz w:val="20"/>
          <w:szCs w:val="20"/>
          <w:color w:val="auto"/>
        </w:rPr>
      </w:pPr>
      <w:r>
        <w:rPr>
          <w:rFonts w:ascii="Arial" w:cs="Arial" w:eastAsia="Arial" w:hAnsi="Arial"/>
          <w:sz w:val="18"/>
          <w:szCs w:val="18"/>
          <w:color w:val="auto"/>
        </w:rPr>
        <w:t>No holders of non-voting ordinary shares shall be entitled to receive notice of, attend or vote at any general meeting.</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Dividends</w:t>
      </w:r>
    </w:p>
    <w:p>
      <w:pPr>
        <w:spacing w:after="0" w:line="144" w:lineRule="exact"/>
        <w:rPr>
          <w:sz w:val="20"/>
          <w:szCs w:val="20"/>
          <w:color w:val="auto"/>
        </w:rPr>
      </w:pPr>
    </w:p>
    <w:p>
      <w:pPr>
        <w:ind w:left="1260" w:right="459" w:firstLine="360"/>
        <w:spacing w:after="0"/>
        <w:rPr>
          <w:sz w:val="20"/>
          <w:szCs w:val="20"/>
          <w:color w:val="auto"/>
        </w:rPr>
      </w:pPr>
      <w:r>
        <w:rPr>
          <w:rFonts w:ascii="Arial" w:cs="Arial" w:eastAsia="Arial" w:hAnsi="Arial"/>
          <w:sz w:val="18"/>
          <w:szCs w:val="18"/>
          <w:color w:val="auto"/>
        </w:rPr>
        <w:t>We may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profits and, if at any time, our share capital is divided into different classes the board may pay such interim dividends in respect of those shares which confer on the holders thereof deferred or non-preferential rights with regard to dividends.</w:t>
      </w:r>
    </w:p>
    <w:p>
      <w:pPr>
        <w:spacing w:after="0" w:line="122"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120"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No dividend or other moneys payable by us on or in respect of any share shall bear interest against us. Any dividend unclaimed after a period of 12 years from the date such dividend became due for payment shall, if the Board so resolved, be forfeited and shall revert to us.</w:t>
      </w:r>
    </w:p>
    <w:p>
      <w:pPr>
        <w:spacing w:after="0" w:line="101" w:lineRule="exact"/>
        <w:rPr>
          <w:sz w:val="20"/>
          <w:szCs w:val="20"/>
          <w:color w:val="auto"/>
        </w:rPr>
      </w:pPr>
    </w:p>
    <w:p>
      <w:pPr>
        <w:jc w:val="both"/>
        <w:ind w:left="1260" w:right="519" w:firstLine="360"/>
        <w:spacing w:after="0" w:line="248" w:lineRule="auto"/>
        <w:rPr>
          <w:sz w:val="20"/>
          <w:szCs w:val="20"/>
          <w:color w:val="auto"/>
        </w:rPr>
      </w:pPr>
      <w:r>
        <w:rPr>
          <w:rFonts w:ascii="Arial" w:cs="Arial" w:eastAsia="Arial" w:hAnsi="Arial"/>
          <w:sz w:val="18"/>
          <w:szCs w:val="18"/>
          <w:color w:val="auto"/>
        </w:rPr>
        <w:t>Dividends may be declared or paid in any currency and the board may decide the rate of exchange for any currency conversions that may be required, and how any costs involved are to be met, in relation to the currency of any dividend.</w:t>
      </w:r>
    </w:p>
    <w:p>
      <w:pPr>
        <w:spacing w:after="0" w:line="114"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7"/>
          <w:szCs w:val="17"/>
          <w:color w:val="auto"/>
        </w:rPr>
        <w:t>Any general meeting declaring a dividend may by ordinary resolution of shareholders, upon the recommendation of the board, direct payment or satisfaction of such dividend wholly or in part by the distribution of specific assets other than cash, and in particular of paid up shares or debentures of any other company. The directors may, if authorized by ordinary resolution of shareholders, offer any holders of ordinary shares the right to elect to receive in lieu of a dividend an allotment of ordinary shares credited as fully paid up, subject to such exclusions as the Board may deem necessary or desirable.</w:t>
      </w:r>
    </w:p>
    <w:p>
      <w:pPr>
        <w:spacing w:after="0" w:line="108" w:lineRule="exact"/>
        <w:rPr>
          <w:sz w:val="20"/>
          <w:szCs w:val="20"/>
          <w:color w:val="auto"/>
        </w:rPr>
      </w:pPr>
    </w:p>
    <w:p>
      <w:pPr>
        <w:ind w:left="1260" w:right="739" w:firstLine="360"/>
        <w:spacing w:after="0" w:line="291" w:lineRule="auto"/>
        <w:rPr>
          <w:sz w:val="20"/>
          <w:szCs w:val="20"/>
          <w:color w:val="auto"/>
        </w:rPr>
      </w:pPr>
      <w:r>
        <w:rPr>
          <w:rFonts w:ascii="Arial" w:cs="Arial" w:eastAsia="Arial" w:hAnsi="Arial"/>
          <w:sz w:val="17"/>
          <w:szCs w:val="17"/>
          <w:color w:val="auto"/>
        </w:rPr>
        <w:t>No shareholder shall be entitled to receive any dividend or other distribution in respect of any share held by him unless all calls or other sums payable by him in respect of that share have been paid.</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Change of Control</w:t>
      </w:r>
    </w:p>
    <w:p>
      <w:pPr>
        <w:spacing w:after="0" w:line="144" w:lineRule="exact"/>
        <w:rPr>
          <w:sz w:val="20"/>
          <w:szCs w:val="20"/>
          <w:color w:val="auto"/>
        </w:rPr>
      </w:pPr>
    </w:p>
    <w:p>
      <w:pPr>
        <w:ind w:left="1260" w:right="879" w:firstLine="360"/>
        <w:spacing w:after="0" w:line="261" w:lineRule="auto"/>
        <w:rPr>
          <w:sz w:val="20"/>
          <w:szCs w:val="20"/>
          <w:color w:val="auto"/>
        </w:rPr>
      </w:pPr>
      <w:r>
        <w:rPr>
          <w:rFonts w:ascii="Arial" w:cs="Arial" w:eastAsia="Arial" w:hAnsi="Arial"/>
          <w:sz w:val="18"/>
          <w:szCs w:val="18"/>
          <w:color w:val="auto"/>
        </w:rPr>
        <w:t>There is no specific provision in our articles of association that would have the effect of delaying, deferring or preventing a change of control.</w:t>
      </w:r>
    </w:p>
    <w:p>
      <w:pPr>
        <w:sectPr>
          <w:pgSz w:w="11900" w:h="16838" w:orient="portrait"/>
          <w:cols w:equalWidth="0" w:num="1">
            <w:col w:w="9879"/>
          </w:cols>
          <w:pgMar w:left="580" w:top="132" w:right="1440" w:bottom="1440" w:gutter="0" w:footer="0" w:header="0"/>
        </w:sectPr>
      </w:pPr>
    </w:p>
    <w:p>
      <w:pPr>
        <w:spacing w:after="0" w:line="360" w:lineRule="exact"/>
        <w:rPr>
          <w:sz w:val="20"/>
          <w:szCs w:val="20"/>
          <w:color w:val="auto"/>
        </w:rPr>
      </w:pPr>
    </w:p>
    <w:p>
      <w:pPr>
        <w:ind w:left="530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4" w:name="page15"/>
    <w:bookmarkEnd w:id="1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Distributions on Winding Up</w:t>
      </w:r>
    </w:p>
    <w:p>
      <w:pPr>
        <w:spacing w:after="0" w:line="144" w:lineRule="exact"/>
        <w:rPr>
          <w:sz w:val="20"/>
          <w:szCs w:val="20"/>
          <w:color w:val="auto"/>
        </w:rPr>
      </w:pPr>
    </w:p>
    <w:p>
      <w:pPr>
        <w:ind w:left="1260" w:right="459" w:firstLine="360"/>
        <w:spacing w:after="0" w:line="269" w:lineRule="auto"/>
        <w:rPr>
          <w:sz w:val="20"/>
          <w:szCs w:val="20"/>
          <w:color w:val="auto"/>
        </w:rPr>
      </w:pPr>
      <w:r>
        <w:rPr>
          <w:rFonts w:ascii="Arial" w:cs="Arial" w:eastAsia="Arial" w:hAnsi="Arial"/>
          <w:sz w:val="17"/>
          <w:szCs w:val="17"/>
          <w:color w:val="auto"/>
        </w:rPr>
        <w:t>On a winding up, the liquidator may, with the consent by a special resolution of shareholders and any other resolution of the shareholders (excluding us to the extent we are a shareholder by virtue only of our holding of shares as treasury shares) in proportion to their shareholdings in specie or in kind or sanction of the court required by the Companies Act 2006 and/or the Insolvency Act 1986, divide amongst the shareholders the whole or any part of our assets (whether they shall consist of property of the same kind or not) and may set such values as he deems fair upon any property to be divided and may determine how such division shall be carried out as between the shareholders or different classes of shareholder. The liquidator may vest the whole or any part of such assets in trustees upon such trusts for the benefit of the shareholders as the liquidator shall think fit, but no shareholder shall be compelled to accept any shares or other assets upon which there is any liability or potential liability.</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Variation of Rights</w:t>
      </w:r>
    </w:p>
    <w:p>
      <w:pPr>
        <w:spacing w:after="0" w:line="158" w:lineRule="exact"/>
        <w:rPr>
          <w:sz w:val="20"/>
          <w:szCs w:val="20"/>
          <w:color w:val="auto"/>
        </w:rPr>
      </w:pPr>
    </w:p>
    <w:p>
      <w:pPr>
        <w:ind w:left="1260" w:right="479" w:firstLine="360"/>
        <w:spacing w:after="0" w:line="271" w:lineRule="auto"/>
        <w:rPr>
          <w:sz w:val="20"/>
          <w:szCs w:val="20"/>
          <w:color w:val="auto"/>
        </w:rPr>
      </w:pPr>
      <w:r>
        <w:rPr>
          <w:rFonts w:ascii="Arial" w:cs="Arial" w:eastAsia="Arial" w:hAnsi="Arial"/>
          <w:sz w:val="17"/>
          <w:szCs w:val="17"/>
          <w:color w:val="auto"/>
        </w:rPr>
        <w:t>All or any of the rights and restrictions attached to any class of shares issued may be altered, added to or revoked with the consent in writing of the holders of not less than three-fourths in nominal value of the issued shares of that class (excluding any shares held as treasury shares) or by special resolution passed at a separate general meeting of the holders of such shares, subject to the Companies Act 2006 and the terms of their issue. The Companies Act 2006 provides a right to object to the variation of the share capital by the shareholders who did not vote in favor of the variation. Should an aggregate of 15% of the shareholders of the issued shares in question apply to the court to have the variation cancelled, the variation shall have no effect unless and until it is confirmed by the court.</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Alteration to Share Capital</w:t>
      </w:r>
    </w:p>
    <w:p>
      <w:pPr>
        <w:spacing w:after="0" w:line="158" w:lineRule="exact"/>
        <w:rPr>
          <w:sz w:val="20"/>
          <w:szCs w:val="20"/>
          <w:color w:val="auto"/>
        </w:rPr>
      </w:pPr>
    </w:p>
    <w:p>
      <w:pPr>
        <w:ind w:left="1260" w:right="519" w:firstLine="360"/>
        <w:spacing w:after="0" w:line="255" w:lineRule="auto"/>
        <w:rPr>
          <w:sz w:val="20"/>
          <w:szCs w:val="20"/>
          <w:color w:val="auto"/>
        </w:rPr>
      </w:pPr>
      <w:r>
        <w:rPr>
          <w:rFonts w:ascii="Arial" w:cs="Arial" w:eastAsia="Arial" w:hAnsi="Arial"/>
          <w:sz w:val="18"/>
          <w:szCs w:val="18"/>
          <w:color w:val="auto"/>
        </w:rPr>
        <w:t>We may, by ordinary resolution of shareholders, consolidate and divide all or any of our share capital into shares of larger amount than our existing shares, or sub-divide our shares or any of them into shares of a smaller amount. We may, by special resolution of shareholders, confirmed by the court, reduce our share capital or any capital redemption reserve or any share premium account in any manner authorized by the Companies Act 2006. We may redeem or purchase all or any of our shares as described in “— Other U.K. Law Considerations — Purchase of Own Shares.”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Preemption Rights</w:t>
      </w:r>
    </w:p>
    <w:p>
      <w:pPr>
        <w:spacing w:after="0" w:line="144"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In certain circumstances, our shareholders may have statutory preemption rights under the Companies Act 2006 in respect of the allotment of new shares as described in “— Preemptive Rights” and “— Differences in Corporate Law — Preemptive Rights” below.</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158"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Any certificated shareholder may transfer all or any of his shares by an instrument of transfer in the usual common form or in any other manner which is permitted by the Companies Act 2006 and approved by the board. Any written instrument of transfer shall be signed by or on behalf of the transferor and (in the case of a partly paid share) the transferee.</w:t>
      </w:r>
    </w:p>
    <w:p>
      <w:pPr>
        <w:spacing w:after="0" w:line="119" w:lineRule="exact"/>
        <w:rPr>
          <w:sz w:val="20"/>
          <w:szCs w:val="20"/>
          <w:color w:val="auto"/>
        </w:rPr>
      </w:pPr>
    </w:p>
    <w:p>
      <w:pPr>
        <w:ind w:left="1260" w:right="539" w:firstLine="360"/>
        <w:spacing w:after="0" w:line="259" w:lineRule="auto"/>
        <w:rPr>
          <w:sz w:val="20"/>
          <w:szCs w:val="20"/>
          <w:color w:val="auto"/>
        </w:rPr>
      </w:pPr>
      <w:r>
        <w:rPr>
          <w:rFonts w:ascii="Arial" w:cs="Arial" w:eastAsia="Arial" w:hAnsi="Arial"/>
          <w:sz w:val="18"/>
          <w:szCs w:val="18"/>
          <w:color w:val="auto"/>
        </w:rPr>
        <w:t>All transfers of uncertificated shares shall be made in accordance with and subject to the provisions of the Uncertificated Securities Regulations 2001 and the facilities and requirements of its relevant system. The Uncertificated Securities Regulations 2001 permit shares to be issued and held in uncertificated form and transferred by means of a computer-based system.</w:t>
      </w:r>
    </w:p>
    <w:p>
      <w:pPr>
        <w:spacing w:after="0" w:line="106"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board may decline to register any transfer of any share:</w:t>
      </w:r>
    </w:p>
    <w:p>
      <w:pPr>
        <w:spacing w:after="0" w:line="117" w:lineRule="exact"/>
        <w:rPr>
          <w:sz w:val="20"/>
          <w:szCs w:val="20"/>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which is not a fully paid share;</w:t>
      </w:r>
    </w:p>
    <w:p>
      <w:pPr>
        <w:spacing w:after="0" w:line="117"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 person known to be a minor, bankrupt or person who is mentally disordered or a patient for the purpose of any statute relating to mental health;</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an entity which is not a natural or legal person;</w:t>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5" w:name="page16"/>
    <w:bookmarkEnd w:id="1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800" w:right="579" w:hanging="180"/>
        <w:spacing w:after="0" w:line="263"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unless any written instrument of transfer, duly stamped, is lodged with us at our registered office or such other place as the board may appoint accompanied by the certificate for the shares to which it relates;</w:t>
      </w:r>
    </w:p>
    <w:p>
      <w:pPr>
        <w:spacing w:after="0" w:line="48" w:lineRule="exact"/>
        <w:rPr>
          <w:rFonts w:ascii="Arial" w:cs="Arial" w:eastAsia="Arial" w:hAnsi="Arial"/>
          <w:sz w:val="18"/>
          <w:szCs w:val="18"/>
          <w:color w:val="auto"/>
        </w:rPr>
      </w:pPr>
    </w:p>
    <w:p>
      <w:pPr>
        <w:jc w:val="both"/>
        <w:ind w:left="1800" w:right="539" w:hanging="180"/>
        <w:spacing w:after="0" w:line="263"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unless there is provided such evidence as the board may reasonably require to show the right of the transferor to make the transfer and if the instrument of transfer is executed by some other person on his behalf, the authority of that person to do so;</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where the transfer is in respect of more than one class of share; and</w:t>
      </w:r>
    </w:p>
    <w:p>
      <w:pPr>
        <w:spacing w:after="0" w:line="103" w:lineRule="exact"/>
        <w:rPr>
          <w:rFonts w:ascii="Arial" w:cs="Arial" w:eastAsia="Arial" w:hAnsi="Arial"/>
          <w:sz w:val="18"/>
          <w:szCs w:val="18"/>
          <w:color w:val="auto"/>
        </w:rPr>
      </w:pPr>
    </w:p>
    <w:p>
      <w:pPr>
        <w:ind w:left="1800" w:right="939" w:hanging="180"/>
        <w:spacing w:after="0" w:line="277" w:lineRule="auto"/>
        <w:tabs>
          <w:tab w:leader="none" w:pos="1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case of a transfer to joint holders, the number of joint holders to whom the share is to be transferred exceeds four.</w:t>
      </w:r>
    </w:p>
    <w:p>
      <w:pPr>
        <w:spacing w:after="0" w:line="103" w:lineRule="exact"/>
        <w:rPr>
          <w:sz w:val="20"/>
          <w:szCs w:val="20"/>
          <w:color w:val="auto"/>
        </w:rPr>
      </w:pPr>
    </w:p>
    <w:p>
      <w:pPr>
        <w:jc w:val="both"/>
        <w:ind w:left="1260" w:right="999" w:firstLine="360"/>
        <w:spacing w:after="0" w:line="248" w:lineRule="auto"/>
        <w:rPr>
          <w:sz w:val="20"/>
          <w:szCs w:val="20"/>
          <w:color w:val="auto"/>
        </w:rPr>
      </w:pPr>
      <w:r>
        <w:rPr>
          <w:rFonts w:ascii="Arial" w:cs="Arial" w:eastAsia="Arial" w:hAnsi="Arial"/>
          <w:sz w:val="18"/>
          <w:szCs w:val="18"/>
          <w:color w:val="auto"/>
        </w:rPr>
        <w:t>If the board declines to register a transfer it shall, as soon as practicable and in any event within two months after the date on which the transfer is lodged, send to the transferee notice of the refusal, together with reasons for the refusal.</w:t>
      </w:r>
    </w:p>
    <w:p>
      <w:pPr>
        <w:spacing w:after="0" w:line="182"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Annual General Meetings</w:t>
      </w:r>
    </w:p>
    <w:p>
      <w:pPr>
        <w:spacing w:after="0" w:line="158" w:lineRule="exact"/>
        <w:rPr>
          <w:sz w:val="20"/>
          <w:szCs w:val="20"/>
          <w:color w:val="auto"/>
        </w:rPr>
      </w:pPr>
    </w:p>
    <w:p>
      <w:pPr>
        <w:ind w:left="1260" w:right="619" w:firstLine="360"/>
        <w:spacing w:after="0"/>
        <w:rPr>
          <w:sz w:val="20"/>
          <w:szCs w:val="20"/>
          <w:color w:val="auto"/>
        </w:rPr>
      </w:pPr>
      <w:r>
        <w:rPr>
          <w:rFonts w:ascii="Arial" w:cs="Arial" w:eastAsia="Arial" w:hAnsi="Arial"/>
          <w:sz w:val="18"/>
          <w:szCs w:val="18"/>
          <w:color w:val="auto"/>
        </w:rPr>
        <w:t>In accordance with the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Companies Act 2006, as described in “— Differences in Corporate Law — Annual General Meeting” and “— Differences in Corporate Law — Notice of General Meetings” below.</w:t>
      </w:r>
    </w:p>
    <w:p>
      <w:pPr>
        <w:spacing w:after="0" w:line="108" w:lineRule="exact"/>
        <w:rPr>
          <w:sz w:val="20"/>
          <w:szCs w:val="20"/>
          <w:color w:val="auto"/>
        </w:rPr>
      </w:pPr>
    </w:p>
    <w:p>
      <w:pPr>
        <w:ind w:left="1260" w:right="779" w:firstLine="360"/>
        <w:spacing w:after="0" w:line="261" w:lineRule="auto"/>
        <w:rPr>
          <w:sz w:val="20"/>
          <w:szCs w:val="20"/>
          <w:color w:val="auto"/>
        </w:rPr>
      </w:pPr>
      <w:r>
        <w:rPr>
          <w:rFonts w:ascii="Arial" w:cs="Arial" w:eastAsia="Arial" w:hAnsi="Arial"/>
          <w:sz w:val="18"/>
          <w:szCs w:val="18"/>
          <w:color w:val="auto"/>
        </w:rPr>
        <w:t>The arrangements for the calling of general meetings are described in “— Differences in Corporate Law — Notice of General Meetings” below.</w:t>
      </w:r>
    </w:p>
    <w:p>
      <w:pPr>
        <w:spacing w:after="0" w:line="17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Quorum of General Meetings</w:t>
      </w:r>
    </w:p>
    <w:p>
      <w:pPr>
        <w:spacing w:after="0" w:line="158" w:lineRule="exact"/>
        <w:rPr>
          <w:sz w:val="20"/>
          <w:szCs w:val="20"/>
          <w:color w:val="auto"/>
        </w:rPr>
      </w:pPr>
    </w:p>
    <w:p>
      <w:pPr>
        <w:ind w:left="1260" w:right="459" w:firstLine="360"/>
        <w:spacing w:after="0" w:line="228" w:lineRule="auto"/>
        <w:rPr>
          <w:sz w:val="20"/>
          <w:szCs w:val="20"/>
          <w:color w:val="auto"/>
        </w:rPr>
      </w:pPr>
      <w:r>
        <w:rPr>
          <w:rFonts w:ascii="Arial" w:cs="Arial" w:eastAsia="Arial" w:hAnsi="Arial"/>
          <w:sz w:val="17"/>
          <w:szCs w:val="17"/>
          <w:color w:val="auto"/>
        </w:rPr>
        <w:t>No business shall be transacted at any general meeting unless a quorum is present. At least two shareholders present in person or by proxy and entitled to vote, holding or representing at least33</w:t>
      </w:r>
      <w:r>
        <w:rPr>
          <w:rFonts w:ascii="Arial" w:cs="Arial" w:eastAsia="Arial" w:hAnsi="Arial"/>
          <w:sz w:val="24"/>
          <w:szCs w:val="24"/>
          <w:color w:val="auto"/>
          <w:vertAlign w:val="superscript"/>
        </w:rPr>
        <w:t>1</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w:t>
      </w:r>
    </w:p>
    <w:p>
      <w:pPr>
        <w:ind w:left="1260" w:right="639"/>
        <w:spacing w:after="0" w:line="243" w:lineRule="auto"/>
        <w:rPr>
          <w:sz w:val="20"/>
          <w:szCs w:val="20"/>
          <w:color w:val="auto"/>
        </w:rPr>
      </w:pPr>
      <w:r>
        <w:rPr>
          <w:rFonts w:ascii="Arial" w:cs="Arial" w:eastAsia="Arial" w:hAnsi="Arial"/>
          <w:sz w:val="18"/>
          <w:szCs w:val="18"/>
          <w:color w:val="auto"/>
        </w:rPr>
        <w:t>issued and outstanding shares of the Company’s ordinary voting shares present at such general meeting in person or by proxy, shall be a quorum for all purposes.</w:t>
      </w:r>
    </w:p>
    <w:p>
      <w:pPr>
        <w:spacing w:after="0" w:line="186"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Class Meetings</w:t>
      </w:r>
    </w:p>
    <w:p>
      <w:pPr>
        <w:spacing w:after="0" w:line="158" w:lineRule="exact"/>
        <w:rPr>
          <w:sz w:val="20"/>
          <w:szCs w:val="20"/>
          <w:color w:val="auto"/>
        </w:rPr>
      </w:pPr>
    </w:p>
    <w:p>
      <w:pPr>
        <w:ind w:left="1260" w:right="919" w:firstLine="360"/>
        <w:spacing w:after="0" w:line="261" w:lineRule="auto"/>
        <w:rPr>
          <w:sz w:val="20"/>
          <w:szCs w:val="20"/>
          <w:color w:val="auto"/>
        </w:rPr>
      </w:pPr>
      <w:r>
        <w:rPr>
          <w:rFonts w:ascii="Arial" w:cs="Arial" w:eastAsia="Arial" w:hAnsi="Arial"/>
          <w:sz w:val="18"/>
          <w:szCs w:val="18"/>
          <w:color w:val="auto"/>
        </w:rPr>
        <w:t>The provisions in the Articles of Association relating to general meetings apply to every separate general meeting of the holders of a class of shares except that:</w:t>
      </w:r>
    </w:p>
    <w:p>
      <w:pPr>
        <w:spacing w:after="0" w:line="49" w:lineRule="exact"/>
        <w:rPr>
          <w:sz w:val="20"/>
          <w:szCs w:val="20"/>
          <w:color w:val="auto"/>
        </w:rPr>
      </w:pPr>
    </w:p>
    <w:p>
      <w:pPr>
        <w:ind w:left="1800" w:right="419" w:hanging="180"/>
        <w:spacing w:after="0" w:line="308" w:lineRule="auto"/>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quorum for such class meeting shall be two holders in person or by proxy representing not less than 33</w:t>
      </w:r>
      <w:r>
        <w:rPr>
          <w:rFonts w:ascii="Arial" w:cs="Arial" w:eastAsia="Arial" w:hAnsi="Arial"/>
          <w:sz w:val="11"/>
          <w:szCs w:val="11"/>
          <w:color w:val="auto"/>
        </w:rPr>
        <w:t>1</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in nominal value of the issued shares of the class (excluding any shares held in treasury);</w:t>
      </w:r>
    </w:p>
    <w:p>
      <w:pPr>
        <w:spacing w:after="0" w:line="38" w:lineRule="exact"/>
        <w:rPr>
          <w:rFonts w:ascii="Arial" w:cs="Arial" w:eastAsia="Arial" w:hAnsi="Arial"/>
          <w:sz w:val="17"/>
          <w:szCs w:val="17"/>
          <w:color w:val="auto"/>
        </w:rPr>
      </w:pPr>
    </w:p>
    <w:p>
      <w:pPr>
        <w:ind w:left="1800" w:right="499" w:hanging="180"/>
        <w:spacing w:after="0" w:line="277" w:lineRule="auto"/>
        <w:tabs>
          <w:tab w:leader="none" w:pos="1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the class meeting, a holder of shares of the class present in person or by proxy may demand a poll and shall on a poll be entitled to one vote for every share of the class held by him; and</w:t>
      </w:r>
    </w:p>
    <w:p>
      <w:pPr>
        <w:spacing w:after="0" w:line="35" w:lineRule="exact"/>
        <w:rPr>
          <w:rFonts w:ascii="Arial" w:cs="Arial" w:eastAsia="Arial" w:hAnsi="Arial"/>
          <w:sz w:val="18"/>
          <w:szCs w:val="18"/>
          <w:color w:val="auto"/>
        </w:rPr>
      </w:pPr>
    </w:p>
    <w:p>
      <w:pPr>
        <w:ind w:left="1800" w:right="759" w:hanging="180"/>
        <w:spacing w:after="0" w:line="308" w:lineRule="auto"/>
        <w:tabs>
          <w:tab w:leader="none" w:pos="18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at any adjourned meeting of such holders a quorum is not present at the meeting, one holder of shares of the class present in person or by proxy at an adjourned meeting constitutes a quorum.</w:t>
      </w:r>
    </w:p>
    <w:p>
      <w:pPr>
        <w:spacing w:after="0" w:line="14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Directors</w:t>
      </w:r>
    </w:p>
    <w:p>
      <w:pPr>
        <w:spacing w:after="0" w:line="21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Number of Directors</w:t>
      </w:r>
    </w:p>
    <w:p>
      <w:pPr>
        <w:spacing w:after="0" w:line="158" w:lineRule="exact"/>
        <w:rPr>
          <w:sz w:val="20"/>
          <w:szCs w:val="20"/>
          <w:color w:val="auto"/>
        </w:rPr>
      </w:pPr>
    </w:p>
    <w:p>
      <w:pPr>
        <w:ind w:left="1260" w:right="619" w:firstLine="360"/>
        <w:spacing w:after="0" w:line="291" w:lineRule="auto"/>
        <w:rPr>
          <w:sz w:val="20"/>
          <w:szCs w:val="20"/>
          <w:color w:val="auto"/>
        </w:rPr>
      </w:pPr>
      <w:r>
        <w:rPr>
          <w:rFonts w:ascii="Arial" w:cs="Arial" w:eastAsia="Arial" w:hAnsi="Arial"/>
          <w:sz w:val="17"/>
          <w:szCs w:val="17"/>
          <w:color w:val="auto"/>
        </w:rPr>
        <w:t>We may not have less than two directors on the board of directors. We may, by ordinary resolution of the shareholders, vary the minimum and maximum number of directors from time to time.</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Appointment of Directors</w:t>
      </w:r>
    </w:p>
    <w:p>
      <w:pPr>
        <w:spacing w:after="0" w:line="144" w:lineRule="exact"/>
        <w:rPr>
          <w:sz w:val="20"/>
          <w:szCs w:val="20"/>
          <w:color w:val="auto"/>
        </w:rPr>
      </w:pPr>
    </w:p>
    <w:p>
      <w:pPr>
        <w:ind w:left="1260" w:right="1079" w:firstLine="360"/>
        <w:spacing w:after="0" w:line="324" w:lineRule="auto"/>
        <w:rPr>
          <w:sz w:val="20"/>
          <w:szCs w:val="20"/>
          <w:color w:val="auto"/>
        </w:rPr>
      </w:pPr>
      <w:r>
        <w:rPr>
          <w:rFonts w:ascii="Arial" w:cs="Arial" w:eastAsia="Arial" w:hAnsi="Arial"/>
          <w:sz w:val="16"/>
          <w:szCs w:val="16"/>
          <w:color w:val="auto"/>
        </w:rPr>
        <w:t>Subject to the provisions of the Articles of Association, we may, by ordinary resolution of the shareholders, elect any person to be a director, either to fill a casual vacancy or as an addition to the</w:t>
      </w:r>
    </w:p>
    <w:p>
      <w:pPr>
        <w:sectPr>
          <w:pgSz w:w="11900" w:h="16838" w:orient="portrait"/>
          <w:cols w:equalWidth="0" w:num="1">
            <w:col w:w="9879"/>
          </w:cols>
          <w:pgMar w:left="580" w:top="132" w:right="1440" w:bottom="1440" w:gutter="0" w:footer="0" w:header="0"/>
        </w:sectPr>
      </w:pPr>
    </w:p>
    <w:p>
      <w:pPr>
        <w:spacing w:after="0" w:line="313" w:lineRule="exact"/>
        <w:rPr>
          <w:sz w:val="20"/>
          <w:szCs w:val="20"/>
          <w:color w:val="auto"/>
        </w:rPr>
      </w:pPr>
    </w:p>
    <w:p>
      <w:pPr>
        <w:ind w:left="526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299720</wp:posOffset>
            </wp:positionV>
            <wp:extent cx="68065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6" w:name="page17"/>
    <w:bookmarkEnd w:id="1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260" w:right="1139"/>
        <w:spacing w:after="0" w:line="248" w:lineRule="auto"/>
        <w:rPr>
          <w:sz w:val="20"/>
          <w:szCs w:val="20"/>
          <w:color w:val="auto"/>
        </w:rPr>
      </w:pPr>
      <w:r>
        <w:rPr>
          <w:rFonts w:ascii="Arial" w:cs="Arial" w:eastAsia="Arial" w:hAnsi="Arial"/>
          <w:sz w:val="18"/>
          <w:szCs w:val="18"/>
          <w:color w:val="auto"/>
        </w:rPr>
        <w:t>existing board. However, any person that is not a director retiring from the existing board must be recommended by a shareholder not less than seven and not more than 21 days before the day of the appointment in order to be eligible for election.</w:t>
      </w:r>
    </w:p>
    <w:p>
      <w:pPr>
        <w:spacing w:after="0" w:line="101" w:lineRule="exact"/>
        <w:rPr>
          <w:sz w:val="20"/>
          <w:szCs w:val="20"/>
          <w:color w:val="auto"/>
        </w:rPr>
      </w:pPr>
    </w:p>
    <w:p>
      <w:pPr>
        <w:ind w:left="1260" w:right="419" w:firstLine="360"/>
        <w:spacing w:after="0" w:line="243" w:lineRule="auto"/>
        <w:rPr>
          <w:sz w:val="20"/>
          <w:szCs w:val="20"/>
          <w:color w:val="auto"/>
        </w:rPr>
      </w:pPr>
      <w:r>
        <w:rPr>
          <w:rFonts w:ascii="Arial" w:cs="Arial" w:eastAsia="Arial" w:hAnsi="Arial"/>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the maximum number fixed by or in accordance with the Articles of Association.</w:t>
      </w:r>
    </w:p>
    <w:p>
      <w:pPr>
        <w:spacing w:after="0" w:line="120" w:lineRule="exact"/>
        <w:rPr>
          <w:sz w:val="20"/>
          <w:szCs w:val="20"/>
          <w:color w:val="auto"/>
        </w:rPr>
      </w:pPr>
    </w:p>
    <w:p>
      <w:pPr>
        <w:ind w:left="1260" w:right="659" w:firstLine="360"/>
        <w:spacing w:after="0" w:line="243" w:lineRule="auto"/>
        <w:rPr>
          <w:sz w:val="20"/>
          <w:szCs w:val="20"/>
          <w:color w:val="auto"/>
        </w:rPr>
      </w:pPr>
      <w:r>
        <w:rPr>
          <w:rFonts w:ascii="Arial" w:cs="Arial" w:eastAsia="Arial" w:hAnsi="Arial"/>
          <w:sz w:val="18"/>
          <w:szCs w:val="18"/>
          <w:color w:val="auto"/>
        </w:rPr>
        <w:t>Any director appointed by the board will hold office only until the earlier to occur of the close of the next following annual general meeting and someone being appointed in his stead at that meeting. Such a director is eligible for re-election at that meeting but shall not be taken into account in determining the directors or the number of directors who are to retire by rotation at such meeting.</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Rotation of Directors</w:t>
      </w:r>
    </w:p>
    <w:p>
      <w:pPr>
        <w:spacing w:after="0" w:line="158" w:lineRule="exact"/>
        <w:rPr>
          <w:sz w:val="20"/>
          <w:szCs w:val="20"/>
          <w:color w:val="auto"/>
        </w:rPr>
      </w:pPr>
    </w:p>
    <w:p>
      <w:pPr>
        <w:ind w:left="1260" w:right="439" w:firstLine="360"/>
        <w:spacing w:after="0" w:line="261" w:lineRule="auto"/>
        <w:rPr>
          <w:sz w:val="20"/>
          <w:szCs w:val="20"/>
          <w:color w:val="auto"/>
        </w:rPr>
      </w:pPr>
      <w:r>
        <w:rPr>
          <w:rFonts w:ascii="Arial" w:cs="Arial" w:eastAsia="Arial" w:hAnsi="Arial"/>
          <w:sz w:val="18"/>
          <w:szCs w:val="18"/>
          <w:color w:val="auto"/>
        </w:rPr>
        <w:t>At every annual general meeting, one-third of the directors or, if their number is not a multiple of three, then the number nearest to and not exceeding one-third, shall retire from office.</w:t>
      </w:r>
    </w:p>
    <w:p>
      <w:pPr>
        <w:spacing w:after="0" w:line="90" w:lineRule="exact"/>
        <w:rPr>
          <w:sz w:val="20"/>
          <w:szCs w:val="20"/>
          <w:color w:val="auto"/>
        </w:rPr>
      </w:pPr>
    </w:p>
    <w:p>
      <w:pPr>
        <w:ind w:left="1260" w:right="419" w:firstLine="360"/>
        <w:spacing w:after="0" w:line="294" w:lineRule="auto"/>
        <w:rPr>
          <w:sz w:val="20"/>
          <w:szCs w:val="20"/>
          <w:color w:val="auto"/>
        </w:rPr>
      </w:pPr>
      <w:r>
        <w:rPr>
          <w:rFonts w:ascii="Arial" w:cs="Arial" w:eastAsia="Arial" w:hAnsi="Arial"/>
          <w:sz w:val="16"/>
          <w:szCs w:val="16"/>
          <w:color w:val="auto"/>
        </w:rPr>
        <w:t>The directors to retire on each occasion shall be those subject to retirement by rotation who have been longest in office since their last election, but as between persons who became or were re-elected directors on the same day those to retire shall (unless they otherwise agree amongst themselves) be determined by lot.</w:t>
      </w:r>
    </w:p>
    <w:p>
      <w:pPr>
        <w:spacing w:after="0" w:line="8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 director who retires at the annual general meeting shall be eligible for re-election.</w:t>
      </w:r>
    </w:p>
    <w:p>
      <w:pPr>
        <w:spacing w:after="0" w:line="158" w:lineRule="exact"/>
        <w:rPr>
          <w:sz w:val="20"/>
          <w:szCs w:val="20"/>
          <w:color w:val="auto"/>
        </w:rPr>
      </w:pPr>
    </w:p>
    <w:p>
      <w:pPr>
        <w:ind w:left="1260" w:right="579" w:firstLine="360"/>
        <w:spacing w:after="0" w:line="243" w:lineRule="auto"/>
        <w:rPr>
          <w:sz w:val="20"/>
          <w:szCs w:val="20"/>
          <w:color w:val="auto"/>
        </w:rPr>
      </w:pPr>
      <w:r>
        <w:rPr>
          <w:rFonts w:ascii="Arial" w:cs="Arial" w:eastAsia="Arial" w:hAnsi="Arial"/>
          <w:sz w:val="18"/>
          <w:szCs w:val="18"/>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Directors’ Interests</w:t>
      </w:r>
    </w:p>
    <w:p>
      <w:pPr>
        <w:spacing w:after="0" w:line="144" w:lineRule="exact"/>
        <w:rPr>
          <w:sz w:val="20"/>
          <w:szCs w:val="20"/>
          <w:color w:val="auto"/>
        </w:rPr>
      </w:pPr>
    </w:p>
    <w:p>
      <w:pPr>
        <w:ind w:left="1260" w:right="519" w:firstLine="360"/>
        <w:spacing w:after="0"/>
        <w:rPr>
          <w:sz w:val="20"/>
          <w:szCs w:val="20"/>
          <w:color w:val="auto"/>
        </w:rPr>
      </w:pPr>
      <w:r>
        <w:rPr>
          <w:rFonts w:ascii="Arial" w:cs="Arial" w:eastAsia="Arial" w:hAnsi="Arial"/>
          <w:sz w:val="18"/>
          <w:szCs w:val="18"/>
          <w:color w:val="auto"/>
        </w:rPr>
        <w:t>The directors may authorize, to the fullest extent permitted by law, any matter proposed to them which would otherwise result in a director infringing his duty to avoid a situation in which he has, or can have, a direct or indirect interest that conflicts, or possibly may conflict, with our interests. A director shall not, save as otherwise agreed by him, be accountable to us for any benefit which he derives from any matter authorized by the directors and any contract, transaction or arrangement relating thereto shall not be liable to be avoided on the grounds of any such benefit.</w:t>
      </w:r>
    </w:p>
    <w:p>
      <w:pPr>
        <w:spacing w:after="0" w:line="122" w:lineRule="exact"/>
        <w:rPr>
          <w:sz w:val="20"/>
          <w:szCs w:val="20"/>
          <w:color w:val="auto"/>
        </w:rPr>
      </w:pPr>
    </w:p>
    <w:p>
      <w:pPr>
        <w:ind w:left="1260" w:right="759" w:firstLine="360"/>
        <w:spacing w:after="0" w:line="270" w:lineRule="auto"/>
        <w:rPr>
          <w:sz w:val="20"/>
          <w:szCs w:val="20"/>
          <w:color w:val="auto"/>
        </w:rPr>
      </w:pPr>
      <w:r>
        <w:rPr>
          <w:rFonts w:ascii="Arial" w:cs="Arial" w:eastAsia="Arial" w:hAnsi="Arial"/>
          <w:sz w:val="17"/>
          <w:szCs w:val="17"/>
          <w:color w:val="auto"/>
        </w:rPr>
        <w:t>Subject to the requirements under sections 175, 177 and 182 of the Companies Act 2006, a director who is any way, whether directly or indirectly, interested in a proposed or existing transaction or arrangement with us shall declare the nature of his interest at a meeting of the directors.</w:t>
      </w:r>
    </w:p>
    <w:p>
      <w:pPr>
        <w:spacing w:after="0" w:line="96" w:lineRule="exact"/>
        <w:rPr>
          <w:sz w:val="20"/>
          <w:szCs w:val="20"/>
          <w:color w:val="auto"/>
        </w:rPr>
      </w:pPr>
    </w:p>
    <w:p>
      <w:pPr>
        <w:ind w:left="1260" w:right="439" w:firstLine="360"/>
        <w:spacing w:after="0" w:line="239" w:lineRule="auto"/>
        <w:rPr>
          <w:sz w:val="20"/>
          <w:szCs w:val="20"/>
          <w:color w:val="auto"/>
        </w:rPr>
      </w:pPr>
      <w:r>
        <w:rPr>
          <w:rFonts w:ascii="Arial" w:cs="Arial" w:eastAsia="Arial" w:hAnsi="Arial"/>
          <w:sz w:val="18"/>
          <w:szCs w:val="18"/>
          <w:color w:val="auto"/>
        </w:rPr>
        <w:t>In the case of interests arising where a director is in any way, directly or indirectly, interested in (a) a proposed transaction or arrangement with us or (b) a transaction or arrangement that has been entered into by us and save as otherwise provided by the Articles of Association, such director shall not vote at a meeting of the board or of a committee of the board on any resolution concerning such matter in which he has a material interest (otherwise than by virtue of his interest in shares, debentures or other securities of, or otherwise in or through, us) unless his interest or duty arises only because the case falls within one or more of the following paragraphs:</w:t>
      </w:r>
    </w:p>
    <w:p>
      <w:pPr>
        <w:spacing w:after="0" w:line="69" w:lineRule="exact"/>
        <w:rPr>
          <w:sz w:val="20"/>
          <w:szCs w:val="20"/>
          <w:color w:val="auto"/>
        </w:rPr>
      </w:pPr>
    </w:p>
    <w:p>
      <w:pPr>
        <w:jc w:val="both"/>
        <w:ind w:left="1800" w:right="599" w:hanging="180"/>
        <w:spacing w:after="0" w:line="263"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resolution relates to the giving of any security, guarantee or indemnity to the director in respect of money lent or obligations incurred by the director at the request of or for the benefit of us or our subsidiaries;</w:t>
      </w:r>
    </w:p>
    <w:p>
      <w:pPr>
        <w:spacing w:after="0" w:line="75" w:lineRule="exact"/>
        <w:rPr>
          <w:rFonts w:ascii="Arial" w:cs="Arial" w:eastAsia="Arial" w:hAnsi="Arial"/>
          <w:sz w:val="18"/>
          <w:szCs w:val="18"/>
          <w:color w:val="auto"/>
        </w:rPr>
      </w:pPr>
    </w:p>
    <w:p>
      <w:pPr>
        <w:ind w:left="1800" w:right="639" w:hanging="180"/>
        <w:spacing w:after="0" w:line="259"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resolution relates to the giving to a third party of a security or indemnity in respect of a debt or obligation of ours or any of our subsidiaries for which the director or a person connected with him has assumed responsibility in whole or part under a guarantee or indemnity or by the giving of security;</w:t>
      </w:r>
    </w:p>
    <w:p>
      <w:pPr>
        <w:spacing w:after="0" w:line="78" w:lineRule="exact"/>
        <w:rPr>
          <w:rFonts w:ascii="Arial" w:cs="Arial" w:eastAsia="Arial" w:hAnsi="Arial"/>
          <w:sz w:val="18"/>
          <w:szCs w:val="18"/>
          <w:color w:val="auto"/>
        </w:rPr>
      </w:pPr>
    </w:p>
    <w:p>
      <w:pPr>
        <w:ind w:left="1800" w:right="959" w:hanging="180"/>
        <w:spacing w:after="0" w:line="263" w:lineRule="auto"/>
        <w:tabs>
          <w:tab w:leader="none" w:pos="1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his interest arises by virtue of any offer of shares or debentures or other securities by us or our subsidiaries for subscription or purchase in which offer the director is or may be entitled to participate</w:t>
      </w:r>
    </w:p>
    <w:p>
      <w:pPr>
        <w:sectPr>
          <w:pgSz w:w="11900" w:h="16838" w:orient="portrait"/>
          <w:cols w:equalWidth="0" w:num="1">
            <w:col w:w="9879"/>
          </w:cols>
          <w:pgMar w:left="580" w:top="132"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7" w:name="page18"/>
    <w:bookmarkEnd w:id="1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739"/>
        <w:spacing w:after="0" w:line="277" w:lineRule="auto"/>
        <w:rPr>
          <w:sz w:val="20"/>
          <w:szCs w:val="20"/>
          <w:color w:val="auto"/>
        </w:rPr>
      </w:pPr>
      <w:r>
        <w:rPr>
          <w:rFonts w:ascii="Arial" w:cs="Arial" w:eastAsia="Arial" w:hAnsi="Arial"/>
          <w:sz w:val="18"/>
          <w:szCs w:val="18"/>
          <w:color w:val="auto"/>
        </w:rPr>
        <w:t>as a holder of securities or in the director is interested as a participant in the underwriting or sub-underwriting thereof;</w:t>
      </w:r>
    </w:p>
    <w:p>
      <w:pPr>
        <w:spacing w:after="0" w:line="76" w:lineRule="exact"/>
        <w:rPr>
          <w:sz w:val="20"/>
          <w:szCs w:val="20"/>
          <w:color w:val="auto"/>
        </w:rPr>
      </w:pPr>
    </w:p>
    <w:p>
      <w:pPr>
        <w:ind w:left="1800" w:right="419" w:hanging="180"/>
        <w:spacing w:after="0" w:line="25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resolution relates in any way to any other company in which he is interested, directly or indirectly and whether as an officer or shareholder or otherwise howsoever, provided that he and any persons connected with him do not to his knowledge hold an interest in shares representing one per cent or more of any class of the equity share capital of such company or of the voting rights available to shareholder of such company;</w:t>
      </w:r>
    </w:p>
    <w:p>
      <w:pPr>
        <w:spacing w:after="0" w:line="93" w:lineRule="exact"/>
        <w:rPr>
          <w:rFonts w:ascii="Arial" w:cs="Arial" w:eastAsia="Arial" w:hAnsi="Arial"/>
          <w:sz w:val="18"/>
          <w:szCs w:val="18"/>
          <w:color w:val="auto"/>
        </w:rPr>
      </w:pPr>
    </w:p>
    <w:p>
      <w:pPr>
        <w:ind w:left="1800" w:right="579" w:hanging="180"/>
        <w:spacing w:after="0" w:line="286" w:lineRule="auto"/>
        <w:tabs>
          <w:tab w:leader="none" w:pos="18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resolution relates in any way to an arrangement in whole or in part for the benefit of our employees or any employees of our subsidiaries which does not award him as such any privilege or benefit not generally awarded to the employees to whom such arrangement relates;</w:t>
      </w:r>
    </w:p>
    <w:p>
      <w:pPr>
        <w:spacing w:after="0" w:line="84" w:lineRule="exact"/>
        <w:rPr>
          <w:rFonts w:ascii="Arial" w:cs="Arial" w:eastAsia="Arial" w:hAnsi="Arial"/>
          <w:sz w:val="17"/>
          <w:szCs w:val="17"/>
          <w:color w:val="auto"/>
        </w:rPr>
      </w:pPr>
    </w:p>
    <w:p>
      <w:pPr>
        <w:ind w:left="1800" w:right="619" w:hanging="180"/>
        <w:spacing w:after="0" w:line="257"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resolution relates to the adoption, modification or operation of a superannuation fund or retirement, death or disability benefits scheme or employees’ share scheme under which he may benefit and which has been approved by or is subject to and conditional upon approval by the U.K. tax authorities for taxation purposes and which does not award him any privilege or benefit not awarded to the employee to whom the scheme relates; or</w:t>
      </w:r>
    </w:p>
    <w:p>
      <w:pPr>
        <w:spacing w:after="0" w:line="93" w:lineRule="exact"/>
        <w:rPr>
          <w:rFonts w:ascii="Arial" w:cs="Arial" w:eastAsia="Arial" w:hAnsi="Arial"/>
          <w:sz w:val="18"/>
          <w:szCs w:val="18"/>
          <w:color w:val="auto"/>
        </w:rPr>
      </w:pPr>
    </w:p>
    <w:p>
      <w:pPr>
        <w:ind w:left="1800" w:right="419" w:hanging="180"/>
        <w:spacing w:after="0" w:line="259" w:lineRule="auto"/>
        <w:tabs>
          <w:tab w:leader="none" w:pos="1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resolution relates in any way to the purchase or maintenance for the directors of insurance against any liability which by virtue of any rule of law would otherwise attach to all or any of them in respect of any negligence, default, breach of duty or breach of trust in relation to us or any of our subsidiaries.</w:t>
      </w:r>
    </w:p>
    <w:p>
      <w:pPr>
        <w:spacing w:after="0" w:line="119" w:lineRule="exact"/>
        <w:rPr>
          <w:sz w:val="20"/>
          <w:szCs w:val="20"/>
          <w:color w:val="auto"/>
        </w:rPr>
      </w:pPr>
    </w:p>
    <w:p>
      <w:pPr>
        <w:ind w:left="1260" w:right="559" w:firstLine="360"/>
        <w:spacing w:after="0" w:line="277" w:lineRule="auto"/>
        <w:rPr>
          <w:sz w:val="20"/>
          <w:szCs w:val="20"/>
          <w:color w:val="auto"/>
        </w:rPr>
      </w:pPr>
      <w:r>
        <w:rPr>
          <w:rFonts w:ascii="Arial" w:cs="Arial" w:eastAsia="Arial" w:hAnsi="Arial"/>
          <w:sz w:val="18"/>
          <w:szCs w:val="18"/>
          <w:color w:val="auto"/>
        </w:rPr>
        <w:t>A director shall not be counted in the quorum present at a meeting in relation to a resolution on which he is not entitled to vote.</w:t>
      </w:r>
    </w:p>
    <w:p>
      <w:pPr>
        <w:spacing w:after="0" w:line="89"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If a question arises at a meeting of the board or of a committee of the board as to the right of a director to vote or be counted in the quorum, and such question is not resolved by his voluntarily agreeing to abstain from voting or not to be counted in the quorum, the question shall be determined by a majority of votes of the remaining directors present at the meeting or if there is an equality of votes, the Chairman shall have a second or casting vote and his ruling in relation to any director other than himself shall be final and conclusive except in a case where the nature or extent of the interest of the director concerned has not been fairly disclosed.</w:t>
      </w:r>
    </w:p>
    <w:p>
      <w:pPr>
        <w:spacing w:after="0" w:line="19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Directors’ Fees and Remuneration</w:t>
      </w:r>
    </w:p>
    <w:p>
      <w:pPr>
        <w:spacing w:after="0" w:line="158"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Each of the directors shall be paid a fee at such rate as may from time to time be determined by the board (or for the avoidance of doubt any duly authorized committee of the board) provided that the aggregate of all such fees so paid to directors shall not exceed £500,000 per annum, or such higher amount as may from time to time be determined by ordinary resolution of shareholders.</w:t>
      </w:r>
    </w:p>
    <w:p>
      <w:pPr>
        <w:spacing w:after="0" w:line="119"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Each director may be paid his traveling, hotel and incidental expenses of attending and returning from meetings of the board or committees of the board or general meetings or separate meetings of the holders class of shares or of debentures and shall be paid all expenses properly incurred by him in the conduct of our business or in the discharge of his duties as a director. Any director who, by request, performs special or extra services which in the opinion of the board go beyond the ordinary duties of a director may be paid such extra remuneration as the board may determine.</w:t>
      </w:r>
    </w:p>
    <w:p>
      <w:pPr>
        <w:spacing w:after="0" w:line="111" w:lineRule="exact"/>
        <w:rPr>
          <w:sz w:val="20"/>
          <w:szCs w:val="20"/>
          <w:color w:val="auto"/>
        </w:rPr>
      </w:pPr>
    </w:p>
    <w:p>
      <w:pPr>
        <w:ind w:left="1260" w:right="1019" w:firstLine="360"/>
        <w:spacing w:after="0" w:line="277" w:lineRule="auto"/>
        <w:rPr>
          <w:sz w:val="20"/>
          <w:szCs w:val="20"/>
          <w:color w:val="auto"/>
        </w:rPr>
      </w:pPr>
      <w:r>
        <w:rPr>
          <w:rFonts w:ascii="Arial" w:cs="Arial" w:eastAsia="Arial" w:hAnsi="Arial"/>
          <w:sz w:val="18"/>
          <w:szCs w:val="18"/>
          <w:color w:val="auto"/>
        </w:rPr>
        <w:t>An executive director shall receive such remuneration as the board may determine, and either in addition to or in lieu of his remuneration as a director as detailed above.</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Borrowing Powers</w:t>
      </w:r>
    </w:p>
    <w:p>
      <w:pPr>
        <w:spacing w:after="0" w:line="158"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The board may exercise all the powers to borrow money and to mortgage or charge our undertaking, property and assets (present or future) and uncalled capital or any part thereof and to issue debentures and other securities, whether outright or as collateral security for any debt, liability or obligation of us or of any third party.</w:t>
      </w: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18" w:name="page19"/>
    <w:bookmarkEnd w:id="1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Indemnity</w:t>
      </w:r>
    </w:p>
    <w:p>
      <w:pPr>
        <w:spacing w:after="0" w:line="144" w:lineRule="exact"/>
        <w:rPr>
          <w:sz w:val="20"/>
          <w:szCs w:val="20"/>
          <w:color w:val="auto"/>
        </w:rPr>
      </w:pPr>
    </w:p>
    <w:p>
      <w:pPr>
        <w:ind w:left="1260" w:right="459" w:firstLine="360"/>
        <w:spacing w:after="0" w:line="241" w:lineRule="auto"/>
        <w:rPr>
          <w:sz w:val="20"/>
          <w:szCs w:val="20"/>
          <w:color w:val="auto"/>
        </w:rPr>
      </w:pPr>
      <w:r>
        <w:rPr>
          <w:rFonts w:ascii="Arial" w:cs="Arial" w:eastAsia="Arial" w:hAnsi="Arial"/>
          <w:sz w:val="18"/>
          <w:szCs w:val="18"/>
          <w:color w:val="auto"/>
        </w:rPr>
        <w:t>Every director, alternate director, other officer or auditor of our group may be indemnified against all costs, charges, expenses, losses and liabilities incurred by him in connection with any negligence, default, breach of duty or breach of trust by him in relation to us or in relation to the actual or purported execution or discharge of his duties or the exercise or purported exercise of his powers or otherwise in relation to such members of our group.</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U.K. Law Considerations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Mandatory Purchases and Acquisitions</w:t>
      </w:r>
    </w:p>
    <w:p>
      <w:pPr>
        <w:spacing w:after="0" w:line="158" w:lineRule="exact"/>
        <w:rPr>
          <w:sz w:val="20"/>
          <w:szCs w:val="20"/>
          <w:color w:val="auto"/>
        </w:rPr>
      </w:pPr>
    </w:p>
    <w:p>
      <w:pPr>
        <w:ind w:left="1260" w:right="539" w:firstLine="360"/>
        <w:spacing w:after="0" w:line="236" w:lineRule="auto"/>
        <w:rPr>
          <w:sz w:val="20"/>
          <w:szCs w:val="20"/>
          <w:color w:val="auto"/>
        </w:rPr>
      </w:pPr>
      <w:r>
        <w:rPr>
          <w:rFonts w:ascii="Arial" w:cs="Arial" w:eastAsia="Arial" w:hAnsi="Arial"/>
          <w:sz w:val="18"/>
          <w:szCs w:val="18"/>
          <w:color w:val="auto"/>
        </w:rPr>
        <w:t>Pursuant to Sections 979 to 991 of the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 Companies Act 2006 must, in general, be the same as the consideration that was available under the takeover offer.</w:t>
      </w:r>
    </w:p>
    <w:p>
      <w:pPr>
        <w:spacing w:after="0" w:line="199"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Sell Out</w:t>
      </w:r>
    </w:p>
    <w:p>
      <w:pPr>
        <w:spacing w:after="0" w:line="158" w:lineRule="exact"/>
        <w:rPr>
          <w:sz w:val="20"/>
          <w:szCs w:val="20"/>
          <w:color w:val="auto"/>
        </w:rPr>
      </w:pPr>
    </w:p>
    <w:p>
      <w:pPr>
        <w:ind w:left="1260" w:right="479" w:firstLine="360"/>
        <w:spacing w:after="0" w:line="238" w:lineRule="auto"/>
        <w:rPr>
          <w:sz w:val="20"/>
          <w:szCs w:val="20"/>
          <w:color w:val="auto"/>
        </w:rPr>
      </w:pPr>
      <w:r>
        <w:rPr>
          <w:rFonts w:ascii="Arial" w:cs="Arial" w:eastAsia="Arial" w:hAnsi="Arial"/>
          <w:sz w:val="18"/>
          <w:szCs w:val="18"/>
          <w:color w:val="auto"/>
        </w:rPr>
        <w:t>The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his rights to be bought out, the offeror is required to acquire those shares on the terms of this offer or on such other terms as may be agreed.</w:t>
      </w:r>
    </w:p>
    <w:p>
      <w:pPr>
        <w:spacing w:after="0" w:line="191"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Disclosure of Interest in Shares</w:t>
      </w:r>
    </w:p>
    <w:p>
      <w:pPr>
        <w:spacing w:after="0" w:line="144"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Pursuant to Part 22 of the Companies Act 2006, we are empowered by notice in writing to any person whom we know or have reasonable cause to believe to be interested in our shares, or at any time during the three years immediately preceding the date on which the notice is issued has been so interested, within a reasonable time to disclose to us particulars of that person’s interest and (so far as is within his knowledge) particulars of any other interest that subsists or subsisted in those shares.</w:t>
      </w:r>
    </w:p>
    <w:p>
      <w:pPr>
        <w:spacing w:after="0" w:line="120"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Under the Articles of Association, if a person defaults in supplying us with the required particulars in relation to the shares in question, or default shares within the prescribed period, the directors may by notice direct that:</w:t>
      </w:r>
    </w:p>
    <w:p>
      <w:pPr>
        <w:spacing w:after="0" w:line="116" w:lineRule="exact"/>
        <w:rPr>
          <w:sz w:val="20"/>
          <w:szCs w:val="20"/>
          <w:color w:val="auto"/>
        </w:rPr>
      </w:pPr>
    </w:p>
    <w:p>
      <w:pPr>
        <w:ind w:left="1620" w:right="439"/>
        <w:spacing w:after="0" w:line="263" w:lineRule="auto"/>
        <w:tabs>
          <w:tab w:leader="none" w:pos="176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respect of the default shares, the relevant member shall not be entitled to attend or vote (either in person or by proxy) at any general meeting or of a general meeting of the holders of a class of shares or upon any poll or to exercise any right conferred by the default shares;</w:t>
      </w:r>
    </w:p>
    <w:p>
      <w:pPr>
        <w:spacing w:after="0" w:line="102" w:lineRule="exact"/>
        <w:rPr>
          <w:rFonts w:ascii="Arial" w:cs="Arial" w:eastAsia="Arial" w:hAnsi="Arial"/>
          <w:sz w:val="18"/>
          <w:szCs w:val="18"/>
          <w:color w:val="auto"/>
        </w:rPr>
      </w:pPr>
    </w:p>
    <w:p>
      <w:pPr>
        <w:ind w:left="1620" w:right="619"/>
        <w:spacing w:after="0" w:line="308" w:lineRule="auto"/>
        <w:tabs>
          <w:tab w:leader="none" w:pos="1762" w:val="left"/>
        </w:tabs>
        <w:numPr>
          <w:ilvl w:val="0"/>
          <w:numId w:val="13"/>
        </w:numPr>
        <w:rPr>
          <w:rFonts w:ascii="Arial" w:cs="Arial" w:eastAsia="Arial" w:hAnsi="Arial"/>
          <w:sz w:val="17"/>
          <w:szCs w:val="17"/>
          <w:color w:val="auto"/>
        </w:rPr>
      </w:pPr>
      <w:r>
        <w:rPr>
          <w:rFonts w:ascii="Arial" w:cs="Arial" w:eastAsia="Arial" w:hAnsi="Arial"/>
          <w:sz w:val="17"/>
          <w:szCs w:val="17"/>
          <w:color w:val="auto"/>
        </w:rPr>
        <w:t>where the default shares represent at least 0.25% of their class, (a) any dividend or other money payable in respect of the default shares shall be retained by us without liability to pay interest, and/or</w:t>
      </w:r>
    </w:p>
    <w:p>
      <w:pPr>
        <w:sectPr>
          <w:pgSz w:w="11900" w:h="16838" w:orient="portrait"/>
          <w:cols w:equalWidth="0" w:num="1">
            <w:col w:w="9879"/>
          </w:cols>
          <w:pgMar w:left="580" w:top="132" w:right="1440" w:bottom="1440" w:gutter="0" w:footer="0" w:header="0"/>
        </w:sect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19" w:name="page20"/>
    <w:bookmarkEnd w:id="1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right="739"/>
        <w:spacing w:after="0" w:line="311" w:lineRule="auto"/>
        <w:tabs>
          <w:tab w:leader="none" w:pos="1889" w:val="left"/>
        </w:tabs>
        <w:numPr>
          <w:ilvl w:val="0"/>
          <w:numId w:val="14"/>
        </w:numPr>
        <w:rPr>
          <w:rFonts w:ascii="Arial" w:cs="Arial" w:eastAsia="Arial" w:hAnsi="Arial"/>
          <w:sz w:val="16"/>
          <w:szCs w:val="16"/>
          <w:color w:val="auto"/>
        </w:rPr>
      </w:pPr>
      <w:r>
        <w:rPr>
          <w:rFonts w:ascii="Arial" w:cs="Arial" w:eastAsia="Arial" w:hAnsi="Arial"/>
          <w:sz w:val="16"/>
          <w:szCs w:val="16"/>
          <w:color w:val="auto"/>
        </w:rPr>
        <w:t>no transfers by the relevant member of any default shares may be registered (unless the member himself is not in default and the member proves to the satisfaction of the Board that no person in default as regards supplying such information is interested in any of the default shares); and/or</w:t>
      </w:r>
    </w:p>
    <w:p>
      <w:pPr>
        <w:spacing w:after="0" w:line="68" w:lineRule="exact"/>
        <w:rPr>
          <w:sz w:val="20"/>
          <w:szCs w:val="20"/>
          <w:color w:val="auto"/>
        </w:rPr>
      </w:pPr>
    </w:p>
    <w:p>
      <w:pPr>
        <w:ind w:left="1620" w:right="579"/>
        <w:spacing w:after="0" w:line="255" w:lineRule="auto"/>
        <w:tabs>
          <w:tab w:leader="none" w:pos="1762"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shares held by the relevant member in uncertificated form shall be converted into certificated form and that member shall not after that be entitled to convert all or any shares held by him into uncertificated form (unless the member himself is not in default as regards supplying the information required and the member proves to the satisfaction of the board that, after due and careful inquiry, the member is satisfied that none of the shares he is proposing to convert into uncertificated form is a default share).</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Purchase of Own Shares</w:t>
      </w:r>
    </w:p>
    <w:p>
      <w:pPr>
        <w:spacing w:after="0" w:line="158" w:lineRule="exact"/>
        <w:rPr>
          <w:sz w:val="20"/>
          <w:szCs w:val="20"/>
          <w:color w:val="auto"/>
        </w:rPr>
      </w:pPr>
    </w:p>
    <w:p>
      <w:pPr>
        <w:ind w:left="1260" w:right="439" w:firstLine="360"/>
        <w:spacing w:after="0" w:line="255" w:lineRule="auto"/>
        <w:rPr>
          <w:sz w:val="20"/>
          <w:szCs w:val="20"/>
          <w:color w:val="auto"/>
        </w:rPr>
      </w:pPr>
      <w:r>
        <w:rPr>
          <w:rFonts w:ascii="Arial" w:cs="Arial" w:eastAsia="Arial" w:hAnsi="Arial"/>
          <w:sz w:val="18"/>
          <w:szCs w:val="18"/>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125"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Subject to the above, we may purchase our own shares in the manner prescribed below. We may make a market purchase of our own fully paid shares pursuant to an ordinary resolution of shareholders. The resolution authorizing the purchase must:</w:t>
      </w:r>
    </w:p>
    <w:p>
      <w:pPr>
        <w:spacing w:after="0" w:line="76" w:lineRule="exact"/>
        <w:rPr>
          <w:sz w:val="20"/>
          <w:szCs w:val="20"/>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specify the maximum number of shares authorized to be acquired;</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determine the maximum and minimum prices that may be paid for the shares; and</w:t>
      </w:r>
    </w:p>
    <w:p>
      <w:pPr>
        <w:spacing w:after="0" w:line="130" w:lineRule="exact"/>
        <w:rPr>
          <w:rFonts w:ascii="Arial" w:cs="Arial" w:eastAsia="Arial" w:hAnsi="Arial"/>
          <w:sz w:val="18"/>
          <w:szCs w:val="18"/>
          <w:color w:val="auto"/>
        </w:rPr>
      </w:pPr>
    </w:p>
    <w:p>
      <w:pPr>
        <w:ind w:left="1800" w:right="1039" w:hanging="180"/>
        <w:spacing w:after="0" w:line="277" w:lineRule="auto"/>
        <w:tabs>
          <w:tab w:leader="none" w:pos="1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specify a date, not being later than five years after the passing of the resolution, on which the authority to purchase is to expire.</w:t>
      </w:r>
    </w:p>
    <w:p>
      <w:pPr>
        <w:spacing w:after="0" w:line="89" w:lineRule="exact"/>
        <w:rPr>
          <w:sz w:val="20"/>
          <w:szCs w:val="20"/>
          <w:color w:val="auto"/>
        </w:rPr>
      </w:pPr>
    </w:p>
    <w:p>
      <w:pPr>
        <w:ind w:left="1260" w:right="639" w:firstLine="360"/>
        <w:spacing w:after="0" w:line="255" w:lineRule="auto"/>
        <w:rPr>
          <w:sz w:val="20"/>
          <w:szCs w:val="20"/>
          <w:color w:val="auto"/>
        </w:rPr>
      </w:pPr>
      <w:r>
        <w:rPr>
          <w:rFonts w:ascii="Arial" w:cs="Arial" w:eastAsia="Arial" w:hAnsi="Arial"/>
          <w:sz w:val="18"/>
          <w:szCs w:val="18"/>
          <w:color w:val="auto"/>
        </w:rPr>
        <w:t>We may purchase our own fully paid shares otherwise than on a recognized investment exchange pursuant to a purchase contract authorized by resolution of shareholders before the purchase takes place. Any authority will not be effective if any shareholder from whom we propose to purchase shares votes on the resolution and the resolution would not have been passed if he had not done so. The resolution authorizing the purchase must specify a date, not being later than five years after the passing of the resolution, on which the authority to purchase is to expire.</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Distributions and Dividends</w:t>
      </w:r>
    </w:p>
    <w:p>
      <w:pPr>
        <w:spacing w:after="0" w:line="158"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Under the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127"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79" w:lineRule="exact"/>
        <w:rPr>
          <w:sz w:val="20"/>
          <w:szCs w:val="20"/>
          <w:color w:val="auto"/>
        </w:rPr>
      </w:pPr>
    </w:p>
    <w:p>
      <w:pPr>
        <w:ind w:left="1800" w:right="739" w:hanging="180"/>
        <w:spacing w:after="0" w:line="263"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89"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and to the extent that, the distribution itself, at the time that it is made, does not reduce the amount of the net assets to less than that total.</w:t>
      </w:r>
    </w:p>
    <w:p>
      <w:pPr>
        <w:sectPr>
          <w:pgSz w:w="11900" w:h="16838" w:orient="portrait"/>
          <w:cols w:equalWidth="0" w:num="1">
            <w:col w:w="9879"/>
          </w:cols>
          <w:pgMar w:left="580" w:top="131" w:right="1440" w:bottom="1440" w:gutter="0" w:footer="0" w:header="0"/>
        </w:sectPr>
      </w:pP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0" w:name="page21"/>
    <w:bookmarkEnd w:id="2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i w:val="1"/>
          <w:iCs w:val="1"/>
          <w:color w:val="auto"/>
        </w:rPr>
        <w:t>Takeovers and Mergers</w:t>
      </w:r>
    </w:p>
    <w:p>
      <w:pPr>
        <w:spacing w:after="0" w:line="144" w:lineRule="exact"/>
        <w:rPr>
          <w:sz w:val="20"/>
          <w:szCs w:val="20"/>
          <w:color w:val="auto"/>
        </w:rPr>
      </w:pPr>
    </w:p>
    <w:p>
      <w:pPr>
        <w:ind w:left="1260" w:right="559" w:firstLine="360"/>
        <w:spacing w:after="0" w:line="255" w:lineRule="auto"/>
        <w:rPr>
          <w:sz w:val="20"/>
          <w:szCs w:val="20"/>
          <w:color w:val="auto"/>
        </w:rPr>
      </w:pPr>
      <w:r>
        <w:rPr>
          <w:rFonts w:ascii="Arial" w:cs="Arial" w:eastAsia="Arial" w:hAnsi="Arial"/>
          <w:sz w:val="18"/>
          <w:szCs w:val="18"/>
          <w:color w:val="auto"/>
        </w:rPr>
        <w:t>Following our delisting from AIM, the U.K. Panel on Takeovers and Mergers has confirmed to us that the U.K. City Code on Takeovers and Mergers or the Code will not apply to us. However, we may become subject to the Code in the future if any changes to the board composition results in the majority of our directors being resident in the United Kingdom, Channel Islands or the Isle of Man. We have incorporated certain takeover protections in our articles of association so that we are able to defend ourselves and our shareholders from hostile takeovers.</w:t>
      </w:r>
    </w:p>
    <w:p>
      <w:pPr>
        <w:spacing w:after="0" w:line="18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Differences in Corporate Law</w:t>
      </w:r>
    </w:p>
    <w:p>
      <w:pPr>
        <w:spacing w:after="0" w:line="162" w:lineRule="exact"/>
        <w:rPr>
          <w:sz w:val="20"/>
          <w:szCs w:val="20"/>
          <w:color w:val="auto"/>
        </w:rPr>
      </w:pPr>
    </w:p>
    <w:p>
      <w:pPr>
        <w:ind w:left="1260" w:right="459" w:firstLine="360"/>
        <w:spacing w:after="0" w:line="275" w:lineRule="auto"/>
        <w:rPr>
          <w:sz w:val="20"/>
          <w:szCs w:val="20"/>
          <w:color w:val="auto"/>
        </w:rPr>
      </w:pPr>
      <w:r>
        <w:rPr>
          <w:rFonts w:ascii="Arial" w:cs="Arial" w:eastAsia="Arial" w:hAnsi="Arial"/>
          <w:sz w:val="17"/>
          <w:szCs w:val="17"/>
          <w:i w:val="1"/>
          <w:iCs w:val="1"/>
          <w:color w:val="auto"/>
        </w:rPr>
        <w:t>The applicable provisions of the Companies Act 2006 differ from laws applicable to U.S. corporations and their shareholders. Set forth below is a summary of certain differences between the provisions of the Companies Act 2006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ectPr>
          <w:pgSz w:w="11900" w:h="16838" w:orient="portrait"/>
          <w:cols w:equalWidth="0" w:num="1">
            <w:col w:w="9879"/>
          </w:cols>
          <w:pgMar w:left="580" w:top="131" w:right="1440" w:bottom="1440" w:gutter="0" w:footer="0" w:header="0"/>
        </w:sectPr>
      </w:pPr>
    </w:p>
    <w:p>
      <w:pPr>
        <w:spacing w:after="0" w:line="114"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3020" w:type="dxa"/>
            <w:vAlign w:val="bottom"/>
          </w:tcPr>
          <w:p>
            <w:pPr>
              <w:ind w:left="940"/>
              <w:spacing w:after="0"/>
              <w:rPr>
                <w:sz w:val="20"/>
                <w:szCs w:val="20"/>
                <w:color w:val="auto"/>
              </w:rPr>
            </w:pPr>
            <w:r>
              <w:rPr>
                <w:rFonts w:ascii="Arial" w:cs="Arial" w:eastAsia="Arial" w:hAnsi="Arial"/>
                <w:sz w:val="14"/>
                <w:szCs w:val="14"/>
                <w:b w:val="1"/>
                <w:bCs w:val="1"/>
                <w:color w:val="auto"/>
              </w:rPr>
              <w:t>England and Wales</w:t>
            </w:r>
          </w:p>
        </w:tc>
      </w:tr>
      <w:tr>
        <w:trPr>
          <w:trHeight w:val="26"/>
        </w:trPr>
        <w:tc>
          <w:tcPr>
            <w:tcW w:w="194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22"/>
        </w:trPr>
        <w:tc>
          <w:tcPr>
            <w:tcW w:w="1940" w:type="dxa"/>
            <w:vAlign w:val="bottom"/>
          </w:tcPr>
          <w:p>
            <w:pPr>
              <w:spacing w:after="0"/>
              <w:rPr>
                <w:sz w:val="20"/>
                <w:szCs w:val="20"/>
                <w:color w:val="auto"/>
              </w:rPr>
            </w:pPr>
            <w:r>
              <w:rPr>
                <w:rFonts w:ascii="Arial" w:cs="Arial" w:eastAsia="Arial" w:hAnsi="Arial"/>
                <w:sz w:val="18"/>
                <w:szCs w:val="18"/>
                <w:color w:val="auto"/>
              </w:rPr>
              <w:t>Number of Directors</w:t>
            </w:r>
          </w:p>
        </w:tc>
        <w:tc>
          <w:tcPr>
            <w:tcW w:w="3020" w:type="dxa"/>
            <w:vAlign w:val="bottom"/>
          </w:tcPr>
          <w:p>
            <w:pPr>
              <w:spacing w:after="0"/>
              <w:rPr>
                <w:sz w:val="20"/>
                <w:szCs w:val="20"/>
                <w:color w:val="auto"/>
              </w:rPr>
            </w:pPr>
            <w:r>
              <w:rPr>
                <w:rFonts w:ascii="Arial" w:cs="Arial" w:eastAsia="Arial" w:hAnsi="Arial"/>
                <w:sz w:val="18"/>
                <w:szCs w:val="18"/>
                <w:color w:val="auto"/>
              </w:rPr>
              <w:t>Under the Companies Act 2006, a</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public limited company must have at</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least two directors and the number of</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directors may be fixed by or in the</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manner provided in a company’s</w:t>
            </w:r>
          </w:p>
        </w:tc>
      </w:tr>
      <w:tr>
        <w:trPr>
          <w:trHeight w:val="230"/>
        </w:trPr>
        <w:tc>
          <w:tcPr>
            <w:tcW w:w="19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articles of association.</w:t>
            </w:r>
          </w:p>
        </w:tc>
      </w:tr>
      <w:tr>
        <w:trPr>
          <w:trHeight w:val="229"/>
        </w:trPr>
        <w:tc>
          <w:tcPr>
            <w:tcW w:w="1940" w:type="dxa"/>
            <w:vAlign w:val="bottom"/>
          </w:tcPr>
          <w:p>
            <w:pPr>
              <w:spacing w:after="0"/>
              <w:rPr>
                <w:sz w:val="20"/>
                <w:szCs w:val="20"/>
                <w:color w:val="auto"/>
              </w:rPr>
            </w:pPr>
            <w:r>
              <w:rPr>
                <w:rFonts w:ascii="Arial" w:cs="Arial" w:eastAsia="Arial" w:hAnsi="Arial"/>
                <w:sz w:val="18"/>
                <w:szCs w:val="18"/>
                <w:color w:val="auto"/>
              </w:rPr>
              <w:t>Removal of Directors</w:t>
            </w:r>
          </w:p>
        </w:tc>
        <w:tc>
          <w:tcPr>
            <w:tcW w:w="3020" w:type="dxa"/>
            <w:vAlign w:val="bottom"/>
          </w:tcPr>
          <w:p>
            <w:pPr>
              <w:spacing w:after="0"/>
              <w:rPr>
                <w:sz w:val="20"/>
                <w:szCs w:val="20"/>
                <w:color w:val="auto"/>
              </w:rPr>
            </w:pPr>
            <w:r>
              <w:rPr>
                <w:rFonts w:ascii="Arial" w:cs="Arial" w:eastAsia="Arial" w:hAnsi="Arial"/>
                <w:sz w:val="18"/>
                <w:szCs w:val="18"/>
                <w:color w:val="auto"/>
              </w:rPr>
              <w:t>Under the Companies Act 2006,</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shareholders may remove a director</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6"/>
              </w:rPr>
              <w:t>without cause by an ordinary resolution</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(which is passed by a simple majority</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6"/>
              </w:rPr>
              <w:t>of those voting in person or by proxy at</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9"/>
              </w:rPr>
              <w:t>a general meeting) irrespective of any</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provisions of any service contract the</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director has with the company,</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provided 28 clear days’ notice of the</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resolution has been given to the</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company and its shareholders. On</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receipt of notice of an intended</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resolution to remove a director, the</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6"/>
              </w:rPr>
              <w:t>company must forthwith send a copy of</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the notice to the director concerned.</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8"/>
              </w:rPr>
              <w:t>Certain other procedural requirements</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under the Companies Act 2006 must</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also be followed such as allowing the</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3"/>
              </w:rPr>
              <w:t>director to make representations against</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5"/>
              </w:rPr>
              <w:t>his or her removal either at the meeting</w:t>
            </w:r>
          </w:p>
        </w:tc>
      </w:tr>
      <w:tr>
        <w:trPr>
          <w:trHeight w:val="230"/>
        </w:trPr>
        <w:tc>
          <w:tcPr>
            <w:tcW w:w="19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or in writing.</w:t>
            </w:r>
          </w:p>
        </w:tc>
      </w:tr>
      <w:tr>
        <w:trPr>
          <w:trHeight w:val="229"/>
        </w:trPr>
        <w:tc>
          <w:tcPr>
            <w:tcW w:w="1940" w:type="dxa"/>
            <w:vAlign w:val="bottom"/>
          </w:tcPr>
          <w:p>
            <w:pPr>
              <w:spacing w:after="0"/>
              <w:rPr>
                <w:sz w:val="20"/>
                <w:szCs w:val="20"/>
                <w:color w:val="auto"/>
              </w:rPr>
            </w:pPr>
            <w:r>
              <w:rPr>
                <w:rFonts w:ascii="Arial" w:cs="Arial" w:eastAsia="Arial" w:hAnsi="Arial"/>
                <w:sz w:val="18"/>
                <w:szCs w:val="18"/>
                <w:color w:val="auto"/>
              </w:rPr>
              <w:t>Vacancies on the</w:t>
            </w:r>
          </w:p>
        </w:tc>
        <w:tc>
          <w:tcPr>
            <w:tcW w:w="3020" w:type="dxa"/>
            <w:vAlign w:val="bottom"/>
          </w:tcPr>
          <w:p>
            <w:pPr>
              <w:spacing w:after="0"/>
              <w:rPr>
                <w:sz w:val="20"/>
                <w:szCs w:val="20"/>
                <w:color w:val="auto"/>
              </w:rPr>
            </w:pPr>
            <w:r>
              <w:rPr>
                <w:rFonts w:ascii="Arial" w:cs="Arial" w:eastAsia="Arial" w:hAnsi="Arial"/>
                <w:sz w:val="18"/>
                <w:szCs w:val="18"/>
                <w:color w:val="auto"/>
              </w:rPr>
              <w:t>Under English law, the procedure by</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Board of Directors</w:t>
            </w:r>
          </w:p>
        </w:tc>
        <w:tc>
          <w:tcPr>
            <w:tcW w:w="3020" w:type="dxa"/>
            <w:vAlign w:val="bottom"/>
          </w:tcPr>
          <w:p>
            <w:pPr>
              <w:spacing w:after="0"/>
              <w:rPr>
                <w:sz w:val="20"/>
                <w:szCs w:val="20"/>
                <w:color w:val="auto"/>
              </w:rPr>
            </w:pPr>
            <w:r>
              <w:rPr>
                <w:rFonts w:ascii="Arial" w:cs="Arial" w:eastAsia="Arial" w:hAnsi="Arial"/>
                <w:sz w:val="18"/>
                <w:szCs w:val="18"/>
                <w:color w:val="auto"/>
                <w:w w:val="94"/>
              </w:rPr>
              <w:t>which directors, other than a company’s</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initial directors, are appointed is</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generally set out in a company’s</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articles of association, provided that</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where two or more persons are</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appointed as directors of a public</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limited company by resolution of the</w:t>
            </w:r>
          </w:p>
        </w:tc>
      </w:tr>
      <w:tr>
        <w:trPr>
          <w:trHeight w:val="230"/>
        </w:trPr>
        <w:tc>
          <w:tcPr>
            <w:tcW w:w="19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shareholders, resolutions</w:t>
            </w:r>
          </w:p>
        </w:tc>
      </w:tr>
    </w:tbl>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19202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7" w:lineRule="exact"/>
        <w:rPr>
          <w:sz w:val="20"/>
          <w:szCs w:val="20"/>
          <w:color w:val="auto"/>
        </w:rPr>
      </w:pPr>
    </w:p>
    <w:p>
      <w:pPr>
        <w:ind w:right="439"/>
        <w:spacing w:after="0" w:line="279" w:lineRule="auto"/>
        <w:rPr>
          <w:sz w:val="20"/>
          <w:szCs w:val="20"/>
          <w:color w:val="auto"/>
        </w:rPr>
      </w:pPr>
      <w:r>
        <w:rPr>
          <w:rFonts w:ascii="Arial" w:cs="Arial" w:eastAsia="Arial" w:hAnsi="Arial"/>
          <w:sz w:val="17"/>
          <w:szCs w:val="17"/>
          <w:color w:val="auto"/>
        </w:rPr>
        <w:t>Under Delaware law, a corporation must have at least one director and the number of directors shall be fixed by or in the manner provided in the bylaws.</w:t>
      </w:r>
    </w:p>
    <w:p>
      <w:pPr>
        <w:spacing w:after="0" w:line="200" w:lineRule="exact"/>
        <w:rPr>
          <w:sz w:val="20"/>
          <w:szCs w:val="20"/>
          <w:color w:val="auto"/>
        </w:rPr>
      </w:pPr>
    </w:p>
    <w:p>
      <w:pPr>
        <w:spacing w:after="0" w:line="214" w:lineRule="exact"/>
        <w:rPr>
          <w:sz w:val="20"/>
          <w:szCs w:val="20"/>
          <w:color w:val="auto"/>
        </w:rPr>
      </w:pPr>
    </w:p>
    <w:p>
      <w:pPr>
        <w:ind w:right="459"/>
        <w:spacing w:after="0" w:line="266" w:lineRule="auto"/>
        <w:rPr>
          <w:sz w:val="20"/>
          <w:szCs w:val="20"/>
          <w:color w:val="auto"/>
        </w:rPr>
      </w:pPr>
      <w:r>
        <w:rPr>
          <w:rFonts w:ascii="Arial" w:cs="Arial" w:eastAsia="Arial" w:hAnsi="Arial"/>
          <w:sz w:val="17"/>
          <w:szCs w:val="17"/>
          <w:color w:val="auto"/>
        </w:rPr>
        <w:t>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pacing w:after="0" w:line="13" w:lineRule="exact"/>
        <w:rPr>
          <w:sz w:val="20"/>
          <w:szCs w:val="20"/>
          <w:color w:val="auto"/>
        </w:rPr>
      </w:pPr>
    </w:p>
    <w:p>
      <w:pPr>
        <w:ind w:right="419"/>
        <w:spacing w:after="0" w:line="253" w:lineRule="auto"/>
        <w:rPr>
          <w:sz w:val="20"/>
          <w:szCs w:val="20"/>
          <w:color w:val="auto"/>
        </w:rPr>
      </w:pPr>
      <w:r>
        <w:rPr>
          <w:rFonts w:ascii="Arial" w:cs="Arial" w:eastAsia="Arial" w:hAnsi="Arial"/>
          <w:sz w:val="18"/>
          <w:szCs w:val="18"/>
          <w:color w:val="auto"/>
        </w:rPr>
        <w:t>Under Delaware law, vacancies and newly created directorships may be filled by a majority of the directors then in office (even though less than a quorum) or by a sole remaining director unless (a) otherwise provided in the certificate of incorporation or by-laws of the corporation or (b) the certificate of incorporation directs that</w:t>
      </w:r>
    </w:p>
    <w:p>
      <w:pPr>
        <w:spacing w:after="0" w:line="200" w:lineRule="exact"/>
        <w:rPr>
          <w:sz w:val="20"/>
          <w:szCs w:val="20"/>
          <w:color w:val="auto"/>
        </w:rPr>
      </w:pPr>
    </w:p>
    <w:p>
      <w:pPr>
        <w:sectPr>
          <w:pgSz w:w="11900" w:h="16838" w:orient="portrait"/>
          <w:cols w:equalWidth="0" w:num="2">
            <w:col w:w="6220" w:space="220"/>
            <w:col w:w="3439"/>
          </w:cols>
          <w:pgMar w:left="580" w:top="131" w:right="1440" w:bottom="1440" w:gutter="0" w:footer="0" w:header="0"/>
          <w:type w:val="continuous"/>
        </w:sectPr>
      </w:pPr>
    </w:p>
    <w:p>
      <w:pPr>
        <w:spacing w:after="0" w:line="18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1" w:name="page22"/>
    <w:bookmarkEnd w:id="2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left="322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2034540</wp:posOffset>
            </wp:positionH>
            <wp:positionV relativeFrom="paragraph">
              <wp:posOffset>32385</wp:posOffset>
            </wp:positionV>
            <wp:extent cx="19202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7"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appointing each director must be voted</w:t>
      </w:r>
    </w:p>
    <w:p>
      <w:pPr>
        <w:spacing w:after="0" w:line="35"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on individually.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1260"/>
        <w:spacing w:after="0"/>
        <w:tabs>
          <w:tab w:leader="none" w:pos="3180" w:val="left"/>
        </w:tabs>
        <w:rPr>
          <w:sz w:val="20"/>
          <w:szCs w:val="20"/>
          <w:color w:val="auto"/>
        </w:rPr>
      </w:pPr>
      <w:r>
        <w:rPr>
          <w:rFonts w:ascii="Arial" w:cs="Arial" w:eastAsia="Arial" w:hAnsi="Arial"/>
          <w:sz w:val="18"/>
          <w:szCs w:val="18"/>
          <w:color w:val="auto"/>
        </w:rPr>
        <w:t>Annual General</w:t>
      </w:r>
      <w:r>
        <w:rPr>
          <w:sz w:val="20"/>
          <w:szCs w:val="20"/>
          <w:color w:val="auto"/>
        </w:rPr>
        <w:tab/>
      </w:r>
      <w:r>
        <w:rPr>
          <w:rFonts w:ascii="Arial" w:cs="Arial" w:eastAsia="Arial" w:hAnsi="Arial"/>
          <w:sz w:val="16"/>
          <w:szCs w:val="16"/>
          <w:color w:val="auto"/>
        </w:rPr>
        <w:t>Under the Companies Act 2006, a</w:t>
      </w:r>
    </w:p>
    <w:p>
      <w:pPr>
        <w:spacing w:after="0" w:line="23" w:lineRule="exact"/>
        <w:rPr>
          <w:sz w:val="20"/>
          <w:szCs w:val="20"/>
          <w:color w:val="auto"/>
        </w:rPr>
      </w:pPr>
    </w:p>
    <w:p>
      <w:pPr>
        <w:ind w:left="1260"/>
        <w:spacing w:after="0"/>
        <w:tabs>
          <w:tab w:leader="none" w:pos="3180" w:val="left"/>
        </w:tabs>
        <w:rPr>
          <w:sz w:val="20"/>
          <w:szCs w:val="20"/>
          <w:color w:val="auto"/>
        </w:rPr>
      </w:pPr>
      <w:r>
        <w:rPr>
          <w:rFonts w:ascii="Arial" w:cs="Arial" w:eastAsia="Arial" w:hAnsi="Arial"/>
          <w:sz w:val="18"/>
          <w:szCs w:val="18"/>
          <w:color w:val="auto"/>
        </w:rPr>
        <w:t>Meeting</w:t>
      </w:r>
      <w:r>
        <w:rPr>
          <w:sz w:val="20"/>
          <w:szCs w:val="20"/>
          <w:color w:val="auto"/>
        </w:rPr>
        <w:tab/>
      </w:r>
      <w:r>
        <w:rPr>
          <w:rFonts w:ascii="Arial" w:cs="Arial" w:eastAsia="Arial" w:hAnsi="Arial"/>
          <w:sz w:val="18"/>
          <w:szCs w:val="18"/>
          <w:color w:val="auto"/>
        </w:rPr>
        <w:t>public limited company must hold an</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annual general meeting in each six-</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month period following the company’s</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annual accounting reference date.</w:t>
      </w:r>
    </w:p>
    <w:p>
      <w:pPr>
        <w:spacing w:after="0" w:line="200" w:lineRule="exact"/>
        <w:rPr>
          <w:sz w:val="20"/>
          <w:szCs w:val="20"/>
          <w:color w:val="auto"/>
        </w:rPr>
      </w:pPr>
    </w:p>
    <w:p>
      <w:pPr>
        <w:spacing w:after="0" w:line="254" w:lineRule="exact"/>
        <w:rPr>
          <w:sz w:val="20"/>
          <w:szCs w:val="20"/>
          <w:color w:val="auto"/>
        </w:rPr>
      </w:pPr>
    </w:p>
    <w:p>
      <w:pPr>
        <w:ind w:left="1260"/>
        <w:spacing w:after="0"/>
        <w:tabs>
          <w:tab w:leader="none" w:pos="3180" w:val="left"/>
        </w:tabs>
        <w:rPr>
          <w:sz w:val="20"/>
          <w:szCs w:val="20"/>
          <w:color w:val="auto"/>
        </w:rPr>
      </w:pPr>
      <w:r>
        <w:rPr>
          <w:rFonts w:ascii="Arial" w:cs="Arial" w:eastAsia="Arial" w:hAnsi="Arial"/>
          <w:sz w:val="18"/>
          <w:szCs w:val="18"/>
          <w:color w:val="auto"/>
        </w:rPr>
        <w:t>General Meeting</w:t>
      </w:r>
      <w:r>
        <w:rPr>
          <w:sz w:val="20"/>
          <w:szCs w:val="20"/>
          <w:color w:val="auto"/>
        </w:rPr>
        <w:tab/>
      </w:r>
      <w:r>
        <w:rPr>
          <w:rFonts w:ascii="Arial" w:cs="Arial" w:eastAsia="Arial" w:hAnsi="Arial"/>
          <w:sz w:val="16"/>
          <w:szCs w:val="16"/>
          <w:color w:val="auto"/>
        </w:rPr>
        <w:t>Under the Companies Act 2006, a</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general meeting of the shareholders of</w:t>
      </w:r>
    </w:p>
    <w:p>
      <w:pPr>
        <w:spacing w:after="0" w:line="21"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a public limited company may be called</w:t>
      </w:r>
    </w:p>
    <w:p>
      <w:pPr>
        <w:spacing w:after="0" w:line="2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by the directors.</w:t>
      </w:r>
    </w:p>
    <w:p>
      <w:pPr>
        <w:spacing w:after="0" w:line="200" w:lineRule="exact"/>
        <w:rPr>
          <w:sz w:val="20"/>
          <w:szCs w:val="20"/>
          <w:color w:val="auto"/>
        </w:rPr>
      </w:pPr>
    </w:p>
    <w:p>
      <w:pPr>
        <w:spacing w:after="0" w:line="254"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Shareholders holding at least 5% of the</w:t>
      </w:r>
    </w:p>
    <w:p>
      <w:pPr>
        <w:spacing w:after="0" w:line="35"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paid-up capital of the company carrying</w:t>
      </w:r>
    </w:p>
    <w:p>
      <w:pPr>
        <w:spacing w:after="0" w:line="2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voting rights at general meetings</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(excluding nay paid up capital held as</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treasury shares) can require the</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directors to call a general meeting and,</w:t>
      </w:r>
    </w:p>
    <w:p>
      <w:pPr>
        <w:spacing w:after="0" w:line="2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if the directors fail to do so within a</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certain period, may themselves convene</w:t>
      </w:r>
    </w:p>
    <w:p>
      <w:pPr>
        <w:spacing w:after="0" w:line="32"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 general meeting.</w:t>
      </w:r>
    </w:p>
    <w:p>
      <w:pPr>
        <w:spacing w:after="0" w:line="22" w:lineRule="exact"/>
        <w:rPr>
          <w:sz w:val="20"/>
          <w:szCs w:val="20"/>
          <w:color w:val="auto"/>
        </w:rPr>
      </w:pPr>
    </w:p>
    <w:p>
      <w:pPr>
        <w:ind w:left="1260"/>
        <w:spacing w:after="0"/>
        <w:tabs>
          <w:tab w:leader="none" w:pos="3180" w:val="left"/>
        </w:tabs>
        <w:rPr>
          <w:sz w:val="20"/>
          <w:szCs w:val="20"/>
          <w:color w:val="auto"/>
        </w:rPr>
      </w:pPr>
      <w:r>
        <w:rPr>
          <w:rFonts w:ascii="Arial" w:cs="Arial" w:eastAsia="Arial" w:hAnsi="Arial"/>
          <w:sz w:val="18"/>
          <w:szCs w:val="18"/>
          <w:color w:val="auto"/>
        </w:rPr>
        <w:t>Notice of General</w:t>
      </w:r>
      <w:r>
        <w:rPr>
          <w:sz w:val="20"/>
          <w:szCs w:val="20"/>
          <w:color w:val="auto"/>
        </w:rPr>
        <w:tab/>
      </w:r>
      <w:r>
        <w:rPr>
          <w:rFonts w:ascii="Arial" w:cs="Arial" w:eastAsia="Arial" w:hAnsi="Arial"/>
          <w:sz w:val="17"/>
          <w:szCs w:val="17"/>
          <w:color w:val="auto"/>
        </w:rPr>
        <w:t>Under the Companies Act 2006,</w:t>
      </w:r>
    </w:p>
    <w:p>
      <w:pPr>
        <w:spacing w:after="0" w:line="12" w:lineRule="exact"/>
        <w:rPr>
          <w:sz w:val="20"/>
          <w:szCs w:val="20"/>
          <w:color w:val="auto"/>
        </w:rPr>
      </w:pPr>
    </w:p>
    <w:p>
      <w:pPr>
        <w:ind w:left="1260"/>
        <w:spacing w:after="0"/>
        <w:tabs>
          <w:tab w:leader="none" w:pos="3180" w:val="left"/>
        </w:tabs>
        <w:rPr>
          <w:sz w:val="20"/>
          <w:szCs w:val="20"/>
          <w:color w:val="auto"/>
        </w:rPr>
      </w:pPr>
      <w:r>
        <w:rPr>
          <w:rFonts w:ascii="Arial" w:cs="Arial" w:eastAsia="Arial" w:hAnsi="Arial"/>
          <w:sz w:val="17"/>
          <w:szCs w:val="17"/>
          <w:color w:val="auto"/>
        </w:rPr>
        <w:t>Meetings</w:t>
      </w:r>
      <w:r>
        <w:rPr>
          <w:sz w:val="20"/>
          <w:szCs w:val="20"/>
          <w:color w:val="auto"/>
        </w:rPr>
        <w:tab/>
      </w:r>
      <w:r>
        <w:rPr>
          <w:rFonts w:ascii="Arial" w:cs="Arial" w:eastAsia="Arial" w:hAnsi="Arial"/>
          <w:sz w:val="17"/>
          <w:szCs w:val="17"/>
          <w:color w:val="auto"/>
        </w:rPr>
        <w:t>21 clear days’ notice must be given for</w:t>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an annual general meeting and any</w:t>
      </w:r>
    </w:p>
    <w:p>
      <w:pPr>
        <w:ind w:left="3200"/>
        <w:spacing w:after="0" w:line="234" w:lineRule="auto"/>
        <w:rPr>
          <w:sz w:val="20"/>
          <w:szCs w:val="20"/>
          <w:color w:val="auto"/>
        </w:rPr>
      </w:pPr>
      <w:r>
        <w:rPr>
          <w:rFonts w:ascii="Arial" w:cs="Arial" w:eastAsia="Arial" w:hAnsi="Arial"/>
          <w:sz w:val="18"/>
          <w:szCs w:val="18"/>
          <w:color w:val="auto"/>
        </w:rPr>
        <w:t>resolutions to be proposed at the</w:t>
      </w:r>
    </w:p>
    <w:p>
      <w:pPr>
        <w:ind w:left="3200"/>
        <w:spacing w:after="0" w:line="235" w:lineRule="auto"/>
        <w:rPr>
          <w:sz w:val="20"/>
          <w:szCs w:val="20"/>
          <w:color w:val="auto"/>
        </w:rPr>
      </w:pPr>
      <w:r>
        <w:rPr>
          <w:rFonts w:ascii="Arial" w:cs="Arial" w:eastAsia="Arial" w:hAnsi="Arial"/>
          <w:sz w:val="18"/>
          <w:szCs w:val="18"/>
          <w:color w:val="auto"/>
        </w:rPr>
        <w:t>meeting. Subject to a company’s</w:t>
      </w:r>
    </w:p>
    <w:p>
      <w:pPr>
        <w:ind w:left="3200"/>
        <w:spacing w:after="0" w:line="235" w:lineRule="auto"/>
        <w:rPr>
          <w:sz w:val="20"/>
          <w:szCs w:val="20"/>
          <w:color w:val="auto"/>
        </w:rPr>
      </w:pPr>
      <w:r>
        <w:rPr>
          <w:rFonts w:ascii="Arial" w:cs="Arial" w:eastAsia="Arial" w:hAnsi="Arial"/>
          <w:sz w:val="18"/>
          <w:szCs w:val="18"/>
          <w:color w:val="auto"/>
        </w:rPr>
        <w:t>articles of association providing for a</w:t>
      </w:r>
    </w:p>
    <w:p>
      <w:pPr>
        <w:ind w:left="3200"/>
        <w:spacing w:after="0" w:line="235" w:lineRule="auto"/>
        <w:rPr>
          <w:sz w:val="20"/>
          <w:szCs w:val="20"/>
          <w:color w:val="auto"/>
        </w:rPr>
      </w:pPr>
      <w:r>
        <w:rPr>
          <w:rFonts w:ascii="Arial" w:cs="Arial" w:eastAsia="Arial" w:hAnsi="Arial"/>
          <w:sz w:val="18"/>
          <w:szCs w:val="18"/>
          <w:color w:val="auto"/>
        </w:rPr>
        <w:t>longer period, at least 14 clear days’</w:t>
      </w:r>
    </w:p>
    <w:p>
      <w:pPr>
        <w:ind w:left="3200"/>
        <w:spacing w:after="0"/>
        <w:rPr>
          <w:sz w:val="20"/>
          <w:szCs w:val="20"/>
          <w:color w:val="auto"/>
        </w:rPr>
      </w:pPr>
      <w:r>
        <w:rPr>
          <w:rFonts w:ascii="Arial" w:cs="Arial" w:eastAsia="Arial" w:hAnsi="Arial"/>
          <w:sz w:val="17"/>
          <w:szCs w:val="17"/>
          <w:color w:val="auto"/>
        </w:rPr>
        <w:t>notice is required for any other general</w:t>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meeting. In addition, certain matters,</w:t>
      </w:r>
    </w:p>
    <w:p>
      <w:pPr>
        <w:ind w:left="3200"/>
        <w:spacing w:after="0" w:line="234" w:lineRule="auto"/>
        <w:rPr>
          <w:sz w:val="20"/>
          <w:szCs w:val="20"/>
          <w:color w:val="auto"/>
        </w:rPr>
      </w:pPr>
      <w:r>
        <w:rPr>
          <w:rFonts w:ascii="Arial" w:cs="Arial" w:eastAsia="Arial" w:hAnsi="Arial"/>
          <w:sz w:val="18"/>
          <w:szCs w:val="18"/>
          <w:color w:val="auto"/>
        </w:rPr>
        <w:t>such as the removal of directors or</w:t>
      </w:r>
    </w:p>
    <w:p>
      <w:pPr>
        <w:ind w:left="3200"/>
        <w:spacing w:after="0" w:line="235" w:lineRule="auto"/>
        <w:rPr>
          <w:sz w:val="20"/>
          <w:szCs w:val="20"/>
          <w:color w:val="auto"/>
        </w:rPr>
      </w:pPr>
      <w:r>
        <w:rPr>
          <w:rFonts w:ascii="Arial" w:cs="Arial" w:eastAsia="Arial" w:hAnsi="Arial"/>
          <w:sz w:val="18"/>
          <w:szCs w:val="18"/>
          <w:color w:val="auto"/>
        </w:rPr>
        <w:t>auditors, require special notice, which</w:t>
      </w:r>
    </w:p>
    <w:p>
      <w:pPr>
        <w:ind w:left="3200"/>
        <w:spacing w:after="0" w:line="235" w:lineRule="auto"/>
        <w:rPr>
          <w:sz w:val="20"/>
          <w:szCs w:val="20"/>
          <w:color w:val="auto"/>
        </w:rPr>
      </w:pPr>
      <w:r>
        <w:rPr>
          <w:rFonts w:ascii="Arial" w:cs="Arial" w:eastAsia="Arial" w:hAnsi="Arial"/>
          <w:sz w:val="18"/>
          <w:szCs w:val="18"/>
          <w:color w:val="auto"/>
        </w:rPr>
        <w:t>is 28 clear days’ notice. The</w:t>
      </w:r>
    </w:p>
    <w:p>
      <w:pPr>
        <w:ind w:left="3200"/>
        <w:spacing w:after="0" w:line="235" w:lineRule="auto"/>
        <w:rPr>
          <w:sz w:val="20"/>
          <w:szCs w:val="20"/>
          <w:color w:val="auto"/>
        </w:rPr>
      </w:pPr>
      <w:r>
        <w:rPr>
          <w:rFonts w:ascii="Arial" w:cs="Arial" w:eastAsia="Arial" w:hAnsi="Arial"/>
          <w:sz w:val="18"/>
          <w:szCs w:val="18"/>
          <w:color w:val="auto"/>
        </w:rPr>
        <w:t>shareholders of a company may in all</w:t>
      </w:r>
    </w:p>
    <w:p>
      <w:pPr>
        <w:ind w:left="3200"/>
        <w:spacing w:after="0"/>
        <w:rPr>
          <w:sz w:val="20"/>
          <w:szCs w:val="20"/>
          <w:color w:val="auto"/>
        </w:rPr>
      </w:pPr>
      <w:r>
        <w:rPr>
          <w:rFonts w:ascii="Arial" w:cs="Arial" w:eastAsia="Arial" w:hAnsi="Arial"/>
          <w:sz w:val="16"/>
          <w:szCs w:val="16"/>
          <w:color w:val="auto"/>
        </w:rPr>
        <w:t>cases consent to a shorter notice period,</w:t>
      </w:r>
    </w:p>
    <w:p>
      <w:pPr>
        <w:spacing w:after="0" w:line="19"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the proportion of shareholders’ consent</w:t>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required being 100% of those entitled</w:t>
      </w:r>
    </w:p>
    <w:p>
      <w:pPr>
        <w:ind w:left="3200"/>
        <w:spacing w:after="0" w:line="234" w:lineRule="auto"/>
        <w:rPr>
          <w:sz w:val="20"/>
          <w:szCs w:val="20"/>
          <w:color w:val="auto"/>
        </w:rPr>
      </w:pPr>
      <w:r>
        <w:rPr>
          <w:rFonts w:ascii="Arial" w:cs="Arial" w:eastAsia="Arial" w:hAnsi="Arial"/>
          <w:sz w:val="18"/>
          <w:szCs w:val="18"/>
          <w:color w:val="auto"/>
        </w:rPr>
        <w:t>to attend and vote in the case of an</w:t>
      </w:r>
    </w:p>
    <w:p>
      <w:pPr>
        <w:spacing w:after="0" w:line="1"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annual general meeting and, in the case</w:t>
      </w:r>
    </w:p>
    <w:p>
      <w:pPr>
        <w:spacing w:after="0" w:line="14"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of any other general meeting, a</w:t>
      </w:r>
    </w:p>
    <w:p>
      <w:pPr>
        <w:ind w:left="3200"/>
        <w:spacing w:after="0" w:line="234" w:lineRule="auto"/>
        <w:rPr>
          <w:sz w:val="20"/>
          <w:szCs w:val="20"/>
          <w:color w:val="auto"/>
        </w:rPr>
      </w:pPr>
      <w:r>
        <w:rPr>
          <w:rFonts w:ascii="Arial" w:cs="Arial" w:eastAsia="Arial" w:hAnsi="Arial"/>
          <w:sz w:val="18"/>
          <w:szCs w:val="18"/>
          <w:color w:val="auto"/>
        </w:rPr>
        <w:t>majority in number of the members</w:t>
      </w:r>
    </w:p>
    <w:p>
      <w:pPr>
        <w:spacing w:after="0" w:line="1"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having a right to attend and vote at the</w:t>
      </w:r>
    </w:p>
    <w:p>
      <w:pPr>
        <w:spacing w:after="0" w:line="7"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meeting, being a majority who together</w:t>
      </w:r>
    </w:p>
    <w:p>
      <w:pPr>
        <w:spacing w:after="0" w:line="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hold not less than 95% in nominal</w:t>
      </w:r>
    </w:p>
    <w:p>
      <w:pPr>
        <w:ind w:left="3200"/>
        <w:spacing w:after="0" w:line="234" w:lineRule="auto"/>
        <w:rPr>
          <w:sz w:val="20"/>
          <w:szCs w:val="20"/>
          <w:color w:val="auto"/>
        </w:rPr>
      </w:pPr>
      <w:r>
        <w:rPr>
          <w:rFonts w:ascii="Arial" w:cs="Arial" w:eastAsia="Arial" w:hAnsi="Arial"/>
          <w:sz w:val="18"/>
          <w:szCs w:val="18"/>
          <w:color w:val="auto"/>
        </w:rPr>
        <w:t>value of the shares giving a right to</w:t>
      </w:r>
    </w:p>
    <w:p>
      <w:pPr>
        <w:spacing w:after="0" w:line="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attend and vote at the meeting.</w:t>
      </w:r>
    </w:p>
    <w:p>
      <w:pPr>
        <w:spacing w:after="0" w:line="37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192024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7" w:lineRule="exact"/>
        <w:rPr>
          <w:sz w:val="20"/>
          <w:szCs w:val="20"/>
          <w:color w:val="auto"/>
        </w:rPr>
      </w:pPr>
    </w:p>
    <w:p>
      <w:pPr>
        <w:ind w:right="519"/>
        <w:spacing w:after="0" w:line="255" w:lineRule="auto"/>
        <w:rPr>
          <w:sz w:val="20"/>
          <w:szCs w:val="20"/>
          <w:color w:val="auto"/>
        </w:rPr>
      </w:pPr>
      <w:r>
        <w:rPr>
          <w:rFonts w:ascii="Arial" w:cs="Arial" w:eastAsia="Arial" w:hAnsi="Arial"/>
          <w:sz w:val="18"/>
          <w:szCs w:val="18"/>
          <w:color w:val="auto"/>
        </w:rPr>
        <w:t>a particular class of stock is to elect such director, in which case a majority of the other directors elected by such class, or a sole remaining director elected by such class, will fill such vacancy.</w:t>
      </w:r>
    </w:p>
    <w:p>
      <w:pPr>
        <w:spacing w:after="0" w:line="3" w:lineRule="exact"/>
        <w:rPr>
          <w:sz w:val="20"/>
          <w:szCs w:val="20"/>
          <w:color w:val="auto"/>
        </w:rPr>
      </w:pPr>
    </w:p>
    <w:p>
      <w:pPr>
        <w:ind w:right="439"/>
        <w:spacing w:after="0" w:line="254" w:lineRule="auto"/>
        <w:rPr>
          <w:sz w:val="20"/>
          <w:szCs w:val="20"/>
          <w:color w:val="auto"/>
        </w:rPr>
      </w:pPr>
      <w:r>
        <w:rPr>
          <w:rFonts w:ascii="Arial" w:cs="Arial" w:eastAsia="Arial" w:hAnsi="Arial"/>
          <w:sz w:val="18"/>
          <w:szCs w:val="18"/>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6" w:lineRule="exact"/>
        <w:rPr>
          <w:sz w:val="20"/>
          <w:szCs w:val="20"/>
          <w:color w:val="auto"/>
        </w:rPr>
      </w:pPr>
    </w:p>
    <w:p>
      <w:pPr>
        <w:ind w:right="439"/>
        <w:spacing w:after="0" w:line="255" w:lineRule="auto"/>
        <w:rPr>
          <w:sz w:val="20"/>
          <w:szCs w:val="20"/>
          <w:color w:val="auto"/>
        </w:rPr>
      </w:pPr>
      <w:r>
        <w:rPr>
          <w:rFonts w:ascii="Arial" w:cs="Arial" w:eastAsia="Arial" w:hAnsi="Arial"/>
          <w:sz w:val="18"/>
          <w:szCs w:val="18"/>
          <w:color w:val="auto"/>
        </w:rPr>
        <w:t>Under Delaware law, special meetings of the stockholders may be called by the board of directors or by such person or persons as may be authorized by the certificate of incorporation or by the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499"/>
        <w:spacing w:after="0" w:line="269" w:lineRule="auto"/>
        <w:rPr>
          <w:sz w:val="20"/>
          <w:szCs w:val="20"/>
          <w:color w:val="auto"/>
        </w:rPr>
      </w:pPr>
      <w:r>
        <w:rPr>
          <w:rFonts w:ascii="Arial" w:cs="Arial" w:eastAsia="Arial" w:hAnsi="Arial"/>
          <w:sz w:val="17"/>
          <w:szCs w:val="17"/>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ectPr>
          <w:pgSz w:w="11900" w:h="16838" w:orient="portrait"/>
          <w:cols w:equalWidth="0" w:num="2">
            <w:col w:w="6220" w:space="220"/>
            <w:col w:w="3439"/>
          </w:cols>
          <w:pgMar w:left="580" w:top="131" w:right="1440" w:bottom="1440" w:gutter="0" w:footer="0" w:header="0"/>
        </w:sectPr>
      </w:pPr>
    </w:p>
    <w:bookmarkStart w:id="22" w:name="page23"/>
    <w:bookmarkEnd w:id="2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3020" w:type="dxa"/>
            <w:vAlign w:val="bottom"/>
          </w:tcPr>
          <w:p>
            <w:pPr>
              <w:ind w:left="940"/>
              <w:spacing w:after="0"/>
              <w:rPr>
                <w:sz w:val="20"/>
                <w:szCs w:val="20"/>
                <w:color w:val="auto"/>
              </w:rPr>
            </w:pPr>
            <w:r>
              <w:rPr>
                <w:rFonts w:ascii="Arial" w:cs="Arial" w:eastAsia="Arial" w:hAnsi="Arial"/>
                <w:sz w:val="14"/>
                <w:szCs w:val="14"/>
                <w:b w:val="1"/>
                <w:bCs w:val="1"/>
                <w:color w:val="auto"/>
              </w:rPr>
              <w:t>England and Wales</w:t>
            </w:r>
          </w:p>
        </w:tc>
      </w:tr>
      <w:tr>
        <w:trPr>
          <w:trHeight w:val="26"/>
        </w:trPr>
        <w:tc>
          <w:tcPr>
            <w:tcW w:w="194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22"/>
        </w:trPr>
        <w:tc>
          <w:tcPr>
            <w:tcW w:w="1940" w:type="dxa"/>
            <w:vAlign w:val="bottom"/>
          </w:tcPr>
          <w:p>
            <w:pPr>
              <w:spacing w:after="0"/>
              <w:rPr>
                <w:sz w:val="20"/>
                <w:szCs w:val="20"/>
                <w:color w:val="auto"/>
              </w:rPr>
            </w:pPr>
            <w:r>
              <w:rPr>
                <w:rFonts w:ascii="Arial" w:cs="Arial" w:eastAsia="Arial" w:hAnsi="Arial"/>
                <w:sz w:val="18"/>
                <w:szCs w:val="18"/>
                <w:color w:val="auto"/>
              </w:rPr>
              <w:t>Proxy</w:t>
            </w:r>
          </w:p>
        </w:tc>
        <w:tc>
          <w:tcPr>
            <w:tcW w:w="3020" w:type="dxa"/>
            <w:vAlign w:val="bottom"/>
          </w:tcPr>
          <w:p>
            <w:pPr>
              <w:spacing w:after="0"/>
              <w:rPr>
                <w:sz w:val="20"/>
                <w:szCs w:val="20"/>
                <w:color w:val="auto"/>
              </w:rPr>
            </w:pPr>
            <w:r>
              <w:rPr>
                <w:rFonts w:ascii="Arial" w:cs="Arial" w:eastAsia="Arial" w:hAnsi="Arial"/>
                <w:sz w:val="18"/>
                <w:szCs w:val="18"/>
                <w:color w:val="auto"/>
                <w:w w:val="96"/>
              </w:rPr>
              <w:t>Under the Companies Act 2006, at any</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5"/>
              </w:rPr>
              <w:t>meeting of shareholders, a shareholder</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2"/>
              </w:rPr>
              <w:t>may designate another person to attend,</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7"/>
              </w:rPr>
              <w:t>speak and vote at the meeting on their</w:t>
            </w:r>
          </w:p>
        </w:tc>
      </w:tr>
      <w:tr>
        <w:trPr>
          <w:trHeight w:val="230"/>
        </w:trPr>
        <w:tc>
          <w:tcPr>
            <w:tcW w:w="19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behalf by proxy.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260"/>
        <w:spacing w:after="0"/>
        <w:tabs>
          <w:tab w:leader="none" w:pos="3180" w:val="left"/>
        </w:tabs>
        <w:rPr>
          <w:sz w:val="20"/>
          <w:szCs w:val="20"/>
          <w:color w:val="auto"/>
        </w:rPr>
      </w:pPr>
      <w:r>
        <w:rPr>
          <w:rFonts w:ascii="Arial" w:cs="Arial" w:eastAsia="Arial" w:hAnsi="Arial"/>
          <w:sz w:val="18"/>
          <w:szCs w:val="18"/>
          <w:color w:val="auto"/>
        </w:rPr>
        <w:t>Pre-emptive Rights</w:t>
      </w:r>
      <w:r>
        <w:rPr>
          <w:sz w:val="20"/>
          <w:szCs w:val="20"/>
          <w:color w:val="auto"/>
        </w:rPr>
        <w:tab/>
      </w:r>
      <w:r>
        <w:rPr>
          <w:rFonts w:ascii="Arial" w:cs="Arial" w:eastAsia="Arial" w:hAnsi="Arial"/>
          <w:sz w:val="17"/>
          <w:szCs w:val="17"/>
          <w:color w:val="auto"/>
        </w:rPr>
        <w:t>Under the Companies Act 2006,</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“equity securities”, being (i) shares in</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the company other than shares that,</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with respect to dividends and capital,</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carry a right to participate only up to a</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specified amount in a distribution</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(“ordinary shares”) or (ii) rights to</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subscribe for, or to convert securities</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into, ordinary shares, proposed to be</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allotted for cash must be offered first to</w:t>
      </w:r>
    </w:p>
    <w:p>
      <w:pPr>
        <w:spacing w:after="0" w:line="21"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the existing equity shareholders in the</w:t>
      </w:r>
    </w:p>
    <w:p>
      <w:pPr>
        <w:spacing w:after="0" w:line="21"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company in proportion to the respective</w:t>
      </w:r>
    </w:p>
    <w:p>
      <w:pPr>
        <w:spacing w:after="0" w:line="21"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nominal value of their holdings, unless</w:t>
      </w:r>
    </w:p>
    <w:p>
      <w:pPr>
        <w:spacing w:after="0" w:line="2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an exception applies or a special</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resolution to the contrary has been</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passed by shareholders in a general</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meeting or the articles of association</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provide otherwise in each case in</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accordance with the provisions of the</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Companies Act 2006.</w:t>
      </w:r>
    </w:p>
    <w:p>
      <w:pPr>
        <w:spacing w:after="0" w:line="22" w:lineRule="exact"/>
        <w:rPr>
          <w:sz w:val="20"/>
          <w:szCs w:val="20"/>
          <w:color w:val="auto"/>
        </w:rPr>
      </w:pPr>
    </w:p>
    <w:p>
      <w:pPr>
        <w:ind w:left="1260"/>
        <w:spacing w:after="0"/>
        <w:tabs>
          <w:tab w:leader="none" w:pos="3180" w:val="left"/>
        </w:tabs>
        <w:rPr>
          <w:sz w:val="20"/>
          <w:szCs w:val="20"/>
          <w:color w:val="auto"/>
        </w:rPr>
      </w:pPr>
      <w:r>
        <w:rPr>
          <w:rFonts w:ascii="Arial" w:cs="Arial" w:eastAsia="Arial" w:hAnsi="Arial"/>
          <w:sz w:val="18"/>
          <w:szCs w:val="18"/>
          <w:color w:val="auto"/>
        </w:rPr>
        <w:t>Authority to Allot</w:t>
      </w:r>
      <w:r>
        <w:rPr>
          <w:sz w:val="20"/>
          <w:szCs w:val="20"/>
          <w:color w:val="auto"/>
        </w:rPr>
        <w:tab/>
      </w:r>
      <w:r>
        <w:rPr>
          <w:rFonts w:ascii="Arial" w:cs="Arial" w:eastAsia="Arial" w:hAnsi="Arial"/>
          <w:sz w:val="16"/>
          <w:szCs w:val="16"/>
          <w:color w:val="auto"/>
        </w:rPr>
        <w:t>Under the Companies Act 2006, the</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directors of a company must not allot</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shares or grant of rights to subscribe for</w:t>
      </w:r>
    </w:p>
    <w:p>
      <w:pPr>
        <w:spacing w:after="0" w:line="2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or to convert any security into shares</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unless an exception applies or an</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ordinary resolution to the contrary has</w:t>
      </w:r>
    </w:p>
    <w:p>
      <w:pPr>
        <w:spacing w:after="0" w:line="2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been passed by shareholders in a</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general meeting or the articles of</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association provide otherwise in each</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case in accordance with the provisions</w:t>
      </w:r>
    </w:p>
    <w:p>
      <w:pPr>
        <w:spacing w:after="0" w:line="2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of the Companies Act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60"/>
        <w:spacing w:after="0"/>
        <w:tabs>
          <w:tab w:leader="none" w:pos="3180" w:val="left"/>
        </w:tabs>
        <w:rPr>
          <w:sz w:val="20"/>
          <w:szCs w:val="20"/>
          <w:color w:val="auto"/>
        </w:rPr>
      </w:pPr>
      <w:r>
        <w:rPr>
          <w:rFonts w:ascii="Arial" w:cs="Arial" w:eastAsia="Arial" w:hAnsi="Arial"/>
          <w:sz w:val="18"/>
          <w:szCs w:val="18"/>
          <w:color w:val="auto"/>
        </w:rPr>
        <w:t>Liability of Directors</w:t>
      </w:r>
      <w:r>
        <w:rPr>
          <w:sz w:val="20"/>
          <w:szCs w:val="20"/>
          <w:color w:val="auto"/>
        </w:rPr>
        <w:tab/>
      </w:r>
      <w:r>
        <w:rPr>
          <w:rFonts w:ascii="Arial" w:cs="Arial" w:eastAsia="Arial" w:hAnsi="Arial"/>
          <w:sz w:val="16"/>
          <w:szCs w:val="16"/>
          <w:color w:val="auto"/>
        </w:rPr>
        <w:t>Under the Companies Act 2006, any</w:t>
      </w:r>
    </w:p>
    <w:p>
      <w:pPr>
        <w:spacing w:after="0" w:line="23" w:lineRule="exact"/>
        <w:rPr>
          <w:sz w:val="20"/>
          <w:szCs w:val="20"/>
          <w:color w:val="auto"/>
        </w:rPr>
      </w:pPr>
    </w:p>
    <w:p>
      <w:pPr>
        <w:ind w:left="1260"/>
        <w:spacing w:after="0"/>
        <w:tabs>
          <w:tab w:leader="none" w:pos="3180" w:val="left"/>
        </w:tabs>
        <w:rPr>
          <w:sz w:val="20"/>
          <w:szCs w:val="20"/>
          <w:color w:val="auto"/>
        </w:rPr>
      </w:pPr>
      <w:r>
        <w:rPr>
          <w:rFonts w:ascii="Arial" w:cs="Arial" w:eastAsia="Arial" w:hAnsi="Arial"/>
          <w:sz w:val="18"/>
          <w:szCs w:val="18"/>
          <w:color w:val="auto"/>
        </w:rPr>
        <w:t>and Officers</w:t>
      </w:r>
      <w:r>
        <w:rPr>
          <w:sz w:val="20"/>
          <w:szCs w:val="20"/>
          <w:color w:val="auto"/>
        </w:rPr>
        <w:tab/>
      </w:r>
      <w:r>
        <w:rPr>
          <w:rFonts w:ascii="Arial" w:cs="Arial" w:eastAsia="Arial" w:hAnsi="Arial"/>
          <w:sz w:val="17"/>
          <w:szCs w:val="17"/>
          <w:color w:val="auto"/>
        </w:rPr>
        <w:t>provision, whether contained in a</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company’s articles of association or</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any contract or otherwise, that purports</w:t>
      </w:r>
    </w:p>
    <w:p>
      <w:pPr>
        <w:spacing w:after="0" w:line="2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to exempt a director of a company, to</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any extent, from any</w:t>
      </w:r>
    </w:p>
    <w:p>
      <w:pPr>
        <w:spacing w:after="0" w:line="38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19202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7" w:lineRule="exact"/>
        <w:rPr>
          <w:sz w:val="20"/>
          <w:szCs w:val="20"/>
          <w:color w:val="auto"/>
        </w:rPr>
      </w:pPr>
    </w:p>
    <w:p>
      <w:pPr>
        <w:ind w:right="439"/>
        <w:spacing w:after="0" w:line="269" w:lineRule="auto"/>
        <w:rPr>
          <w:sz w:val="20"/>
          <w:szCs w:val="20"/>
          <w:color w:val="auto"/>
        </w:rPr>
      </w:pPr>
      <w:r>
        <w:rPr>
          <w:rFonts w:ascii="Arial" w:cs="Arial" w:eastAsia="Arial" w:hAnsi="Arial"/>
          <w:sz w:val="17"/>
          <w:szCs w:val="17"/>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 Under Delaware law, shareholders have no preemptive rights to subscribe to additional issues of stock or to any security convertible into such stock unless, and except to the extent that, such rights are expressly provided for in the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right="459"/>
        <w:spacing w:after="0" w:line="252" w:lineRule="auto"/>
        <w:rPr>
          <w:sz w:val="20"/>
          <w:szCs w:val="20"/>
          <w:color w:val="auto"/>
        </w:rPr>
      </w:pPr>
      <w:r>
        <w:rPr>
          <w:rFonts w:ascii="Arial" w:cs="Arial" w:eastAsia="Arial" w:hAnsi="Arial"/>
          <w:sz w:val="18"/>
          <w:szCs w:val="18"/>
          <w:color w:val="auto"/>
        </w:rPr>
        <w:t>Under Delaware law, if the corporation’s charter or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6" w:lineRule="exact"/>
        <w:rPr>
          <w:sz w:val="20"/>
          <w:szCs w:val="20"/>
          <w:color w:val="auto"/>
        </w:rPr>
      </w:pPr>
    </w:p>
    <w:p>
      <w:pPr>
        <w:ind w:right="439"/>
        <w:spacing w:after="0" w:line="273" w:lineRule="auto"/>
        <w:rPr>
          <w:sz w:val="20"/>
          <w:szCs w:val="20"/>
          <w:color w:val="auto"/>
        </w:rPr>
      </w:pPr>
      <w:r>
        <w:rPr>
          <w:rFonts w:ascii="Arial" w:cs="Arial" w:eastAsia="Arial" w:hAnsi="Arial"/>
          <w:sz w:val="17"/>
          <w:szCs w:val="17"/>
          <w:color w:val="auto"/>
        </w:rPr>
        <w:t>Under Delaware law, a corporation’s certificate of incorporation may include a provision eliminating or limiting the personal liability of a director to the corporation and its stockholders for damages arising from</w:t>
      </w:r>
    </w:p>
    <w:p>
      <w:pPr>
        <w:sectPr>
          <w:pgSz w:w="11900" w:h="16838" w:orient="portrait"/>
          <w:cols w:equalWidth="0" w:num="2">
            <w:col w:w="6220" w:space="220"/>
            <w:col w:w="3439"/>
          </w:cols>
          <w:pgMar w:left="580" w:top="131" w:right="1440" w:bottom="1440" w:gutter="0" w:footer="0" w:header="0"/>
        </w:sectPr>
      </w:pPr>
    </w:p>
    <w:bookmarkStart w:id="23" w:name="page24"/>
    <w:bookmarkEnd w:id="2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3020" w:type="dxa"/>
            <w:vAlign w:val="bottom"/>
          </w:tcPr>
          <w:p>
            <w:pPr>
              <w:ind w:left="940"/>
              <w:spacing w:after="0"/>
              <w:rPr>
                <w:sz w:val="20"/>
                <w:szCs w:val="20"/>
                <w:color w:val="auto"/>
              </w:rPr>
            </w:pPr>
            <w:r>
              <w:rPr>
                <w:rFonts w:ascii="Arial" w:cs="Arial" w:eastAsia="Arial" w:hAnsi="Arial"/>
                <w:sz w:val="14"/>
                <w:szCs w:val="14"/>
                <w:b w:val="1"/>
                <w:bCs w:val="1"/>
                <w:color w:val="auto"/>
              </w:rPr>
              <w:t>England and Wales</w:t>
            </w:r>
          </w:p>
        </w:tc>
      </w:tr>
      <w:tr>
        <w:trPr>
          <w:trHeight w:val="26"/>
        </w:trPr>
        <w:tc>
          <w:tcPr>
            <w:tcW w:w="194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22"/>
        </w:trPr>
        <w:tc>
          <w:tcPr>
            <w:tcW w:w="194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liability that would otherwise attach to</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7"/>
              </w:rPr>
              <w:t>him in connection with any negligence,</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default, breach of duty or breach of</w:t>
            </w:r>
          </w:p>
        </w:tc>
      </w:tr>
      <w:tr>
        <w:trPr>
          <w:trHeight w:val="230"/>
        </w:trPr>
        <w:tc>
          <w:tcPr>
            <w:tcW w:w="19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7"/>
              </w:rPr>
              <w:t>trust in relation to the company is void.</w:t>
            </w:r>
          </w:p>
        </w:tc>
      </w:tr>
      <w:tr>
        <w:trPr>
          <w:trHeight w:val="229"/>
        </w:trPr>
        <w:tc>
          <w:tcPr>
            <w:tcW w:w="194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Any provision by which a company</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directly or indirectly provides an</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9"/>
              </w:rPr>
              <w:t>indemnity, to any extent, for a director</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of the company or of an associated</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7"/>
              </w:rPr>
              <w:t>company against any liability attaching</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to him in connection with any</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negligence, default, breach of duty or</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breach of trust in relation to the</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company of which he is a director is</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also void except as permitted by the</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Companies Act 2006, which provides</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exceptions for the company to</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 purchase and maintain insurance</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against such liability; (b) provide a</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“qualifying third party indemnity”</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(being an indemnity against liability</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incurred by the director to a person</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other than the company or an</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associated company or criminal</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8"/>
              </w:rPr>
              <w:t>proceedings in which he is convicted);</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and (c) provide a “qualifying pension</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5"/>
              </w:rPr>
              <w:t>scheme indemnity” (being an indemnity</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against liability incurred in connection</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6"/>
              </w:rPr>
              <w:t>with the company’s activities as trustee</w:t>
            </w:r>
          </w:p>
        </w:tc>
      </w:tr>
      <w:tr>
        <w:trPr>
          <w:trHeight w:val="230"/>
        </w:trPr>
        <w:tc>
          <w:tcPr>
            <w:tcW w:w="19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of an occupational pension plan).</w:t>
            </w:r>
          </w:p>
        </w:tc>
      </w:tr>
      <w:tr>
        <w:trPr>
          <w:trHeight w:val="269"/>
        </w:trPr>
        <w:tc>
          <w:tcPr>
            <w:tcW w:w="1940" w:type="dxa"/>
            <w:vAlign w:val="bottom"/>
          </w:tcPr>
          <w:p>
            <w:pPr>
              <w:spacing w:after="0"/>
              <w:rPr>
                <w:sz w:val="20"/>
                <w:szCs w:val="20"/>
                <w:color w:val="auto"/>
              </w:rPr>
            </w:pPr>
            <w:r>
              <w:rPr>
                <w:rFonts w:ascii="Arial" w:cs="Arial" w:eastAsia="Arial" w:hAnsi="Arial"/>
                <w:sz w:val="18"/>
                <w:szCs w:val="18"/>
                <w:color w:val="auto"/>
              </w:rPr>
              <w:t>Voting Rights</w:t>
            </w:r>
          </w:p>
        </w:tc>
        <w:tc>
          <w:tcPr>
            <w:tcW w:w="3020" w:type="dxa"/>
            <w:vAlign w:val="bottom"/>
          </w:tcPr>
          <w:p>
            <w:pPr>
              <w:spacing w:after="0"/>
              <w:rPr>
                <w:sz w:val="20"/>
                <w:szCs w:val="20"/>
                <w:color w:val="auto"/>
              </w:rPr>
            </w:pPr>
            <w:r>
              <w:rPr>
                <w:rFonts w:ascii="Arial" w:cs="Arial" w:eastAsia="Arial" w:hAnsi="Arial"/>
                <w:sz w:val="18"/>
                <w:szCs w:val="18"/>
                <w:color w:val="auto"/>
              </w:rPr>
              <w:t>Under English law, unless a poll is</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demanded by the shareholders of a</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4"/>
              </w:rPr>
              <w:t>company or is required by the chairman</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of the meeting or the company’s</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articles of association, shareholders</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8"/>
              </w:rPr>
              <w:t>shall vote on all resolutions on a show</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of hands. Under the Companies Act</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2006, a poll may be demanded by</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 not fewer than five shareholders</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having the right to vote on the</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resolution; (b) any shareholder(s)</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representing not less than 10% of the</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total voting rights of all the</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4"/>
              </w:rPr>
              <w:t>shareholders having the right to vote on</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the resolution (excluding any voting</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8"/>
              </w:rPr>
              <w:t>rights attaching to treasury shares); or</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4"/>
              </w:rPr>
              <w:t>(c) any shareholder(s) holding shares in</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9"/>
              </w:rPr>
              <w:t>the company conferring a right to vote</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7"/>
              </w:rPr>
              <w:t>on the resolution (excluding any voting</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rights attaching to treasury shares)</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being shares on which an aggregate</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5"/>
              </w:rPr>
              <w:t>sum has been paid up equal to not less</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than 10% of the total sum paid up on</w:t>
            </w:r>
          </w:p>
        </w:tc>
      </w:tr>
      <w:tr>
        <w:trPr>
          <w:trHeight w:val="230"/>
        </w:trPr>
        <w:tc>
          <w:tcPr>
            <w:tcW w:w="19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all the</w:t>
            </w:r>
          </w:p>
        </w:tc>
      </w:tr>
      <w:tr>
        <w:trPr>
          <w:trHeight w:val="607"/>
        </w:trPr>
        <w:tc>
          <w:tcPr>
            <w:tcW w:w="1940" w:type="dxa"/>
            <w:vAlign w:val="bottom"/>
          </w:tcPr>
          <w:p>
            <w:pPr>
              <w:spacing w:after="0"/>
              <w:rPr>
                <w:sz w:val="24"/>
                <w:szCs w:val="24"/>
                <w:color w:val="auto"/>
              </w:rPr>
            </w:pPr>
          </w:p>
        </w:tc>
        <w:tc>
          <w:tcPr>
            <w:tcW w:w="3020" w:type="dxa"/>
            <w:vAlign w:val="bottom"/>
          </w:tcPr>
          <w:p>
            <w:pPr>
              <w:ind w:left="2040"/>
              <w:spacing w:after="0"/>
              <w:rPr>
                <w:sz w:val="20"/>
                <w:szCs w:val="20"/>
                <w:color w:val="auto"/>
              </w:rPr>
            </w:pPr>
            <w:r>
              <w:rPr>
                <w:rFonts w:ascii="Arial" w:cs="Arial" w:eastAsia="Arial" w:hAnsi="Arial"/>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248920</wp:posOffset>
            </wp:positionV>
            <wp:extent cx="680656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19202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7" w:lineRule="exact"/>
        <w:rPr>
          <w:sz w:val="20"/>
          <w:szCs w:val="20"/>
          <w:color w:val="auto"/>
        </w:rPr>
      </w:pPr>
    </w:p>
    <w:p>
      <w:pPr>
        <w:ind w:right="479"/>
        <w:spacing w:after="0" w:line="263" w:lineRule="auto"/>
        <w:rPr>
          <w:sz w:val="20"/>
          <w:szCs w:val="20"/>
          <w:color w:val="auto"/>
        </w:rPr>
      </w:pPr>
      <w:r>
        <w:rPr>
          <w:rFonts w:ascii="Arial" w:cs="Arial" w:eastAsia="Arial" w:hAnsi="Arial"/>
          <w:sz w:val="18"/>
          <w:szCs w:val="18"/>
          <w:color w:val="auto"/>
        </w:rPr>
        <w:t>a breach of fiduciary duty as a director. However, no provision can limit the liability of a director for:</w:t>
      </w:r>
    </w:p>
    <w:p>
      <w:pPr>
        <w:spacing w:after="0" w:line="211" w:lineRule="exact"/>
        <w:rPr>
          <w:sz w:val="20"/>
          <w:szCs w:val="20"/>
          <w:color w:val="auto"/>
        </w:rPr>
      </w:pPr>
    </w:p>
    <w:p>
      <w:pPr>
        <w:ind w:right="779"/>
        <w:spacing w:after="0" w:line="263" w:lineRule="auto"/>
        <w:rPr>
          <w:sz w:val="20"/>
          <w:szCs w:val="20"/>
          <w:color w:val="auto"/>
        </w:rPr>
      </w:pPr>
      <w:r>
        <w:rPr>
          <w:rFonts w:ascii="Arial" w:cs="Arial" w:eastAsia="Arial" w:hAnsi="Arial"/>
          <w:sz w:val="18"/>
          <w:szCs w:val="18"/>
          <w:color w:val="auto"/>
        </w:rPr>
        <w:t>any breach of the director’s duty of loyalty to the corporation or its stockholders;</w:t>
      </w:r>
    </w:p>
    <w:p>
      <w:pPr>
        <w:spacing w:after="0" w:line="76" w:lineRule="exact"/>
        <w:rPr>
          <w:sz w:val="20"/>
          <w:szCs w:val="20"/>
          <w:color w:val="auto"/>
        </w:rPr>
      </w:pPr>
    </w:p>
    <w:p>
      <w:pPr>
        <w:ind w:right="439"/>
        <w:spacing w:after="0" w:line="263" w:lineRule="auto"/>
        <w:rPr>
          <w:sz w:val="20"/>
          <w:szCs w:val="20"/>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76" w:lineRule="exact"/>
        <w:rPr>
          <w:sz w:val="20"/>
          <w:szCs w:val="20"/>
          <w:color w:val="auto"/>
        </w:rPr>
      </w:pPr>
    </w:p>
    <w:p>
      <w:pPr>
        <w:ind w:right="539"/>
        <w:spacing w:after="0" w:line="263" w:lineRule="auto"/>
        <w:rPr>
          <w:sz w:val="20"/>
          <w:szCs w:val="20"/>
          <w:color w:val="auto"/>
        </w:rPr>
      </w:pPr>
      <w:r>
        <w:rPr>
          <w:rFonts w:ascii="Arial" w:cs="Arial" w:eastAsia="Arial" w:hAnsi="Arial"/>
          <w:sz w:val="18"/>
          <w:szCs w:val="18"/>
          <w:color w:val="auto"/>
        </w:rPr>
        <w:t>intentional or negligent payment of unlawful dividends or stock purchases or redemptions; or</w:t>
      </w:r>
    </w:p>
    <w:p>
      <w:pPr>
        <w:spacing w:after="0" w:line="76" w:lineRule="exact"/>
        <w:rPr>
          <w:sz w:val="20"/>
          <w:szCs w:val="20"/>
          <w:color w:val="auto"/>
        </w:rPr>
      </w:pPr>
    </w:p>
    <w:p>
      <w:pPr>
        <w:ind w:right="459"/>
        <w:spacing w:after="0" w:line="308" w:lineRule="auto"/>
        <w:rPr>
          <w:sz w:val="20"/>
          <w:szCs w:val="20"/>
          <w:color w:val="auto"/>
        </w:rPr>
      </w:pPr>
      <w:r>
        <w:rPr>
          <w:rFonts w:ascii="Arial" w:cs="Arial" w:eastAsia="Arial" w:hAnsi="Arial"/>
          <w:sz w:val="17"/>
          <w:szCs w:val="17"/>
          <w:color w:val="auto"/>
        </w:rPr>
        <w:t>any transaction from which the director derives an improper personal 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499"/>
        <w:spacing w:after="0" w:line="275" w:lineRule="auto"/>
        <w:rPr>
          <w:sz w:val="20"/>
          <w:szCs w:val="20"/>
          <w:color w:val="auto"/>
        </w:rPr>
      </w:pPr>
      <w:r>
        <w:rPr>
          <w:rFonts w:ascii="Arial" w:cs="Arial" w:eastAsia="Arial" w:hAnsi="Arial"/>
          <w:sz w:val="17"/>
          <w:szCs w:val="17"/>
          <w:color w:val="auto"/>
        </w:rPr>
        <w:t>Delaware law provides that, unless otherwise provided in the certificate of incorporation, each stockholder is entitled to one vote for each share of capital stock held by such stockholder.</w:t>
      </w:r>
    </w:p>
    <w:p>
      <w:pPr>
        <w:sectPr>
          <w:pgSz w:w="11900" w:h="16838" w:orient="portrait"/>
          <w:cols w:equalWidth="0" w:num="2">
            <w:col w:w="6220" w:space="220"/>
            <w:col w:w="3439"/>
          </w:cols>
          <w:pgMar w:left="580" w:top="131" w:right="1440" w:bottom="1440" w:gutter="0" w:footer="0" w:header="0"/>
        </w:sectPr>
      </w:pPr>
    </w:p>
    <w:bookmarkStart w:id="24" w:name="page25"/>
    <w:bookmarkEnd w:id="2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3020" w:type="dxa"/>
            <w:vAlign w:val="bottom"/>
          </w:tcPr>
          <w:p>
            <w:pPr>
              <w:ind w:left="940"/>
              <w:spacing w:after="0"/>
              <w:rPr>
                <w:sz w:val="20"/>
                <w:szCs w:val="20"/>
                <w:color w:val="auto"/>
              </w:rPr>
            </w:pPr>
            <w:r>
              <w:rPr>
                <w:rFonts w:ascii="Arial" w:cs="Arial" w:eastAsia="Arial" w:hAnsi="Arial"/>
                <w:sz w:val="14"/>
                <w:szCs w:val="14"/>
                <w:b w:val="1"/>
                <w:bCs w:val="1"/>
                <w:color w:val="auto"/>
              </w:rPr>
              <w:t>England and Wales</w:t>
            </w:r>
          </w:p>
        </w:tc>
      </w:tr>
      <w:tr>
        <w:trPr>
          <w:trHeight w:val="26"/>
        </w:trPr>
        <w:tc>
          <w:tcPr>
            <w:tcW w:w="194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22"/>
        </w:trPr>
        <w:tc>
          <w:tcPr>
            <w:tcW w:w="194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shares conferring that right. A</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9"/>
              </w:rPr>
              <w:t>company’s articles of association may</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provide more extensive rights for</w:t>
            </w:r>
          </w:p>
        </w:tc>
      </w:tr>
      <w:tr>
        <w:trPr>
          <w:trHeight w:val="230"/>
        </w:trPr>
        <w:tc>
          <w:tcPr>
            <w:tcW w:w="19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shareholders to call a poll.</w:t>
            </w:r>
          </w:p>
        </w:tc>
      </w:tr>
      <w:tr>
        <w:trPr>
          <w:trHeight w:val="229"/>
        </w:trPr>
        <w:tc>
          <w:tcPr>
            <w:tcW w:w="194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Under English law, an ordinary</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3"/>
              </w:rPr>
              <w:t>resolution is passed on a show of hands</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if it is approved by a simple majority</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(more than 50%) of the votes cast by</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shareholders present (in person or by</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proxy) and entitled to vote. If a poll is</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demanded, an ordinary resolution is</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passed if it is approved by holders</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representing a simple majority of the</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total voting rights of shareholders</w:t>
            </w:r>
          </w:p>
        </w:tc>
      </w:tr>
      <w:tr>
        <w:trPr>
          <w:trHeight w:val="230"/>
        </w:trPr>
        <w:tc>
          <w:tcPr>
            <w:tcW w:w="19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present, in person or by proxy,</w:t>
            </w:r>
          </w:p>
        </w:tc>
      </w:tr>
      <w:tr>
        <w:trPr>
          <w:trHeight w:val="229"/>
        </w:trPr>
        <w:tc>
          <w:tcPr>
            <w:tcW w:w="1940" w:type="dxa"/>
            <w:vAlign w:val="bottom"/>
          </w:tcPr>
          <w:p>
            <w:pPr>
              <w:spacing w:after="0"/>
              <w:rPr>
                <w:sz w:val="19"/>
                <w:szCs w:val="19"/>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7"/>
              </w:rPr>
              <w:t>who, being entitled to vote, vote on the</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9"/>
              </w:rPr>
              <w:t>resolution. Special resolutions require</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the affirmative vote of not less than</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8"/>
              </w:rPr>
              <w:t>75% of the votes cast by shareholders</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present, in person or by proxy, at the</w:t>
            </w:r>
          </w:p>
        </w:tc>
      </w:tr>
      <w:tr>
        <w:trPr>
          <w:trHeight w:val="230"/>
        </w:trPr>
        <w:tc>
          <w:tcPr>
            <w:tcW w:w="19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meeting.</w:t>
            </w:r>
          </w:p>
        </w:tc>
      </w:tr>
      <w:tr>
        <w:trPr>
          <w:trHeight w:val="229"/>
        </w:trPr>
        <w:tc>
          <w:tcPr>
            <w:tcW w:w="1940" w:type="dxa"/>
            <w:vAlign w:val="bottom"/>
          </w:tcPr>
          <w:p>
            <w:pPr>
              <w:spacing w:after="0"/>
              <w:rPr>
                <w:sz w:val="20"/>
                <w:szCs w:val="20"/>
                <w:color w:val="auto"/>
              </w:rPr>
            </w:pPr>
            <w:r>
              <w:rPr>
                <w:rFonts w:ascii="Arial" w:cs="Arial" w:eastAsia="Arial" w:hAnsi="Arial"/>
                <w:sz w:val="18"/>
                <w:szCs w:val="18"/>
                <w:color w:val="auto"/>
              </w:rPr>
              <w:t>Shareholder Vote on</w:t>
            </w:r>
          </w:p>
        </w:tc>
        <w:tc>
          <w:tcPr>
            <w:tcW w:w="3020" w:type="dxa"/>
            <w:vAlign w:val="bottom"/>
          </w:tcPr>
          <w:p>
            <w:pPr>
              <w:spacing w:after="0"/>
              <w:rPr>
                <w:sz w:val="20"/>
                <w:szCs w:val="20"/>
                <w:color w:val="auto"/>
              </w:rPr>
            </w:pPr>
            <w:r>
              <w:rPr>
                <w:rFonts w:ascii="Arial" w:cs="Arial" w:eastAsia="Arial" w:hAnsi="Arial"/>
                <w:sz w:val="18"/>
                <w:szCs w:val="18"/>
                <w:color w:val="auto"/>
                <w:w w:val="99"/>
              </w:rPr>
              <w:t>The Companies Act 2006 provides for</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Certain Transactions</w:t>
            </w:r>
          </w:p>
        </w:tc>
        <w:tc>
          <w:tcPr>
            <w:tcW w:w="3020" w:type="dxa"/>
            <w:vAlign w:val="bottom"/>
          </w:tcPr>
          <w:p>
            <w:pPr>
              <w:spacing w:after="0"/>
              <w:rPr>
                <w:sz w:val="20"/>
                <w:szCs w:val="20"/>
                <w:color w:val="auto"/>
              </w:rPr>
            </w:pPr>
            <w:r>
              <w:rPr>
                <w:rFonts w:ascii="Arial" w:cs="Arial" w:eastAsia="Arial" w:hAnsi="Arial"/>
                <w:sz w:val="18"/>
                <w:szCs w:val="18"/>
                <w:color w:val="auto"/>
              </w:rPr>
              <w:t>schemes of arrangement, which are</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4"/>
              </w:rPr>
              <w:t>arrangements or compromises between</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a company and any class of</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shareholders or creditors and used in</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certain types of reconstructions,</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w w:val="96"/>
              </w:rPr>
              <w:t>amalgamations, capital reorganizations</w:t>
            </w:r>
          </w:p>
        </w:tc>
      </w:tr>
      <w:tr>
        <w:trPr>
          <w:trHeight w:val="216"/>
        </w:trPr>
        <w:tc>
          <w:tcPr>
            <w:tcW w:w="194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or takeovers. These arrangements</w:t>
            </w:r>
          </w:p>
        </w:tc>
      </w:tr>
      <w:tr>
        <w:trPr>
          <w:trHeight w:val="230"/>
        </w:trPr>
        <w:tc>
          <w:tcPr>
            <w:tcW w:w="19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require:</w:t>
            </w:r>
          </w:p>
        </w:tc>
      </w:tr>
      <w:tr>
        <w:trPr>
          <w:trHeight w:val="337"/>
        </w:trPr>
        <w:tc>
          <w:tcPr>
            <w:tcW w:w="1940" w:type="dxa"/>
            <w:vAlign w:val="bottom"/>
          </w:tcPr>
          <w:p>
            <w:pPr>
              <w:spacing w:after="0"/>
              <w:rPr>
                <w:sz w:val="24"/>
                <w:szCs w:val="24"/>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rPr>
              <w:t>the approval at a shareholders’ or</w:t>
            </w:r>
          </w:p>
        </w:tc>
      </w:tr>
      <w:tr>
        <w:trPr>
          <w:trHeight w:val="216"/>
        </w:trPr>
        <w:tc>
          <w:tcPr>
            <w:tcW w:w="1940" w:type="dxa"/>
            <w:vAlign w:val="bottom"/>
          </w:tcPr>
          <w:p>
            <w:pPr>
              <w:spacing w:after="0"/>
              <w:rPr>
                <w:sz w:val="18"/>
                <w:szCs w:val="18"/>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w w:val="95"/>
              </w:rPr>
              <w:t>creditors’ meeting convened by order</w:t>
            </w:r>
          </w:p>
        </w:tc>
      </w:tr>
      <w:tr>
        <w:trPr>
          <w:trHeight w:val="216"/>
        </w:trPr>
        <w:tc>
          <w:tcPr>
            <w:tcW w:w="1940" w:type="dxa"/>
            <w:vAlign w:val="bottom"/>
          </w:tcPr>
          <w:p>
            <w:pPr>
              <w:spacing w:after="0"/>
              <w:rPr>
                <w:sz w:val="18"/>
                <w:szCs w:val="18"/>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w w:val="99"/>
              </w:rPr>
              <w:t>of the court, of a majority in number</w:t>
            </w:r>
          </w:p>
        </w:tc>
      </w:tr>
      <w:tr>
        <w:trPr>
          <w:trHeight w:val="216"/>
        </w:trPr>
        <w:tc>
          <w:tcPr>
            <w:tcW w:w="1940" w:type="dxa"/>
            <w:vAlign w:val="bottom"/>
          </w:tcPr>
          <w:p>
            <w:pPr>
              <w:spacing w:after="0"/>
              <w:rPr>
                <w:sz w:val="18"/>
                <w:szCs w:val="18"/>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rPr>
              <w:t>of shareholders or creditors</w:t>
            </w:r>
          </w:p>
        </w:tc>
      </w:tr>
      <w:tr>
        <w:trPr>
          <w:trHeight w:val="216"/>
        </w:trPr>
        <w:tc>
          <w:tcPr>
            <w:tcW w:w="1940" w:type="dxa"/>
            <w:vAlign w:val="bottom"/>
          </w:tcPr>
          <w:p>
            <w:pPr>
              <w:spacing w:after="0"/>
              <w:rPr>
                <w:sz w:val="18"/>
                <w:szCs w:val="18"/>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rPr>
              <w:t>representing 75% in value of the</w:t>
            </w:r>
          </w:p>
        </w:tc>
      </w:tr>
      <w:tr>
        <w:trPr>
          <w:trHeight w:val="216"/>
        </w:trPr>
        <w:tc>
          <w:tcPr>
            <w:tcW w:w="1940" w:type="dxa"/>
            <w:vAlign w:val="bottom"/>
          </w:tcPr>
          <w:p>
            <w:pPr>
              <w:spacing w:after="0"/>
              <w:rPr>
                <w:sz w:val="18"/>
                <w:szCs w:val="18"/>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w w:val="99"/>
              </w:rPr>
              <w:t>capital held by, or debt owed to, the</w:t>
            </w:r>
          </w:p>
        </w:tc>
      </w:tr>
      <w:tr>
        <w:trPr>
          <w:trHeight w:val="216"/>
        </w:trPr>
        <w:tc>
          <w:tcPr>
            <w:tcW w:w="1940" w:type="dxa"/>
            <w:vAlign w:val="bottom"/>
          </w:tcPr>
          <w:p>
            <w:pPr>
              <w:spacing w:after="0"/>
              <w:rPr>
                <w:sz w:val="18"/>
                <w:szCs w:val="18"/>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w w:val="96"/>
              </w:rPr>
              <w:t>class of shareholders or creditors, or</w:t>
            </w:r>
          </w:p>
        </w:tc>
      </w:tr>
      <w:tr>
        <w:trPr>
          <w:trHeight w:val="216"/>
        </w:trPr>
        <w:tc>
          <w:tcPr>
            <w:tcW w:w="1940" w:type="dxa"/>
            <w:vAlign w:val="bottom"/>
          </w:tcPr>
          <w:p>
            <w:pPr>
              <w:spacing w:after="0"/>
              <w:rPr>
                <w:sz w:val="18"/>
                <w:szCs w:val="18"/>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rPr>
              <w:t>class thereof present and voting,</w:t>
            </w:r>
          </w:p>
        </w:tc>
      </w:tr>
      <w:tr>
        <w:trPr>
          <w:trHeight w:val="230"/>
        </w:trPr>
        <w:tc>
          <w:tcPr>
            <w:tcW w:w="1940" w:type="dxa"/>
            <w:vAlign w:val="bottom"/>
          </w:tcPr>
          <w:p>
            <w:pPr>
              <w:spacing w:after="0"/>
              <w:rPr>
                <w:sz w:val="20"/>
                <w:szCs w:val="20"/>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rPr>
              <w:t>either in person or by proxy; and</w:t>
            </w:r>
          </w:p>
        </w:tc>
      </w:tr>
      <w:tr>
        <w:trPr>
          <w:trHeight w:val="365"/>
        </w:trPr>
        <w:tc>
          <w:tcPr>
            <w:tcW w:w="1940" w:type="dxa"/>
            <w:vAlign w:val="bottom"/>
          </w:tcPr>
          <w:p>
            <w:pPr>
              <w:spacing w:after="0"/>
              <w:rPr>
                <w:sz w:val="24"/>
                <w:szCs w:val="24"/>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rPr>
              <w:t>the approval of the court.</w:t>
            </w:r>
          </w:p>
        </w:tc>
      </w:tr>
      <w:tr>
        <w:trPr>
          <w:trHeight w:val="377"/>
        </w:trPr>
        <w:tc>
          <w:tcPr>
            <w:tcW w:w="1940" w:type="dxa"/>
            <w:vAlign w:val="bottom"/>
          </w:tcPr>
          <w:p>
            <w:pPr>
              <w:spacing w:after="0"/>
              <w:rPr>
                <w:sz w:val="20"/>
                <w:szCs w:val="20"/>
                <w:color w:val="auto"/>
              </w:rPr>
            </w:pPr>
            <w:r>
              <w:rPr>
                <w:rFonts w:ascii="Arial" w:cs="Arial" w:eastAsia="Arial" w:hAnsi="Arial"/>
                <w:sz w:val="18"/>
                <w:szCs w:val="18"/>
                <w:color w:val="auto"/>
              </w:rPr>
              <w:t>Standard of Conduct</w:t>
            </w:r>
          </w:p>
        </w:tc>
        <w:tc>
          <w:tcPr>
            <w:tcW w:w="3020" w:type="dxa"/>
            <w:vAlign w:val="bottom"/>
          </w:tcPr>
          <w:p>
            <w:pPr>
              <w:spacing w:after="0"/>
              <w:rPr>
                <w:sz w:val="20"/>
                <w:szCs w:val="20"/>
                <w:color w:val="auto"/>
              </w:rPr>
            </w:pPr>
            <w:r>
              <w:rPr>
                <w:rFonts w:ascii="Arial" w:cs="Arial" w:eastAsia="Arial" w:hAnsi="Arial"/>
                <w:sz w:val="18"/>
                <w:szCs w:val="18"/>
                <w:color w:val="auto"/>
              </w:rPr>
              <w:t>Under English law, a director owes</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for Directors</w:t>
            </w:r>
          </w:p>
        </w:tc>
        <w:tc>
          <w:tcPr>
            <w:tcW w:w="3020" w:type="dxa"/>
            <w:vAlign w:val="bottom"/>
          </w:tcPr>
          <w:p>
            <w:pPr>
              <w:spacing w:after="0"/>
              <w:rPr>
                <w:sz w:val="20"/>
                <w:szCs w:val="20"/>
                <w:color w:val="auto"/>
              </w:rPr>
            </w:pPr>
            <w:r>
              <w:rPr>
                <w:rFonts w:ascii="Arial" w:cs="Arial" w:eastAsia="Arial" w:hAnsi="Arial"/>
                <w:sz w:val="18"/>
                <w:szCs w:val="18"/>
                <w:color w:val="auto"/>
                <w:w w:val="96"/>
              </w:rPr>
              <w:t>various statutory and fiduciary duties to</w:t>
            </w:r>
          </w:p>
        </w:tc>
      </w:tr>
      <w:tr>
        <w:trPr>
          <w:trHeight w:val="230"/>
        </w:trPr>
        <w:tc>
          <w:tcPr>
            <w:tcW w:w="194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the company, including:</w:t>
            </w:r>
          </w:p>
        </w:tc>
      </w:tr>
      <w:tr>
        <w:trPr>
          <w:trHeight w:val="337"/>
        </w:trPr>
        <w:tc>
          <w:tcPr>
            <w:tcW w:w="1940" w:type="dxa"/>
            <w:vAlign w:val="bottom"/>
          </w:tcPr>
          <w:p>
            <w:pPr>
              <w:spacing w:after="0"/>
              <w:rPr>
                <w:sz w:val="24"/>
                <w:szCs w:val="24"/>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rPr>
              <w:t>to act in the way he considers, in</w:t>
            </w:r>
          </w:p>
        </w:tc>
      </w:tr>
      <w:tr>
        <w:trPr>
          <w:trHeight w:val="216"/>
        </w:trPr>
        <w:tc>
          <w:tcPr>
            <w:tcW w:w="1940" w:type="dxa"/>
            <w:vAlign w:val="bottom"/>
          </w:tcPr>
          <w:p>
            <w:pPr>
              <w:spacing w:after="0"/>
              <w:rPr>
                <w:sz w:val="18"/>
                <w:szCs w:val="18"/>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rPr>
              <w:t>good faith, would be most likely to</w:t>
            </w:r>
          </w:p>
        </w:tc>
      </w:tr>
      <w:tr>
        <w:trPr>
          <w:trHeight w:val="216"/>
        </w:trPr>
        <w:tc>
          <w:tcPr>
            <w:tcW w:w="1940" w:type="dxa"/>
            <w:vAlign w:val="bottom"/>
          </w:tcPr>
          <w:p>
            <w:pPr>
              <w:spacing w:after="0"/>
              <w:rPr>
                <w:sz w:val="18"/>
                <w:szCs w:val="18"/>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w w:val="95"/>
              </w:rPr>
              <w:t>promote the success of the company</w:t>
            </w:r>
          </w:p>
        </w:tc>
      </w:tr>
      <w:tr>
        <w:trPr>
          <w:trHeight w:val="216"/>
        </w:trPr>
        <w:tc>
          <w:tcPr>
            <w:tcW w:w="1940" w:type="dxa"/>
            <w:vAlign w:val="bottom"/>
          </w:tcPr>
          <w:p>
            <w:pPr>
              <w:spacing w:after="0"/>
              <w:rPr>
                <w:sz w:val="18"/>
                <w:szCs w:val="18"/>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rPr>
              <w:t>for the benefit of its members as a</w:t>
            </w:r>
          </w:p>
        </w:tc>
      </w:tr>
      <w:tr>
        <w:trPr>
          <w:trHeight w:val="230"/>
        </w:trPr>
        <w:tc>
          <w:tcPr>
            <w:tcW w:w="1940" w:type="dxa"/>
            <w:vAlign w:val="bottom"/>
          </w:tcPr>
          <w:p>
            <w:pPr>
              <w:spacing w:after="0"/>
              <w:rPr>
                <w:sz w:val="20"/>
                <w:szCs w:val="20"/>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rPr>
              <w:t>whole;</w:t>
            </w:r>
          </w:p>
        </w:tc>
      </w:tr>
      <w:tr>
        <w:trPr>
          <w:trHeight w:val="350"/>
        </w:trPr>
        <w:tc>
          <w:tcPr>
            <w:tcW w:w="1940" w:type="dxa"/>
            <w:vAlign w:val="bottom"/>
          </w:tcPr>
          <w:p>
            <w:pPr>
              <w:spacing w:after="0"/>
              <w:rPr>
                <w:sz w:val="24"/>
                <w:szCs w:val="24"/>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w w:val="99"/>
              </w:rPr>
              <w:t>to avoid a situation in which he has,</w:t>
            </w:r>
          </w:p>
        </w:tc>
      </w:tr>
      <w:tr>
        <w:trPr>
          <w:trHeight w:val="230"/>
        </w:trPr>
        <w:tc>
          <w:tcPr>
            <w:tcW w:w="1940" w:type="dxa"/>
            <w:vAlign w:val="bottom"/>
          </w:tcPr>
          <w:p>
            <w:pPr>
              <w:spacing w:after="0"/>
              <w:rPr>
                <w:sz w:val="20"/>
                <w:szCs w:val="20"/>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rPr>
              <w:t>or can have, a direct or indirect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19202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439"/>
        <w:spacing w:after="0" w:line="254" w:lineRule="auto"/>
        <w:rPr>
          <w:sz w:val="20"/>
          <w:szCs w:val="20"/>
          <w:color w:val="auto"/>
        </w:rPr>
      </w:pPr>
      <w:r>
        <w:rPr>
          <w:rFonts w:ascii="Arial" w:cs="Arial" w:eastAsia="Arial" w:hAnsi="Arial"/>
          <w:sz w:val="18"/>
          <w:szCs w:val="18"/>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111" w:lineRule="exact"/>
        <w:rPr>
          <w:sz w:val="20"/>
          <w:szCs w:val="20"/>
          <w:color w:val="auto"/>
        </w:rPr>
      </w:pPr>
    </w:p>
    <w:p>
      <w:pPr>
        <w:ind w:left="180" w:right="1159"/>
        <w:spacing w:after="0" w:line="277" w:lineRule="auto"/>
        <w:rPr>
          <w:sz w:val="20"/>
          <w:szCs w:val="20"/>
          <w:color w:val="auto"/>
        </w:rPr>
      </w:pPr>
      <w:r>
        <w:rPr>
          <w:rFonts w:ascii="Arial" w:cs="Arial" w:eastAsia="Arial" w:hAnsi="Arial"/>
          <w:sz w:val="18"/>
          <w:szCs w:val="18"/>
          <w:color w:val="auto"/>
        </w:rPr>
        <w:t>the approval of the board of directors; and</w:t>
      </w:r>
    </w:p>
    <w:p>
      <w:pPr>
        <w:spacing w:after="0" w:line="103" w:lineRule="exact"/>
        <w:rPr>
          <w:sz w:val="20"/>
          <w:szCs w:val="20"/>
          <w:color w:val="auto"/>
        </w:rPr>
      </w:pPr>
    </w:p>
    <w:p>
      <w:pPr>
        <w:ind w:left="180" w:right="419"/>
        <w:spacing w:after="0" w:line="254" w:lineRule="auto"/>
        <w:rPr>
          <w:sz w:val="20"/>
          <w:szCs w:val="20"/>
          <w:color w:val="auto"/>
        </w:rPr>
      </w:pPr>
      <w:r>
        <w:rPr>
          <w:rFonts w:ascii="Arial" w:cs="Arial" w:eastAsia="Arial" w:hAnsi="Arial"/>
          <w:sz w:val="18"/>
          <w:szCs w:val="18"/>
          <w:color w:val="auto"/>
        </w:rPr>
        <w:t>approval by the vote of the holders of a majority of the outstanding stock or, if the certificate of incorporation provides for more or less than one vote per share, a majority of the votes of the outstanding stock of a corporation entitled to vote on the matter.</w:t>
      </w:r>
    </w:p>
    <w:p>
      <w:pPr>
        <w:spacing w:after="0" w:line="367" w:lineRule="exact"/>
        <w:rPr>
          <w:sz w:val="20"/>
          <w:szCs w:val="20"/>
          <w:color w:val="auto"/>
        </w:rPr>
      </w:pPr>
    </w:p>
    <w:p>
      <w:pPr>
        <w:ind w:right="419"/>
        <w:spacing w:after="0" w:line="269" w:lineRule="auto"/>
        <w:rPr>
          <w:sz w:val="20"/>
          <w:szCs w:val="20"/>
          <w:color w:val="auto"/>
        </w:rPr>
      </w:pPr>
      <w:r>
        <w:rPr>
          <w:rFonts w:ascii="Arial" w:cs="Arial" w:eastAsia="Arial" w:hAnsi="Arial"/>
          <w:sz w:val="17"/>
          <w:szCs w:val="17"/>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self-interest, on a well-informed basis and in a manner they reasonably believe to be in the best interest of the stockholders.</w:t>
      </w:r>
    </w:p>
    <w:p>
      <w:pPr>
        <w:spacing w:after="0" w:line="466" w:lineRule="exact"/>
        <w:rPr>
          <w:sz w:val="20"/>
          <w:szCs w:val="20"/>
          <w:color w:val="auto"/>
        </w:rPr>
      </w:pPr>
    </w:p>
    <w:p>
      <w:pPr>
        <w:sectPr>
          <w:pgSz w:w="11900" w:h="16838" w:orient="portrait"/>
          <w:cols w:equalWidth="0" w:num="2">
            <w:col w:w="6220" w:space="220"/>
            <w:col w:w="3439"/>
          </w:cols>
          <w:pgMar w:left="580" w:top="131" w:right="1440" w:bottom="1440" w:gutter="0" w:footer="0" w:header="0"/>
        </w:sectPr>
      </w:pPr>
    </w:p>
    <w:p>
      <w:pPr>
        <w:spacing w:after="0" w:line="31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5" w:name="page26"/>
    <w:bookmarkEnd w:id="2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1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2034540</wp:posOffset>
            </wp:positionH>
            <wp:positionV relativeFrom="paragraph">
              <wp:posOffset>32385</wp:posOffset>
            </wp:positionV>
            <wp:extent cx="19202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7"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interest that conflicts, or possibly</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conflicts, with the interests of the</w:t>
      </w:r>
    </w:p>
    <w:p>
      <w:pPr>
        <w:spacing w:after="0" w:line="9"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company;</w:t>
      </w:r>
    </w:p>
    <w:p>
      <w:pPr>
        <w:spacing w:after="0" w:line="130"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to act in accordance with the</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company’s constitution and only</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7"/>
          <w:szCs w:val="17"/>
          <w:color w:val="auto"/>
        </w:rPr>
        <w:t>exercise his powers for the purposes</w:t>
      </w:r>
    </w:p>
    <w:p>
      <w:pPr>
        <w:spacing w:after="0" w:line="2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for which they are conferred;</w:t>
      </w:r>
    </w:p>
    <w:p>
      <w:pPr>
        <w:spacing w:after="0" w:line="143"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to exercise independent judgment;</w:t>
      </w:r>
    </w:p>
    <w:p>
      <w:pPr>
        <w:spacing w:after="0" w:line="158" w:lineRule="exact"/>
        <w:rPr>
          <w:sz w:val="20"/>
          <w:szCs w:val="20"/>
          <w:color w:val="auto"/>
        </w:rPr>
      </w:pPr>
    </w:p>
    <w:p>
      <w:pPr>
        <w:ind w:left="3340"/>
        <w:spacing w:after="0"/>
        <w:rPr>
          <w:sz w:val="20"/>
          <w:szCs w:val="20"/>
          <w:color w:val="auto"/>
        </w:rPr>
      </w:pPr>
      <w:r>
        <w:rPr>
          <w:rFonts w:ascii="Arial" w:cs="Arial" w:eastAsia="Arial" w:hAnsi="Arial"/>
          <w:sz w:val="17"/>
          <w:szCs w:val="17"/>
          <w:color w:val="auto"/>
        </w:rPr>
        <w:t>to exercise reasonable care, skill and</w:t>
      </w:r>
    </w:p>
    <w:p>
      <w:pPr>
        <w:spacing w:after="0" w:line="3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diligence;</w:t>
      </w:r>
    </w:p>
    <w:p>
      <w:pPr>
        <w:spacing w:after="0" w:line="130"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not to accept benefits from a third</w:t>
      </w:r>
    </w:p>
    <w:p>
      <w:pPr>
        <w:spacing w:after="0" w:line="23" w:lineRule="exact"/>
        <w:rPr>
          <w:sz w:val="20"/>
          <w:szCs w:val="20"/>
          <w:color w:val="auto"/>
        </w:rPr>
      </w:pPr>
    </w:p>
    <w:p>
      <w:pPr>
        <w:ind w:left="3340"/>
        <w:spacing w:after="0"/>
        <w:rPr>
          <w:sz w:val="20"/>
          <w:szCs w:val="20"/>
          <w:color w:val="auto"/>
        </w:rPr>
      </w:pPr>
      <w:r>
        <w:rPr>
          <w:rFonts w:ascii="Arial" w:cs="Arial" w:eastAsia="Arial" w:hAnsi="Arial"/>
          <w:sz w:val="17"/>
          <w:szCs w:val="17"/>
          <w:color w:val="auto"/>
        </w:rPr>
        <w:t>party conferred by reason of his being</w:t>
      </w:r>
    </w:p>
    <w:p>
      <w:pPr>
        <w:spacing w:after="0" w:line="2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 director or doing, or not doing,</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anything as a director; and</w:t>
      </w:r>
    </w:p>
    <w:p>
      <w:pPr>
        <w:spacing w:after="0" w:line="143" w:lineRule="exact"/>
        <w:rPr>
          <w:sz w:val="20"/>
          <w:szCs w:val="20"/>
          <w:color w:val="auto"/>
        </w:rPr>
      </w:pPr>
    </w:p>
    <w:p>
      <w:pPr>
        <w:ind w:left="3340"/>
        <w:spacing w:after="0"/>
        <w:rPr>
          <w:sz w:val="20"/>
          <w:szCs w:val="20"/>
          <w:color w:val="auto"/>
        </w:rPr>
      </w:pPr>
      <w:r>
        <w:rPr>
          <w:rFonts w:ascii="Arial" w:cs="Arial" w:eastAsia="Arial" w:hAnsi="Arial"/>
          <w:sz w:val="17"/>
          <w:szCs w:val="17"/>
          <w:color w:val="auto"/>
        </w:rPr>
        <w:t>a duty to declare any interest that he</w:t>
      </w:r>
    </w:p>
    <w:p>
      <w:pPr>
        <w:spacing w:after="0" w:line="3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has, whether directly or indirectly, in</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7"/>
          <w:szCs w:val="17"/>
          <w:color w:val="auto"/>
        </w:rPr>
        <w:t>a proposed or existing transaction or</w:t>
      </w:r>
    </w:p>
    <w:p>
      <w:pPr>
        <w:spacing w:after="0" w:line="21"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arrangement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60"/>
        <w:spacing w:after="0"/>
        <w:tabs>
          <w:tab w:leader="none" w:pos="3180" w:val="left"/>
        </w:tabs>
        <w:rPr>
          <w:sz w:val="20"/>
          <w:szCs w:val="20"/>
          <w:color w:val="auto"/>
        </w:rPr>
      </w:pPr>
      <w:r>
        <w:rPr>
          <w:rFonts w:ascii="Arial" w:cs="Arial" w:eastAsia="Arial" w:hAnsi="Arial"/>
          <w:sz w:val="18"/>
          <w:szCs w:val="18"/>
          <w:color w:val="auto"/>
        </w:rPr>
        <w:t>Stockholder Suits</w:t>
      </w:r>
      <w:r>
        <w:rPr>
          <w:sz w:val="20"/>
          <w:szCs w:val="20"/>
          <w:color w:val="auto"/>
        </w:rPr>
        <w:tab/>
      </w:r>
      <w:r>
        <w:rPr>
          <w:rFonts w:ascii="Arial" w:cs="Arial" w:eastAsia="Arial" w:hAnsi="Arial"/>
          <w:sz w:val="17"/>
          <w:szCs w:val="17"/>
          <w:color w:val="auto"/>
        </w:rPr>
        <w:t>Under English law, generally, the</w:t>
      </w:r>
    </w:p>
    <w:p>
      <w:pPr>
        <w:spacing w:after="0" w:line="23"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company, rather than its shareholders,</w:t>
      </w:r>
    </w:p>
    <w:p>
      <w:pPr>
        <w:spacing w:after="0" w:line="2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is the proper claimant in an action in</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6"/>
          <w:szCs w:val="16"/>
          <w:color w:val="auto"/>
        </w:rPr>
        <w:t>respect of a wrong done to the company</w:t>
      </w:r>
    </w:p>
    <w:p>
      <w:pPr>
        <w:spacing w:after="0" w:line="32"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or where there is an irregularity in the</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company’s internal management.</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Notwithstanding this general position,</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the Companies Act 2006 provides that</w:t>
      </w:r>
    </w:p>
    <w:p>
      <w:pPr>
        <w:spacing w:after="0" w:line="2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(i) a court may allow a shareholder to</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bring a derivative claim (that is, an</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action in respect of and on behalf of the</w:t>
      </w:r>
    </w:p>
    <w:p>
      <w:pPr>
        <w:spacing w:after="0" w:line="21"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company) in respect of a cause of</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action arising from a director’s</w:t>
      </w:r>
    </w:p>
    <w:p>
      <w:pPr>
        <w:spacing w:after="0" w:line="9"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negligence, default,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192024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7" w:lineRule="exact"/>
        <w:rPr>
          <w:sz w:val="20"/>
          <w:szCs w:val="20"/>
          <w:color w:val="auto"/>
        </w:rPr>
      </w:pPr>
    </w:p>
    <w:p>
      <w:pPr>
        <w:ind w:right="439"/>
        <w:spacing w:after="0" w:line="266" w:lineRule="auto"/>
        <w:rPr>
          <w:sz w:val="20"/>
          <w:szCs w:val="20"/>
          <w:color w:val="auto"/>
        </w:rPr>
      </w:pPr>
      <w:r>
        <w:rPr>
          <w:rFonts w:ascii="Arial" w:cs="Arial" w:eastAsia="Arial" w:hAnsi="Arial"/>
          <w:sz w:val="17"/>
          <w:szCs w:val="17"/>
          <w:color w:val="auto"/>
        </w:rPr>
        <w:t>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47" w:lineRule="exact"/>
        <w:rPr>
          <w:sz w:val="20"/>
          <w:szCs w:val="20"/>
          <w:color w:val="auto"/>
        </w:rPr>
      </w:pPr>
    </w:p>
    <w:p>
      <w:pPr>
        <w:ind w:right="439"/>
        <w:spacing w:after="0" w:line="254" w:lineRule="auto"/>
        <w:rPr>
          <w:sz w:val="20"/>
          <w:szCs w:val="20"/>
          <w:color w:val="auto"/>
        </w:rPr>
      </w:pPr>
      <w:r>
        <w:rPr>
          <w:rFonts w:ascii="Arial" w:cs="Arial" w:eastAsia="Arial" w:hAnsi="Arial"/>
          <w:sz w:val="18"/>
          <w:szCs w:val="18"/>
          <w:color w:val="auto"/>
        </w:rPr>
        <w:t>In addition, under Delaware law, when the board of directors of a Delaware corporation approves the sale or break-up of a corporation, the board of directors may, in certain circumstances, have a duty to obtain the highest value reasonably available to the shareholders.</w:t>
      </w:r>
    </w:p>
    <w:p>
      <w:pPr>
        <w:spacing w:after="0" w:line="3" w:lineRule="exact"/>
        <w:rPr>
          <w:sz w:val="20"/>
          <w:szCs w:val="20"/>
          <w:color w:val="auto"/>
        </w:rPr>
      </w:pPr>
    </w:p>
    <w:p>
      <w:pPr>
        <w:ind w:right="419"/>
        <w:spacing w:after="0" w:line="257" w:lineRule="auto"/>
        <w:rPr>
          <w:sz w:val="20"/>
          <w:szCs w:val="20"/>
          <w:color w:val="auto"/>
        </w:rPr>
      </w:pPr>
      <w:r>
        <w:rPr>
          <w:rFonts w:ascii="Arial" w:cs="Arial" w:eastAsia="Arial" w:hAnsi="Arial"/>
          <w:sz w:val="18"/>
          <w:szCs w:val="18"/>
          <w:color w:val="auto"/>
        </w:rPr>
        <w:t>Under Delaware law, a stockholder may initiate a derivative action to enforce a right of a corporation if the corporation fails to enforce the right itself. The complaint must:</w:t>
      </w:r>
    </w:p>
    <w:p>
      <w:pPr>
        <w:spacing w:after="0" w:line="107" w:lineRule="exact"/>
        <w:rPr>
          <w:sz w:val="20"/>
          <w:szCs w:val="20"/>
          <w:color w:val="auto"/>
        </w:rPr>
      </w:pPr>
    </w:p>
    <w:p>
      <w:pPr>
        <w:ind w:left="180" w:right="419"/>
        <w:spacing w:after="0" w:line="255" w:lineRule="auto"/>
        <w:rPr>
          <w:sz w:val="20"/>
          <w:szCs w:val="20"/>
          <w:color w:val="auto"/>
        </w:rPr>
      </w:pPr>
      <w:r>
        <w:rPr>
          <w:rFonts w:ascii="Arial" w:cs="Arial" w:eastAsia="Arial" w:hAnsi="Arial"/>
          <w:sz w:val="18"/>
          <w:szCs w:val="18"/>
          <w:color w:val="auto"/>
        </w:rPr>
        <w:t>state that the plaintiff was a stockholder at the time of the transaction of which the plaintiff complains or that the plaintiffs shares thereafter devolved on the plaintiff by operation of law; and</w:t>
      </w:r>
    </w:p>
    <w:p>
      <w:pPr>
        <w:spacing w:after="0" w:line="125" w:lineRule="exact"/>
        <w:rPr>
          <w:sz w:val="20"/>
          <w:szCs w:val="20"/>
          <w:color w:val="auto"/>
        </w:rPr>
      </w:pPr>
    </w:p>
    <w:p>
      <w:pPr>
        <w:ind w:left="180" w:right="639"/>
        <w:spacing w:after="0" w:line="308" w:lineRule="auto"/>
        <w:rPr>
          <w:sz w:val="20"/>
          <w:szCs w:val="20"/>
          <w:color w:val="auto"/>
        </w:rPr>
      </w:pPr>
      <w:r>
        <w:rPr>
          <w:rFonts w:ascii="Arial" w:cs="Arial" w:eastAsia="Arial" w:hAnsi="Arial"/>
          <w:sz w:val="17"/>
          <w:szCs w:val="17"/>
          <w:color w:val="auto"/>
        </w:rPr>
        <w:t>allege with particularity the efforts made by the plaintiff to obtain the</w:t>
      </w:r>
    </w:p>
    <w:p>
      <w:pPr>
        <w:spacing w:after="0" w:line="200" w:lineRule="exact"/>
        <w:rPr>
          <w:sz w:val="20"/>
          <w:szCs w:val="20"/>
          <w:color w:val="auto"/>
        </w:rPr>
      </w:pPr>
    </w:p>
    <w:p>
      <w:pPr>
        <w:sectPr>
          <w:pgSz w:w="11900" w:h="16838" w:orient="portrait"/>
          <w:cols w:equalWidth="0" w:num="2">
            <w:col w:w="6220" w:space="220"/>
            <w:col w:w="3439"/>
          </w:cols>
          <w:pgMar w:left="580" w:top="131" w:right="1440" w:bottom="1440" w:gutter="0" w:footer="0" w:header="0"/>
        </w:sectPr>
      </w:pPr>
    </w:p>
    <w:p>
      <w:pPr>
        <w:spacing w:after="0" w:line="1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6" w:name="page27"/>
    <w:bookmarkEnd w:id="2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ectPr>
          <w:pgSz w:w="11900" w:h="16838" w:orient="portrait"/>
          <w:cols w:equalWidth="0" w:num="1">
            <w:col w:w="9879"/>
          </w:cols>
          <w:pgMar w:left="58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140"/>
        <w:spacing w:after="0"/>
        <w:rPr>
          <w:sz w:val="20"/>
          <w:szCs w:val="20"/>
          <w:color w:val="auto"/>
        </w:rPr>
      </w:pPr>
      <w:r>
        <w:rPr>
          <w:rFonts w:ascii="Arial" w:cs="Arial" w:eastAsia="Arial" w:hAnsi="Arial"/>
          <w:sz w:val="14"/>
          <w:szCs w:val="14"/>
          <w:b w:val="1"/>
          <w:bCs w:val="1"/>
          <w:color w:val="auto"/>
        </w:rPr>
        <w:t>England and Wales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2034540</wp:posOffset>
            </wp:positionH>
            <wp:positionV relativeFrom="paragraph">
              <wp:posOffset>32385</wp:posOffset>
            </wp:positionV>
            <wp:extent cx="19202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7" w:lineRule="exact"/>
        <w:rPr>
          <w:sz w:val="20"/>
          <w:szCs w:val="20"/>
          <w:color w:val="auto"/>
        </w:rPr>
      </w:pPr>
    </w:p>
    <w:p>
      <w:pPr>
        <w:ind w:left="3200"/>
        <w:spacing w:after="0"/>
        <w:rPr>
          <w:sz w:val="20"/>
          <w:szCs w:val="20"/>
          <w:color w:val="auto"/>
        </w:rPr>
      </w:pPr>
      <w:r>
        <w:rPr>
          <w:rFonts w:ascii="Arial" w:cs="Arial" w:eastAsia="Arial" w:hAnsi="Arial"/>
          <w:sz w:val="18"/>
          <w:szCs w:val="18"/>
          <w:color w:val="auto"/>
        </w:rPr>
        <w:t>breach of duty or breach of trust and</w:t>
      </w:r>
    </w:p>
    <w:p>
      <w:pPr>
        <w:spacing w:after="0" w:line="23" w:lineRule="exact"/>
        <w:rPr>
          <w:sz w:val="20"/>
          <w:szCs w:val="20"/>
          <w:color w:val="auto"/>
        </w:rPr>
      </w:pPr>
    </w:p>
    <w:p>
      <w:pPr>
        <w:ind w:left="3200" w:firstLine="4"/>
        <w:spacing w:after="0" w:line="271" w:lineRule="auto"/>
        <w:tabs>
          <w:tab w:leader="none" w:pos="3483"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shareholder may bring a claim for a court order where the company’s affairs have been or are being conducted in a manner that is unfairly prejudicial to some of its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19"/>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32385</wp:posOffset>
            </wp:positionV>
            <wp:extent cx="19202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57" w:lineRule="exact"/>
        <w:rPr>
          <w:sz w:val="20"/>
          <w:szCs w:val="20"/>
          <w:color w:val="auto"/>
        </w:rPr>
      </w:pPr>
    </w:p>
    <w:p>
      <w:pPr>
        <w:ind w:left="180" w:right="599"/>
        <w:spacing w:after="0" w:line="259" w:lineRule="auto"/>
        <w:rPr>
          <w:sz w:val="20"/>
          <w:szCs w:val="20"/>
          <w:color w:val="auto"/>
        </w:rPr>
      </w:pPr>
      <w:r>
        <w:rPr>
          <w:rFonts w:ascii="Arial" w:cs="Arial" w:eastAsia="Arial" w:hAnsi="Arial"/>
          <w:sz w:val="18"/>
          <w:szCs w:val="18"/>
          <w:color w:val="auto"/>
        </w:rPr>
        <w:t>action the plaintiff desires from the directors and the reasons for the plaintiff’s failure to obtain the action; or</w:t>
      </w:r>
    </w:p>
    <w:p>
      <w:pPr>
        <w:spacing w:after="0" w:line="106" w:lineRule="exact"/>
        <w:rPr>
          <w:sz w:val="20"/>
          <w:szCs w:val="20"/>
          <w:color w:val="auto"/>
        </w:rPr>
      </w:pPr>
    </w:p>
    <w:p>
      <w:pPr>
        <w:ind w:left="140" w:right="599"/>
        <w:spacing w:after="0" w:line="277" w:lineRule="auto"/>
        <w:rPr>
          <w:sz w:val="20"/>
          <w:szCs w:val="20"/>
          <w:color w:val="auto"/>
        </w:rPr>
      </w:pPr>
      <w:r>
        <w:rPr>
          <w:rFonts w:ascii="Arial" w:cs="Arial" w:eastAsia="Arial" w:hAnsi="Arial"/>
          <w:sz w:val="18"/>
          <w:szCs w:val="18"/>
          <w:color w:val="auto"/>
        </w:rPr>
        <w:t>state the reasons for not making the effort.</w:t>
      </w:r>
    </w:p>
    <w:p>
      <w:pPr>
        <w:spacing w:after="0" w:line="35" w:lineRule="exact"/>
        <w:rPr>
          <w:sz w:val="20"/>
          <w:szCs w:val="20"/>
          <w:color w:val="auto"/>
        </w:rPr>
      </w:pPr>
    </w:p>
    <w:p>
      <w:pPr>
        <w:ind w:right="539"/>
        <w:spacing w:after="0" w:line="255" w:lineRule="auto"/>
        <w:rPr>
          <w:sz w:val="20"/>
          <w:szCs w:val="20"/>
          <w:color w:val="auto"/>
        </w:rPr>
      </w:pPr>
      <w:r>
        <w:rPr>
          <w:rFonts w:ascii="Arial" w:cs="Arial" w:eastAsia="Arial" w:hAnsi="Arial"/>
          <w:sz w:val="18"/>
          <w:szCs w:val="18"/>
          <w:color w:val="auto"/>
        </w:rPr>
        <w:t>Additionally, the plaintiff must remain a stockholder through the duration of the derivative suit. The action will not be dismissed or compromised without the approval of the Delaware Court of Chancery.</w:t>
      </w:r>
    </w:p>
    <w:p>
      <w:pPr>
        <w:sectPr>
          <w:pgSz w:w="11900" w:h="16838" w:orient="portrait"/>
          <w:cols w:equalWidth="0" w:num="2">
            <w:col w:w="6180" w:space="260"/>
            <w:col w:w="3439"/>
          </w:cols>
          <w:pgMar w:left="580" w:top="131" w:right="1440" w:bottom="1440" w:gutter="0" w:footer="0" w:header="0"/>
          <w:type w:val="continuous"/>
        </w:sectPr>
      </w:pPr>
    </w:p>
    <w:bookmarkStart w:id="27" w:name="page28"/>
    <w:bookmarkEnd w:id="2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148" w:lineRule="exact"/>
        <w:rPr>
          <w:sz w:val="20"/>
          <w:szCs w:val="20"/>
          <w:color w:val="auto"/>
        </w:rPr>
      </w:pPr>
    </w:p>
    <w:p>
      <w:pPr>
        <w:ind w:left="1260" w:right="559" w:firstLine="360"/>
        <w:spacing w:after="0" w:line="257" w:lineRule="auto"/>
        <w:rPr>
          <w:sz w:val="20"/>
          <w:szCs w:val="20"/>
          <w:color w:val="auto"/>
        </w:rPr>
      </w:pPr>
      <w:r>
        <w:rPr>
          <w:rFonts w:ascii="Arial" w:cs="Arial" w:eastAsia="Arial" w:hAnsi="Arial"/>
          <w:sz w:val="17"/>
          <w:szCs w:val="17"/>
          <w:color w:val="auto"/>
        </w:rPr>
        <w:t>We are providing you with a summary description of the material terms of our ADSs and of the material rights of owners of our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We have registered 100,000,000 of our ADSs with the SEC under a registration statement on Form F-6 (Reg. No. 333-217353), or the F-6 Registration Statement.</w:t>
      </w:r>
    </w:p>
    <w:p>
      <w:pPr>
        <w:spacing w:after="0" w:line="108" w:lineRule="exact"/>
        <w:rPr>
          <w:sz w:val="20"/>
          <w:szCs w:val="20"/>
          <w:color w:val="auto"/>
        </w:rPr>
      </w:pPr>
    </w:p>
    <w:p>
      <w:pPr>
        <w:ind w:left="1260" w:right="419" w:firstLine="360"/>
        <w:spacing w:after="0"/>
        <w:rPr>
          <w:sz w:val="20"/>
          <w:szCs w:val="20"/>
          <w:color w:val="auto"/>
        </w:rPr>
      </w:pPr>
      <w:r>
        <w:rPr>
          <w:rFonts w:ascii="Arial" w:cs="Arial" w:eastAsia="Arial" w:hAnsi="Arial"/>
          <w:sz w:val="18"/>
          <w:szCs w:val="18"/>
          <w:color w:val="auto"/>
        </w:rPr>
        <w:t>Citibank, N.A., or Citibank, has agreed to act as the depositary for our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 Branch, located at 25 Canada Square, Canary Wharf, London, E14 5LB, United Kingdom.</w:t>
      </w:r>
    </w:p>
    <w:p>
      <w:pPr>
        <w:spacing w:after="0" w:line="122" w:lineRule="exact"/>
        <w:rPr>
          <w:sz w:val="20"/>
          <w:szCs w:val="20"/>
          <w:color w:val="auto"/>
        </w:rPr>
      </w:pPr>
    </w:p>
    <w:p>
      <w:pPr>
        <w:ind w:left="1260" w:right="519" w:firstLine="360"/>
        <w:spacing w:after="0" w:line="243" w:lineRule="auto"/>
        <w:rPr>
          <w:sz w:val="20"/>
          <w:szCs w:val="20"/>
          <w:color w:val="auto"/>
        </w:rPr>
      </w:pPr>
      <w:r>
        <w:rPr>
          <w:rFonts w:ascii="Arial" w:cs="Arial" w:eastAsia="Arial" w:hAnsi="Arial"/>
          <w:sz w:val="18"/>
          <w:szCs w:val="18"/>
          <w:color w:val="auto"/>
        </w:rPr>
        <w:t>We have appointed Citibank as depositary pursuant to a deposit agreement. A copy of the deposit agreement is on file with the SEC under cover of the F-6 Registration Statement. You may obtain a copy of the deposit agreement from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 Please refer to registration number 333- 217353 when retrieving such copy.</w:t>
      </w:r>
    </w:p>
    <w:p>
      <w:pPr>
        <w:spacing w:after="0" w:line="107" w:lineRule="exact"/>
        <w:rPr>
          <w:sz w:val="20"/>
          <w:szCs w:val="20"/>
          <w:color w:val="auto"/>
        </w:rPr>
      </w:pPr>
    </w:p>
    <w:p>
      <w:pPr>
        <w:ind w:left="1260" w:right="479" w:firstLine="360"/>
        <w:spacing w:after="0" w:line="251" w:lineRule="auto"/>
        <w:rPr>
          <w:sz w:val="20"/>
          <w:szCs w:val="20"/>
          <w:color w:val="auto"/>
        </w:rPr>
      </w:pPr>
      <w:r>
        <w:rPr>
          <w:rFonts w:ascii="Arial" w:cs="Arial" w:eastAsia="Arial" w:hAnsi="Arial"/>
          <w:sz w:val="17"/>
          <w:szCs w:val="17"/>
          <w:color w:val="auto"/>
        </w:rPr>
        <w:t>Each ADS represents the right to receive, and to exercise the beneficial ownership interests in, eight of our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 -ordinary 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14"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127"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111" w:lineRule="exact"/>
        <w:rPr>
          <w:sz w:val="20"/>
          <w:szCs w:val="20"/>
          <w:color w:val="auto"/>
        </w:rPr>
      </w:pPr>
    </w:p>
    <w:p>
      <w:pPr>
        <w:ind w:left="1260" w:right="499" w:firstLine="360"/>
        <w:spacing w:after="0" w:line="279" w:lineRule="auto"/>
        <w:rPr>
          <w:sz w:val="20"/>
          <w:szCs w:val="20"/>
          <w:color w:val="auto"/>
        </w:rPr>
      </w:pPr>
      <w:r>
        <w:rPr>
          <w:rFonts w:ascii="Arial" w:cs="Arial" w:eastAsia="Arial" w:hAnsi="Arial"/>
          <w:sz w:val="17"/>
          <w:szCs w:val="17"/>
          <w:color w:val="auto"/>
        </w:rPr>
        <w:t>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w:t>
      </w: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28" w:name="page29"/>
    <w:bookmarkEnd w:id="2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324" w:lineRule="auto"/>
        <w:rPr>
          <w:sz w:val="20"/>
          <w:szCs w:val="20"/>
          <w:color w:val="auto"/>
        </w:rPr>
      </w:pPr>
      <w:r>
        <w:rPr>
          <w:rFonts w:ascii="Arial" w:cs="Arial" w:eastAsia="Arial" w:hAnsi="Arial"/>
          <w:sz w:val="16"/>
          <w:szCs w:val="16"/>
          <w:color w:val="auto"/>
        </w:rPr>
        <w:t>deposit agreement. To exercise any shareholder rights not contemplated in the deposit agreement you will, as an ADS owner, need to arrange for the cancellation of your ADSs and become a direct shareholder.</w:t>
      </w:r>
    </w:p>
    <w:p>
      <w:pPr>
        <w:spacing w:after="0" w:line="43" w:lineRule="exact"/>
        <w:rPr>
          <w:sz w:val="20"/>
          <w:szCs w:val="20"/>
          <w:color w:val="auto"/>
        </w:rPr>
      </w:pPr>
    </w:p>
    <w:p>
      <w:pPr>
        <w:ind w:left="1260" w:right="519" w:firstLine="360"/>
        <w:spacing w:after="0" w:line="251" w:lineRule="auto"/>
        <w:rPr>
          <w:sz w:val="20"/>
          <w:szCs w:val="20"/>
          <w:color w:val="auto"/>
        </w:rPr>
      </w:pPr>
      <w:r>
        <w:rPr>
          <w:rFonts w:ascii="Arial" w:cs="Arial" w:eastAsia="Arial" w:hAnsi="Arial"/>
          <w:sz w:val="17"/>
          <w:szCs w:val="17"/>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DRS reflects the uncertificated (book-entry) registration of ownership of ADSs by the depositary. Under the DRS, ownership of ADSs is evidenced by periodic statements issued by the depositary to the holders of the ADSs. The DRS includes automated transfers between the depositary and The Depository Trust Company, or DTC, the central book-entry clearing and settlement system for equity securities in the United States. If you decide to hold your ADSs through your brokerage or safekeeping account, you must rely on the procedures of your broker or bank to assert your rights as an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116" w:lineRule="exact"/>
        <w:rPr>
          <w:sz w:val="20"/>
          <w:szCs w:val="20"/>
          <w:color w:val="auto"/>
        </w:rPr>
      </w:pPr>
    </w:p>
    <w:p>
      <w:pPr>
        <w:ind w:left="1260" w:right="419" w:firstLine="360"/>
        <w:spacing w:after="0" w:line="239" w:lineRule="auto"/>
        <w:rPr>
          <w:sz w:val="20"/>
          <w:szCs w:val="20"/>
          <w:color w:val="auto"/>
        </w:rPr>
      </w:pPr>
      <w:r>
        <w:rPr>
          <w:rFonts w:ascii="Arial" w:cs="Arial" w:eastAsia="Arial" w:hAnsi="Arial"/>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Dividends and Other Distributions</w:t>
      </w:r>
    </w:p>
    <w:p>
      <w:pPr>
        <w:spacing w:after="0" w:line="162" w:lineRule="exact"/>
        <w:rPr>
          <w:sz w:val="20"/>
          <w:szCs w:val="20"/>
          <w:color w:val="auto"/>
        </w:rPr>
      </w:pPr>
    </w:p>
    <w:p>
      <w:pPr>
        <w:ind w:left="1260" w:right="499" w:firstLine="360"/>
        <w:spacing w:after="0" w:line="241" w:lineRule="auto"/>
        <w:rPr>
          <w:sz w:val="20"/>
          <w:szCs w:val="20"/>
          <w:color w:val="auto"/>
        </w:rPr>
      </w:pPr>
      <w:r>
        <w:rPr>
          <w:rFonts w:ascii="Arial" w:cs="Arial" w:eastAsia="Arial" w:hAnsi="Arial"/>
          <w:sz w:val="18"/>
          <w:szCs w:val="18"/>
          <w:color w:val="auto"/>
        </w:rPr>
        <w:t>As a holder of ADSs, you generally have the right to receive the distributions we make on the ordinary shares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deducting the applicable fees, taxes and expenses.</w:t>
      </w:r>
    </w:p>
    <w:p>
      <w:pPr>
        <w:spacing w:after="0" w:line="189"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144" w:lineRule="exact"/>
        <w:rPr>
          <w:sz w:val="20"/>
          <w:szCs w:val="20"/>
          <w:color w:val="auto"/>
        </w:rPr>
      </w:pPr>
    </w:p>
    <w:p>
      <w:pPr>
        <w:ind w:left="1260" w:right="539" w:firstLine="360"/>
        <w:spacing w:after="0" w:line="279" w:lineRule="auto"/>
        <w:rPr>
          <w:sz w:val="20"/>
          <w:szCs w:val="20"/>
          <w:color w:val="auto"/>
        </w:rPr>
      </w:pPr>
      <w:r>
        <w:rPr>
          <w:rFonts w:ascii="Arial" w:cs="Arial" w:eastAsia="Arial" w:hAnsi="Arial"/>
          <w:sz w:val="17"/>
          <w:szCs w:val="17"/>
          <w:color w:val="auto"/>
        </w:rPr>
        <w:t>Whenever we make a cash distribution for the ordinary shares on deposit with the custodian, we will deposit the funds with the custodian. Upon receipt of confirmation of the deposit of the requisite funds, the depositary will arrange for the funds to be converted into U.S. dollars and for the distribution of the U.S. dollars to the holders, subject to the laws and regulations of England and Wales.</w:t>
      </w:r>
    </w:p>
    <w:p>
      <w:pPr>
        <w:spacing w:after="0" w:line="104" w:lineRule="exact"/>
        <w:rPr>
          <w:sz w:val="20"/>
          <w:szCs w:val="20"/>
          <w:color w:val="auto"/>
        </w:rPr>
      </w:pPr>
    </w:p>
    <w:p>
      <w:pPr>
        <w:ind w:left="1260" w:right="459" w:firstLine="360"/>
        <w:spacing w:after="0" w:line="259" w:lineRule="auto"/>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ordinary shares on deposit.</w:t>
      </w:r>
    </w:p>
    <w:p>
      <w:pPr>
        <w:spacing w:after="0" w:line="119" w:lineRule="exact"/>
        <w:rPr>
          <w:sz w:val="20"/>
          <w:szCs w:val="20"/>
          <w:color w:val="auto"/>
        </w:rPr>
      </w:pPr>
    </w:p>
    <w:p>
      <w:pPr>
        <w:ind w:left="1260" w:right="539" w:firstLine="360"/>
        <w:spacing w:after="0" w:line="275" w:lineRule="auto"/>
        <w:rPr>
          <w:sz w:val="20"/>
          <w:szCs w:val="20"/>
          <w:color w:val="auto"/>
        </w:rPr>
      </w:pPr>
      <w:r>
        <w:rPr>
          <w:rFonts w:ascii="Arial" w:cs="Arial" w:eastAsia="Arial" w:hAnsi="Arial"/>
          <w:sz w:val="17"/>
          <w:szCs w:val="17"/>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144" w:lineRule="exact"/>
        <w:rPr>
          <w:sz w:val="20"/>
          <w:szCs w:val="20"/>
          <w:color w:val="auto"/>
        </w:rPr>
      </w:pPr>
    </w:p>
    <w:p>
      <w:pPr>
        <w:ind w:left="1260" w:right="719" w:firstLine="360"/>
        <w:spacing w:after="0" w:line="308" w:lineRule="auto"/>
        <w:rPr>
          <w:sz w:val="20"/>
          <w:szCs w:val="20"/>
          <w:color w:val="auto"/>
        </w:rPr>
      </w:pPr>
      <w:r>
        <w:rPr>
          <w:rFonts w:ascii="Arial" w:cs="Arial" w:eastAsia="Arial" w:hAnsi="Arial"/>
          <w:sz w:val="17"/>
          <w:szCs w:val="17"/>
          <w:color w:val="auto"/>
        </w:rPr>
        <w:t>Whenever we make a free distribution of ordinary shares for the ordinary shares on deposit with the custodian, we will deposit the applicable number of ordinary shares with the custodian. Upon receipt of</w:t>
      </w:r>
    </w:p>
    <w:p>
      <w:pPr>
        <w:sectPr>
          <w:pgSz w:w="11900" w:h="16838" w:orient="portrait"/>
          <w:cols w:equalWidth="0" w:num="1">
            <w:col w:w="9879"/>
          </w:cols>
          <w:pgMar w:left="580" w:top="131" w:right="1440" w:bottom="1440" w:gutter="0" w:footer="0" w:header="0"/>
        </w:sectPr>
      </w:pPr>
    </w:p>
    <w:p>
      <w:pPr>
        <w:spacing w:after="0" w:line="33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29" w:name="page30"/>
    <w:bookmarkEnd w:id="2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459"/>
        <w:spacing w:after="0" w:line="257" w:lineRule="auto"/>
        <w:rPr>
          <w:sz w:val="20"/>
          <w:szCs w:val="20"/>
          <w:color w:val="auto"/>
        </w:rPr>
      </w:pPr>
      <w:r>
        <w:rPr>
          <w:rFonts w:ascii="Arial" w:cs="Arial" w:eastAsia="Arial" w:hAnsi="Arial"/>
          <w:sz w:val="18"/>
          <w:szCs w:val="18"/>
          <w:color w:val="auto"/>
        </w:rPr>
        <w:t>confirmation of such deposit, the depositary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107" w:lineRule="exact"/>
        <w:rPr>
          <w:sz w:val="20"/>
          <w:szCs w:val="20"/>
          <w:color w:val="auto"/>
        </w:rPr>
      </w:pPr>
    </w:p>
    <w:p>
      <w:pPr>
        <w:ind w:left="1260" w:right="739" w:firstLine="360"/>
        <w:spacing w:after="0" w:line="279" w:lineRule="auto"/>
        <w:rPr>
          <w:sz w:val="20"/>
          <w:szCs w:val="20"/>
          <w:color w:val="auto"/>
        </w:rPr>
      </w:pPr>
      <w:r>
        <w:rPr>
          <w:rFonts w:ascii="Arial" w:cs="Arial" w:eastAsia="Arial" w:hAnsi="Arial"/>
          <w:sz w:val="17"/>
          <w:szCs w:val="17"/>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104" w:lineRule="exact"/>
        <w:rPr>
          <w:sz w:val="20"/>
          <w:szCs w:val="20"/>
          <w:color w:val="auto"/>
        </w:rPr>
      </w:pPr>
    </w:p>
    <w:p>
      <w:pPr>
        <w:ind w:left="1260" w:right="439" w:firstLine="360"/>
        <w:spacing w:after="0" w:line="259"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158"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Whenever we intend to distribute rights to purchase additional ordinary shares, we will give prior notice to the depositary and we will assist the depositary in determining whether it is lawful and reasonably practicable to distribute rights to purchase additional ADSs to holders.</w:t>
      </w:r>
    </w:p>
    <w:p>
      <w:pPr>
        <w:spacing w:after="0" w:line="103" w:lineRule="exact"/>
        <w:rPr>
          <w:sz w:val="20"/>
          <w:szCs w:val="20"/>
          <w:color w:val="auto"/>
        </w:rPr>
      </w:pPr>
    </w:p>
    <w:p>
      <w:pPr>
        <w:ind w:left="1260" w:right="439" w:firstLine="360"/>
        <w:spacing w:after="0" w:line="272" w:lineRule="auto"/>
        <w:rPr>
          <w:sz w:val="20"/>
          <w:szCs w:val="20"/>
          <w:color w:val="auto"/>
        </w:rPr>
      </w:pPr>
      <w:r>
        <w:rPr>
          <w:rFonts w:ascii="Arial" w:cs="Arial" w:eastAsia="Arial" w:hAnsi="Arial"/>
          <w:sz w:val="17"/>
          <w:szCs w:val="17"/>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purchase new ordinary shares other than in the form of ADSs.</w:t>
      </w:r>
    </w:p>
    <w:p>
      <w:pPr>
        <w:spacing w:after="0" w:line="11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131" w:lineRule="exact"/>
        <w:rPr>
          <w:sz w:val="20"/>
          <w:szCs w:val="20"/>
          <w:color w:val="auto"/>
        </w:rPr>
      </w:pPr>
    </w:p>
    <w:p>
      <w:pPr>
        <w:ind w:left="1800" w:right="839" w:hanging="180"/>
        <w:spacing w:after="0" w:line="277" w:lineRule="auto"/>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do not timely request that the rights be distributed to you or we request that the rights not be distributed to you; or</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fail to deliver satisfactory documents to the depositary; or</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it is not reasonably practicable to distribute the rights.</w:t>
      </w:r>
    </w:p>
    <w:p>
      <w:pPr>
        <w:spacing w:after="0" w:line="158" w:lineRule="exact"/>
        <w:rPr>
          <w:sz w:val="20"/>
          <w:szCs w:val="20"/>
          <w:color w:val="auto"/>
        </w:rPr>
      </w:pPr>
    </w:p>
    <w:p>
      <w:pPr>
        <w:ind w:left="1260" w:right="779" w:firstLine="360"/>
        <w:spacing w:after="0" w:line="263" w:lineRule="auto"/>
        <w:rPr>
          <w:sz w:val="20"/>
          <w:szCs w:val="20"/>
          <w:color w:val="auto"/>
        </w:rPr>
      </w:pPr>
      <w:r>
        <w:rPr>
          <w:rFonts w:ascii="Arial" w:cs="Arial" w:eastAsia="Arial" w:hAnsi="Arial"/>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144" w:lineRule="exact"/>
        <w:rPr>
          <w:sz w:val="20"/>
          <w:szCs w:val="20"/>
          <w:color w:val="auto"/>
        </w:rPr>
      </w:pPr>
    </w:p>
    <w:p>
      <w:pPr>
        <w:jc w:val="both"/>
        <w:ind w:left="1260" w:right="499" w:firstLine="360"/>
        <w:spacing w:after="0" w:line="259"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119"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119"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0" w:name="page31"/>
    <w:bookmarkEnd w:id="3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144" w:lineRule="exact"/>
        <w:rPr>
          <w:sz w:val="20"/>
          <w:szCs w:val="20"/>
          <w:color w:val="auto"/>
        </w:rPr>
      </w:pPr>
    </w:p>
    <w:p>
      <w:pPr>
        <w:ind w:left="1260" w:right="499" w:firstLine="360"/>
        <w:spacing w:after="0" w:line="243" w:lineRule="auto"/>
        <w:rPr>
          <w:sz w:val="20"/>
          <w:szCs w:val="20"/>
          <w:color w:val="auto"/>
        </w:rPr>
      </w:pPr>
      <w:r>
        <w:rPr>
          <w:rFonts w:ascii="Arial" w:cs="Arial" w:eastAsia="Arial" w:hAnsi="Arial"/>
          <w:sz w:val="18"/>
          <w:szCs w:val="18"/>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120" w:lineRule="exact"/>
        <w:rPr>
          <w:sz w:val="20"/>
          <w:szCs w:val="20"/>
          <w:color w:val="auto"/>
        </w:rPr>
      </w:pPr>
    </w:p>
    <w:p>
      <w:pPr>
        <w:ind w:left="1260" w:right="839" w:firstLine="360"/>
        <w:spacing w:after="0" w:line="248" w:lineRule="auto"/>
        <w:rPr>
          <w:sz w:val="20"/>
          <w:szCs w:val="20"/>
          <w:color w:val="auto"/>
        </w:rPr>
      </w:pPr>
      <w:r>
        <w:rPr>
          <w:rFonts w:ascii="Arial" w:cs="Arial" w:eastAsia="Arial" w:hAnsi="Arial"/>
          <w:sz w:val="18"/>
          <w:szCs w:val="18"/>
          <w:color w:val="auto"/>
        </w:rPr>
        <w:t>If it is reasonably practicable to distribute such property to you and if we provide all of the documentation contemplated in the deposit agreement, the depositary will distribute the property to the holders in a manner it deems practicable.</w:t>
      </w:r>
    </w:p>
    <w:p>
      <w:pPr>
        <w:spacing w:after="0" w:line="114" w:lineRule="exact"/>
        <w:rPr>
          <w:sz w:val="20"/>
          <w:szCs w:val="20"/>
          <w:color w:val="auto"/>
        </w:rPr>
      </w:pPr>
    </w:p>
    <w:p>
      <w:pPr>
        <w:ind w:left="1260" w:right="439" w:firstLine="360"/>
        <w:spacing w:after="0" w:line="248" w:lineRule="auto"/>
        <w:rPr>
          <w:sz w:val="20"/>
          <w:szCs w:val="20"/>
          <w:color w:val="auto"/>
        </w:rPr>
      </w:pPr>
      <w:r>
        <w:rPr>
          <w:rFonts w:ascii="Arial" w:cs="Arial" w:eastAsia="Arial" w:hAnsi="Arial"/>
          <w:sz w:val="18"/>
          <w:szCs w:val="18"/>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10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117" w:lineRule="exact"/>
        <w:rPr>
          <w:sz w:val="20"/>
          <w:szCs w:val="20"/>
          <w:color w:val="auto"/>
        </w:rPr>
      </w:pPr>
    </w:p>
    <w:p>
      <w:pPr>
        <w:ind w:left="1800" w:right="1099" w:hanging="180"/>
        <w:spacing w:after="0" w:line="277" w:lineRule="auto"/>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do not request that the property be distributed to you or if we ask that the property not be distributed to you; or</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do not deliver satisfactory documents to the depositary; or</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depositary determines that all or a portion of the distribution to you is not reasonably practicable.</w:t>
      </w:r>
    </w:p>
    <w:p>
      <w:pPr>
        <w:spacing w:after="0" w:line="16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proceeds of such a sale will be distributed to holders as in the case of a cash distribution.</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Redemption</w:t>
      </w:r>
    </w:p>
    <w:p>
      <w:pPr>
        <w:spacing w:after="0" w:line="158" w:lineRule="exact"/>
        <w:rPr>
          <w:sz w:val="20"/>
          <w:szCs w:val="20"/>
          <w:color w:val="auto"/>
        </w:rPr>
      </w:pPr>
    </w:p>
    <w:p>
      <w:pPr>
        <w:jc w:val="both"/>
        <w:ind w:left="1260" w:right="459" w:firstLine="360"/>
        <w:spacing w:after="0" w:line="270" w:lineRule="auto"/>
        <w:rPr>
          <w:sz w:val="20"/>
          <w:szCs w:val="20"/>
          <w:color w:val="auto"/>
        </w:rPr>
      </w:pPr>
      <w:r>
        <w:rPr>
          <w:rFonts w:ascii="Arial" w:cs="Arial" w:eastAsia="Arial" w:hAnsi="Arial"/>
          <w:sz w:val="17"/>
          <w:szCs w:val="17"/>
          <w:color w:val="auto"/>
        </w:rPr>
        <w:t>Whenever we decide to redeem any of the ordinary shares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83" w:lineRule="exact"/>
        <w:rPr>
          <w:sz w:val="20"/>
          <w:szCs w:val="20"/>
          <w:color w:val="auto"/>
        </w:rPr>
      </w:pPr>
    </w:p>
    <w:p>
      <w:pPr>
        <w:ind w:left="1260" w:right="619" w:firstLine="360"/>
        <w:spacing w:after="0" w:line="239" w:lineRule="auto"/>
        <w:rPr>
          <w:sz w:val="20"/>
          <w:szCs w:val="20"/>
          <w:color w:val="auto"/>
        </w:rPr>
      </w:pPr>
      <w:r>
        <w:rPr>
          <w:rFonts w:ascii="Arial" w:cs="Arial" w:eastAsia="Arial" w:hAnsi="Arial"/>
          <w:sz w:val="18"/>
          <w:szCs w:val="18"/>
          <w:color w:val="auto"/>
        </w:rPr>
        <w:t xml:space="preserve">The custodian will be instructed to surrender the shares being redeemed against payment of the applicable redemption price. The depositary will convert the redemption funds received into U.S. dollars upon the terms of the deposit agreement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as the depositary may determine.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Changes Affecting Ordinary Shares</w:t>
      </w:r>
    </w:p>
    <w:p>
      <w:pPr>
        <w:spacing w:after="0" w:line="162" w:lineRule="exact"/>
        <w:rPr>
          <w:sz w:val="20"/>
          <w:szCs w:val="20"/>
          <w:color w:val="auto"/>
        </w:rPr>
      </w:pPr>
    </w:p>
    <w:p>
      <w:pPr>
        <w:ind w:left="1260" w:right="579" w:firstLine="360"/>
        <w:spacing w:after="0" w:line="243" w:lineRule="auto"/>
        <w:rPr>
          <w:sz w:val="20"/>
          <w:szCs w:val="20"/>
          <w:color w:val="auto"/>
        </w:rPr>
      </w:pPr>
      <w:r>
        <w:rPr>
          <w:rFonts w:ascii="Arial" w:cs="Arial" w:eastAsia="Arial" w:hAnsi="Arial"/>
          <w:sz w:val="18"/>
          <w:szCs w:val="18"/>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Verona.</w:t>
      </w:r>
    </w:p>
    <w:p>
      <w:pPr>
        <w:spacing w:after="0" w:line="120"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7"/>
          <w:szCs w:val="17"/>
          <w:color w:val="auto"/>
        </w:rPr>
        <w:t>If any such change were to occur, your ADSs would, to the extent permitted by law,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17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148"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U.S. and England and Wales legal considerations applicable at the time of deposit.</w:t>
      </w:r>
    </w:p>
    <w:p>
      <w:pPr>
        <w:sectPr>
          <w:pgSz w:w="11900" w:h="16838" w:orient="portrait"/>
          <w:cols w:equalWidth="0" w:num="1">
            <w:col w:w="9879"/>
          </w:cols>
          <w:pgMar w:left="580" w:top="131"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1" w:name="page32"/>
    <w:bookmarkEnd w:id="3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79" w:firstLine="360"/>
        <w:spacing w:after="0" w:line="263" w:lineRule="auto"/>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103" w:lineRule="exact"/>
        <w:rPr>
          <w:sz w:val="20"/>
          <w:szCs w:val="20"/>
          <w:color w:val="auto"/>
        </w:rPr>
      </w:pPr>
    </w:p>
    <w:p>
      <w:pPr>
        <w:ind w:left="1260" w:right="679" w:firstLine="360"/>
        <w:spacing w:after="0" w:line="277" w:lineRule="auto"/>
        <w:rPr>
          <w:sz w:val="20"/>
          <w:szCs w:val="20"/>
          <w:color w:val="auto"/>
        </w:rPr>
      </w:pPr>
      <w:r>
        <w:rPr>
          <w:rFonts w:ascii="Arial" w:cs="Arial" w:eastAsia="Arial" w:hAnsi="Arial"/>
          <w:sz w:val="18"/>
          <w:szCs w:val="18"/>
          <w:color w:val="auto"/>
        </w:rPr>
        <w:t>When you make a deposit of ordinary shares, you will be responsible for transferring good and valid title to the depositary. As such, you will be deemed to represent and warrant that:</w:t>
      </w:r>
    </w:p>
    <w:p>
      <w:pPr>
        <w:spacing w:after="0" w:line="76" w:lineRule="exact"/>
        <w:rPr>
          <w:sz w:val="20"/>
          <w:szCs w:val="20"/>
          <w:color w:val="auto"/>
        </w:rPr>
      </w:pPr>
    </w:p>
    <w:p>
      <w:pPr>
        <w:ind w:left="1800" w:right="107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ordinary shares are duly authorized, validly issued, fully paid, non-assessable and legally obtained;</w:t>
      </w:r>
    </w:p>
    <w:p>
      <w:pPr>
        <w:spacing w:after="0" w:line="62" w:lineRule="exact"/>
        <w:rPr>
          <w:rFonts w:ascii="Arial" w:cs="Arial" w:eastAsia="Arial" w:hAnsi="Arial"/>
          <w:sz w:val="18"/>
          <w:szCs w:val="18"/>
          <w:color w:val="auto"/>
        </w:rPr>
      </w:pPr>
    </w:p>
    <w:p>
      <w:pPr>
        <w:ind w:left="1800" w:right="779" w:hanging="180"/>
        <w:spacing w:after="0" w:line="277" w:lineRule="auto"/>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preemptive (and similar) rights, if any, with respect to such ordinary shares have been validly waived or exercised;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are duly authorized to deposit the ordinary shares;</w:t>
      </w:r>
    </w:p>
    <w:p>
      <w:pPr>
        <w:spacing w:after="0" w:line="130" w:lineRule="exact"/>
        <w:rPr>
          <w:rFonts w:ascii="Arial" w:cs="Arial" w:eastAsia="Arial" w:hAnsi="Arial"/>
          <w:sz w:val="18"/>
          <w:szCs w:val="18"/>
          <w:color w:val="auto"/>
        </w:rPr>
      </w:pPr>
    </w:p>
    <w:p>
      <w:pPr>
        <w:ind w:left="1800" w:right="679" w:hanging="180"/>
        <w:spacing w:after="0" w:line="286" w:lineRule="auto"/>
        <w:tabs>
          <w:tab w:leader="none" w:pos="18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 and</w:t>
      </w:r>
    </w:p>
    <w:p>
      <w:pPr>
        <w:spacing w:after="0" w:line="57" w:lineRule="exact"/>
        <w:rPr>
          <w:rFonts w:ascii="Arial" w:cs="Arial" w:eastAsia="Arial" w:hAnsi="Arial"/>
          <w:sz w:val="17"/>
          <w:szCs w:val="17"/>
          <w:color w:val="auto"/>
        </w:rPr>
      </w:pPr>
    </w:p>
    <w:p>
      <w:pPr>
        <w:ind w:left="1800" w:hanging="180"/>
        <w:spacing w:after="0"/>
        <w:tabs>
          <w:tab w:leader="none" w:pos="1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ordinary shares presented for deposit have not been stripped of any rights or entitlements.</w:t>
      </w:r>
    </w:p>
    <w:p>
      <w:pPr>
        <w:spacing w:after="0" w:line="158" w:lineRule="exact"/>
        <w:rPr>
          <w:sz w:val="20"/>
          <w:szCs w:val="20"/>
          <w:color w:val="auto"/>
        </w:rPr>
      </w:pPr>
    </w:p>
    <w:p>
      <w:pPr>
        <w:jc w:val="both"/>
        <w:ind w:left="1260" w:right="499" w:firstLine="360"/>
        <w:spacing w:after="0" w:line="342" w:lineRule="auto"/>
        <w:rPr>
          <w:sz w:val="20"/>
          <w:szCs w:val="20"/>
          <w:color w:val="auto"/>
        </w:rPr>
      </w:pPr>
      <w:r>
        <w:rPr>
          <w:rFonts w:ascii="Arial" w:cs="Arial" w:eastAsia="Arial" w:hAnsi="Arial"/>
          <w:sz w:val="16"/>
          <w:szCs w:val="16"/>
          <w:color w:val="auto"/>
        </w:rPr>
        <w:t>If any of the representations or warranties are incorrect in any way, we and the depositary may, at your cost and expense, take any and all actions necessary to correct the consequences of the misrepresentations.</w:t>
      </w:r>
    </w:p>
    <w:p>
      <w:pPr>
        <w:spacing w:after="0" w:line="12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162" w:lineRule="exact"/>
        <w:rPr>
          <w:sz w:val="20"/>
          <w:szCs w:val="20"/>
          <w:color w:val="auto"/>
        </w:rPr>
      </w:pPr>
    </w:p>
    <w:p>
      <w:pPr>
        <w:jc w:val="both"/>
        <w:ind w:left="1260" w:right="839" w:firstLine="360"/>
        <w:spacing w:after="0" w:line="263" w:lineRule="auto"/>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76" w:lineRule="exact"/>
        <w:rPr>
          <w:sz w:val="20"/>
          <w:szCs w:val="20"/>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ensure that the surrendered ADR is properly endorsed or otherwise in proper form for transfer;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provide such proof of identity and genuineness of signatures as the depositary deems appropriate;</w:t>
      </w:r>
    </w:p>
    <w:p>
      <w:pPr>
        <w:spacing w:after="0" w:line="142" w:lineRule="exact"/>
        <w:rPr>
          <w:rFonts w:ascii="Arial" w:cs="Arial" w:eastAsia="Arial" w:hAnsi="Arial"/>
          <w:sz w:val="17"/>
          <w:szCs w:val="17"/>
          <w:color w:val="auto"/>
        </w:rPr>
      </w:pPr>
    </w:p>
    <w:p>
      <w:pPr>
        <w:ind w:left="1800" w:hanging="180"/>
        <w:spacing w:after="0"/>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provide any transfer stamps required by the State of New York or the United States; and</w:t>
      </w:r>
    </w:p>
    <w:p>
      <w:pPr>
        <w:spacing w:after="0" w:line="117" w:lineRule="exact"/>
        <w:rPr>
          <w:rFonts w:ascii="Arial" w:cs="Arial" w:eastAsia="Arial" w:hAnsi="Arial"/>
          <w:sz w:val="18"/>
          <w:szCs w:val="18"/>
          <w:color w:val="auto"/>
        </w:rPr>
      </w:pPr>
    </w:p>
    <w:p>
      <w:pPr>
        <w:ind w:left="1800" w:right="839" w:hanging="180"/>
        <w:spacing w:after="0" w:line="308" w:lineRule="auto"/>
        <w:tabs>
          <w:tab w:leader="none" w:pos="1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pay all applicable fees, charges, expenses, taxes and other government charges payable by ADR holders pursuant to the terms of the deposit agreement, upon the transfer of ADRs.</w:t>
      </w:r>
    </w:p>
    <w:p>
      <w:pPr>
        <w:spacing w:after="0" w:line="79" w:lineRule="exact"/>
        <w:rPr>
          <w:sz w:val="20"/>
          <w:szCs w:val="20"/>
          <w:color w:val="auto"/>
        </w:rPr>
      </w:pPr>
    </w:p>
    <w:p>
      <w:pPr>
        <w:jc w:val="both"/>
        <w:ind w:left="1260" w:right="899" w:firstLine="360"/>
        <w:spacing w:after="0" w:line="259" w:lineRule="auto"/>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148"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U.S. and England and Wales considerations applicable at the time of withdrawal. In order to withdraw the ordinary shares represented by your ADSs, you will be required to pay to the depositary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110" w:lineRule="exact"/>
        <w:rPr>
          <w:sz w:val="20"/>
          <w:szCs w:val="20"/>
          <w:color w:val="auto"/>
        </w:rPr>
      </w:pPr>
    </w:p>
    <w:p>
      <w:pPr>
        <w:ind w:left="1260" w:right="499" w:firstLine="360"/>
        <w:spacing w:after="0" w:line="255" w:lineRule="auto"/>
        <w:rPr>
          <w:sz w:val="20"/>
          <w:szCs w:val="20"/>
          <w:color w:val="auto"/>
        </w:rPr>
      </w:pPr>
      <w:r>
        <w:rPr>
          <w:rFonts w:ascii="Arial" w:cs="Arial" w:eastAsia="Arial" w:hAnsi="Arial"/>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368"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680656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2" w:name="page33"/>
    <w:bookmarkEnd w:id="3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1560" w:firstLine="360"/>
        <w:spacing w:after="0" w:line="277" w:lineRule="auto"/>
        <w:rPr>
          <w:sz w:val="20"/>
          <w:szCs w:val="20"/>
          <w:color w:val="auto"/>
        </w:rPr>
      </w:pPr>
      <w:r>
        <w:rPr>
          <w:rFonts w:ascii="Arial" w:cs="Arial" w:eastAsia="Arial" w:hAnsi="Arial"/>
          <w:sz w:val="18"/>
          <w:szCs w:val="18"/>
          <w:color w:val="auto"/>
        </w:rPr>
        <w:t>You will have the right to withdraw the securities represented by your ADSs at any time except as a result of:</w:t>
      </w:r>
    </w:p>
    <w:p>
      <w:pPr>
        <w:spacing w:after="0" w:line="62" w:lineRule="exact"/>
        <w:rPr>
          <w:sz w:val="20"/>
          <w:szCs w:val="20"/>
          <w:color w:val="auto"/>
        </w:rPr>
      </w:pPr>
    </w:p>
    <w:p>
      <w:pPr>
        <w:ind w:left="1800" w:right="1260" w:hanging="180"/>
        <w:spacing w:after="0" w:line="263"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75" w:lineRule="exact"/>
        <w:rPr>
          <w:rFonts w:ascii="Arial" w:cs="Arial" w:eastAsia="Arial" w:hAnsi="Arial"/>
          <w:sz w:val="18"/>
          <w:szCs w:val="18"/>
          <w:color w:val="auto"/>
        </w:rPr>
      </w:pPr>
    </w:p>
    <w:p>
      <w:pPr>
        <w:ind w:left="1800" w:hanging="180"/>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obligations to pay fees, taxes and similar charges; and/or</w:t>
      </w:r>
    </w:p>
    <w:p>
      <w:pPr>
        <w:spacing w:after="0" w:line="117" w:lineRule="exact"/>
        <w:rPr>
          <w:rFonts w:ascii="Arial" w:cs="Arial" w:eastAsia="Arial" w:hAnsi="Arial"/>
          <w:sz w:val="18"/>
          <w:szCs w:val="18"/>
          <w:color w:val="auto"/>
        </w:rPr>
      </w:pPr>
    </w:p>
    <w:p>
      <w:pPr>
        <w:ind w:left="1800" w:right="1960" w:hanging="180"/>
        <w:spacing w:after="0" w:line="277" w:lineRule="auto"/>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restrictions imposed because of laws or regulations applicable to ADSs or the withdrawal of securities on deposit.</w:t>
      </w:r>
    </w:p>
    <w:p>
      <w:pPr>
        <w:spacing w:after="0" w:line="103" w:lineRule="exact"/>
        <w:rPr>
          <w:sz w:val="20"/>
          <w:szCs w:val="20"/>
          <w:color w:val="auto"/>
        </w:rPr>
      </w:pPr>
    </w:p>
    <w:p>
      <w:pPr>
        <w:ind w:left="1260" w:right="1320" w:firstLine="360"/>
        <w:spacing w:after="0" w:line="277"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Voting Rights</w:t>
      </w:r>
    </w:p>
    <w:p>
      <w:pPr>
        <w:spacing w:after="0" w:line="148" w:lineRule="exact"/>
        <w:rPr>
          <w:sz w:val="20"/>
          <w:szCs w:val="20"/>
          <w:color w:val="auto"/>
        </w:rPr>
      </w:pPr>
    </w:p>
    <w:p>
      <w:pPr>
        <w:ind w:left="1260" w:right="1340" w:firstLine="360"/>
        <w:spacing w:after="0" w:line="259" w:lineRule="auto"/>
        <w:rPr>
          <w:sz w:val="20"/>
          <w:szCs w:val="20"/>
          <w:color w:val="auto"/>
        </w:rPr>
      </w:pPr>
      <w:r>
        <w:rPr>
          <w:rFonts w:ascii="Arial" w:cs="Arial" w:eastAsia="Arial" w:hAnsi="Arial"/>
          <w:sz w:val="18"/>
          <w:szCs w:val="18"/>
          <w:color w:val="auto"/>
        </w:rPr>
        <w:t>As a holder, you generally have the right under the deposit agreement to instruct the depositary to exercise the voting rights for the ordinary shares represented by your ADSs. The voting rights of holders of ordinary shares are described in “Description of Share Capital and Articles of Association — Articles of Association” above.</w:t>
      </w:r>
    </w:p>
    <w:p>
      <w:pPr>
        <w:spacing w:after="0" w:line="119" w:lineRule="exact"/>
        <w:rPr>
          <w:sz w:val="20"/>
          <w:szCs w:val="20"/>
          <w:color w:val="auto"/>
        </w:rPr>
      </w:pPr>
    </w:p>
    <w:p>
      <w:pPr>
        <w:ind w:left="1260" w:right="1380" w:firstLine="360"/>
        <w:spacing w:after="0" w:line="263" w:lineRule="auto"/>
        <w:rPr>
          <w:sz w:val="20"/>
          <w:szCs w:val="20"/>
          <w:color w:val="auto"/>
        </w:rPr>
      </w:pPr>
      <w:r>
        <w:rPr>
          <w:rFonts w:ascii="Arial" w:cs="Arial" w:eastAsia="Arial" w:hAnsi="Arial"/>
          <w:sz w:val="18"/>
          <w:szCs w:val="18"/>
          <w:color w:val="auto"/>
        </w:rPr>
        <w:t>At our request, the depositary will distribute to you any notice of shareholders’ meeting received from us together with information explaining how to instruct the depositary to exercise the voting rights of the securities represented by ADSs.</w:t>
      </w:r>
    </w:p>
    <w:p>
      <w:pPr>
        <w:spacing w:after="0" w:line="116" w:lineRule="exact"/>
        <w:rPr>
          <w:sz w:val="20"/>
          <w:szCs w:val="20"/>
          <w:color w:val="auto"/>
        </w:rPr>
      </w:pPr>
    </w:p>
    <w:p>
      <w:pPr>
        <w:ind w:left="1260" w:right="1300" w:firstLine="360"/>
        <w:spacing w:after="0" w:line="277" w:lineRule="auto"/>
        <w:rPr>
          <w:sz w:val="20"/>
          <w:szCs w:val="20"/>
          <w:color w:val="auto"/>
        </w:rPr>
      </w:pPr>
      <w:r>
        <w:rPr>
          <w:rFonts w:ascii="Arial" w:cs="Arial" w:eastAsia="Arial" w:hAnsi="Arial"/>
          <w:sz w:val="18"/>
          <w:szCs w:val="18"/>
          <w:color w:val="auto"/>
        </w:rPr>
        <w:t>If the depositary timely receives voting instructions from a holder of ADSs, it will endeavor to vote the securities (in person or by proxy) represented by the holder’s ADSs as follows:</w:t>
      </w:r>
    </w:p>
    <w:p>
      <w:pPr>
        <w:spacing w:after="0" w:line="62" w:lineRule="exact"/>
        <w:rPr>
          <w:sz w:val="20"/>
          <w:szCs w:val="20"/>
          <w:color w:val="auto"/>
        </w:rPr>
      </w:pPr>
    </w:p>
    <w:p>
      <w:pPr>
        <w:ind w:left="1800" w:right="1440" w:hanging="180"/>
        <w:spacing w:after="0" w:line="263" w:lineRule="auto"/>
        <w:tabs>
          <w:tab w:leader="none" w:pos="18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In the event of voting by show of hands</w:t>
      </w:r>
      <w:r>
        <w:rPr>
          <w:rFonts w:ascii="Arial" w:cs="Arial" w:eastAsia="Arial" w:hAnsi="Arial"/>
          <w:sz w:val="18"/>
          <w:szCs w:val="18"/>
          <w:color w:val="auto"/>
        </w:rPr>
        <w:t>, the depositary will vote (or cause the custodian to vote) all</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held on deposit at that time in accordance with the voting instructions received from a majority of holders of ADSs who provide timely voting instructions.</w:t>
      </w:r>
    </w:p>
    <w:p>
      <w:pPr>
        <w:spacing w:after="0" w:line="75" w:lineRule="exact"/>
        <w:rPr>
          <w:rFonts w:ascii="Arial" w:cs="Arial" w:eastAsia="Arial" w:hAnsi="Arial"/>
          <w:sz w:val="18"/>
          <w:szCs w:val="18"/>
          <w:color w:val="auto"/>
        </w:rPr>
      </w:pPr>
    </w:p>
    <w:p>
      <w:pPr>
        <w:ind w:left="1800" w:right="1300" w:hanging="180"/>
        <w:spacing w:after="0" w:line="308" w:lineRule="auto"/>
        <w:tabs>
          <w:tab w:leader="none" w:pos="180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In the event of voting by poll</w:t>
      </w:r>
      <w:r>
        <w:rPr>
          <w:rFonts w:ascii="Arial" w:cs="Arial" w:eastAsia="Arial" w:hAnsi="Arial"/>
          <w:sz w:val="17"/>
          <w:szCs w:val="17"/>
          <w:color w:val="auto"/>
        </w:rPr>
        <w:t>, the depositary will vote (or cause the custodian to vote) the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shares held on deposit in accordance with the voting instructions received from the holders of ADSs.</w:t>
      </w:r>
    </w:p>
    <w:p>
      <w:pPr>
        <w:spacing w:after="0" w:line="79" w:lineRule="exact"/>
        <w:rPr>
          <w:sz w:val="20"/>
          <w:szCs w:val="20"/>
          <w:color w:val="auto"/>
        </w:rPr>
      </w:pPr>
    </w:p>
    <w:p>
      <w:pPr>
        <w:ind w:left="1260" w:right="1340" w:firstLine="360"/>
        <w:spacing w:after="0" w:line="257"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herein).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Fees and Charges</w:t>
      </w:r>
    </w:p>
    <w:p>
      <w:pPr>
        <w:spacing w:after="0" w:line="148" w:lineRule="exact"/>
        <w:rPr>
          <w:sz w:val="20"/>
          <w:szCs w:val="20"/>
          <w:color w:val="auto"/>
        </w:rPr>
      </w:pPr>
    </w:p>
    <w:p>
      <w:pPr>
        <w:ind w:left="1260" w:right="1880" w:firstLine="360"/>
        <w:spacing w:after="0" w:line="277" w:lineRule="auto"/>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tcPr>
          <w:p>
            <w:pPr>
              <w:spacing w:after="0"/>
              <w:rPr>
                <w:sz w:val="16"/>
                <w:szCs w:val="16"/>
                <w:color w:val="auto"/>
              </w:rPr>
            </w:pPr>
          </w:p>
        </w:tc>
        <w:tc>
          <w:tcPr>
            <w:tcW w:w="3940" w:type="dxa"/>
            <w:vAlign w:val="bottom"/>
            <w:tcBorders>
              <w:bottom w:val="single" w:sz="8" w:color="auto"/>
            </w:tcBorders>
          </w:tcPr>
          <w:p>
            <w:pPr>
              <w:ind w:left="1780"/>
              <w:spacing w:after="0"/>
              <w:rPr>
                <w:sz w:val="20"/>
                <w:szCs w:val="20"/>
                <w:color w:val="auto"/>
              </w:rPr>
            </w:pPr>
            <w:r>
              <w:rPr>
                <w:rFonts w:ascii="Arial" w:cs="Arial" w:eastAsia="Arial" w:hAnsi="Arial"/>
                <w:sz w:val="14"/>
                <w:szCs w:val="14"/>
                <w:b w:val="1"/>
                <w:bCs w:val="1"/>
                <w:color w:val="auto"/>
              </w:rPr>
              <w:t>Service</w:t>
            </w:r>
          </w:p>
        </w:tc>
        <w:tc>
          <w:tcPr>
            <w:tcW w:w="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98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Fee</w:t>
            </w:r>
          </w:p>
        </w:tc>
        <w:tc>
          <w:tcPr>
            <w:tcW w:w="1260" w:type="dxa"/>
            <w:vAlign w:val="bottom"/>
          </w:tcPr>
          <w:p>
            <w:pPr>
              <w:spacing w:after="0"/>
              <w:rPr>
                <w:sz w:val="16"/>
                <w:szCs w:val="16"/>
                <w:color w:val="auto"/>
              </w:rPr>
            </w:pPr>
          </w:p>
        </w:tc>
      </w:tr>
      <w:tr>
        <w:trPr>
          <w:trHeight w:val="201"/>
        </w:trPr>
        <w:tc>
          <w:tcPr>
            <w:tcW w:w="1260" w:type="dxa"/>
            <w:vAlign w:val="bottom"/>
          </w:tcPr>
          <w:p>
            <w:pPr>
              <w:spacing w:after="0"/>
              <w:rPr>
                <w:sz w:val="17"/>
                <w:szCs w:val="17"/>
                <w:color w:val="auto"/>
              </w:rPr>
            </w:pPr>
          </w:p>
        </w:tc>
        <w:tc>
          <w:tcPr>
            <w:tcW w:w="3940" w:type="dxa"/>
            <w:vAlign w:val="bottom"/>
          </w:tcPr>
          <w:p>
            <w:pPr>
              <w:spacing w:after="0" w:line="201" w:lineRule="exact"/>
              <w:rPr>
                <w:sz w:val="20"/>
                <w:szCs w:val="20"/>
                <w:color w:val="auto"/>
              </w:rPr>
            </w:pPr>
            <w:r>
              <w:rPr>
                <w:rFonts w:ascii="Arial" w:cs="Arial" w:eastAsia="Arial" w:hAnsi="Arial"/>
                <w:sz w:val="18"/>
                <w:szCs w:val="18"/>
                <w:color w:val="auto"/>
                <w:w w:val="95"/>
              </w:rPr>
              <w:t>Issuance of ADSs (e.g., an issuance of ADS upon a</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980" w:type="dxa"/>
            <w:vAlign w:val="bottom"/>
          </w:tcPr>
          <w:p>
            <w:pPr>
              <w:spacing w:after="0" w:line="201" w:lineRule="exact"/>
              <w:rPr>
                <w:sz w:val="20"/>
                <w:szCs w:val="20"/>
                <w:color w:val="auto"/>
              </w:rPr>
            </w:pPr>
            <w:r>
              <w:rPr>
                <w:rFonts w:ascii="Arial" w:cs="Arial" w:eastAsia="Arial" w:hAnsi="Arial"/>
                <w:sz w:val="18"/>
                <w:szCs w:val="18"/>
                <w:color w:val="auto"/>
              </w:rPr>
              <w:t>Up to $0.05 per ADS issued</w:t>
            </w:r>
          </w:p>
        </w:tc>
        <w:tc>
          <w:tcPr>
            <w:tcW w:w="1260" w:type="dxa"/>
            <w:vAlign w:val="bottom"/>
          </w:tcPr>
          <w:p>
            <w:pPr>
              <w:spacing w:after="0"/>
              <w:rPr>
                <w:sz w:val="17"/>
                <w:szCs w:val="17"/>
                <w:color w:val="auto"/>
              </w:rPr>
            </w:pPr>
          </w:p>
        </w:tc>
      </w:tr>
      <w:tr>
        <w:trPr>
          <w:trHeight w:val="216"/>
        </w:trPr>
        <w:tc>
          <w:tcPr>
            <w:tcW w:w="12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7"/>
              </w:rPr>
              <w:t>deposit of ordinary shares or upon a change in the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ADS(s)-to-ordinary shares ratio), excluding ADS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issuances as a result of distributions of ordinary</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shares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7"/>
              </w:rPr>
              <w:t>Cancellation of ADSs (e.g., a cancellation of ADSs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Up to $0.05 per ADS cancelled</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w w:val="96"/>
              </w:rPr>
              <w:t>for delivery of deposited property or upon a change</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 the ADS(s)-to-ordinary shares ratio)</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Distribution of cash dividends or other cash</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Up to $0.05 per ADS held</w:t>
            </w:r>
          </w:p>
        </w:tc>
        <w:tc>
          <w:tcPr>
            <w:tcW w:w="1260" w:type="dxa"/>
            <w:vAlign w:val="bottom"/>
          </w:tcPr>
          <w:p>
            <w:pPr>
              <w:spacing w:after="0"/>
              <w:rPr>
                <w:sz w:val="18"/>
                <w:szCs w:val="18"/>
                <w:color w:val="auto"/>
              </w:rPr>
            </w:pPr>
          </w:p>
        </w:tc>
      </w:tr>
      <w:tr>
        <w:trPr>
          <w:trHeight w:val="216"/>
        </w:trPr>
        <w:tc>
          <w:tcPr>
            <w:tcW w:w="126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distributions (e.g., upon a sale of rights and other</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126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entitlements)</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607"/>
        </w:trPr>
        <w:tc>
          <w:tcPr>
            <w:tcW w:w="12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28</w:t>
            </w:r>
          </w:p>
        </w:tc>
        <w:tc>
          <w:tcPr>
            <w:tcW w:w="398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99"/>
        </w:trPr>
        <w:tc>
          <w:tcPr>
            <w:tcW w:w="1260" w:type="dxa"/>
            <w:vAlign w:val="bottom"/>
            <w:tcBorders>
              <w:bottom w:val="single" w:sz="8" w:color="9A9A9A"/>
            </w:tcBorders>
          </w:tcPr>
          <w:p>
            <w:pPr>
              <w:spacing w:after="0"/>
              <w:rPr>
                <w:sz w:val="24"/>
                <w:szCs w:val="24"/>
                <w:color w:val="auto"/>
              </w:rPr>
            </w:pPr>
          </w:p>
        </w:tc>
        <w:tc>
          <w:tcPr>
            <w:tcW w:w="3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9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6800850</wp:posOffset>
            </wp:positionH>
            <wp:positionV relativeFrom="paragraph">
              <wp:posOffset>-8255</wp:posOffset>
            </wp:positionV>
            <wp:extent cx="8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-16510</wp:posOffset>
            </wp:positionV>
            <wp:extent cx="8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0720"/>
          </w:cols>
          <w:pgMar w:left="580" w:top="131" w:right="599" w:bottom="1440" w:gutter="0" w:footer="0" w:header="0"/>
        </w:sectPr>
      </w:pPr>
    </w:p>
    <w:bookmarkStart w:id="33" w:name="page34"/>
    <w:bookmarkEnd w:id="3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92"/>
        </w:trPr>
        <w:tc>
          <w:tcPr>
            <w:tcW w:w="4220" w:type="dxa"/>
            <w:vAlign w:val="bottom"/>
            <w:gridSpan w:val="2"/>
          </w:tcPr>
          <w:p>
            <w:pPr>
              <w:ind w:left="1780"/>
              <w:spacing w:after="0"/>
              <w:rPr>
                <w:sz w:val="20"/>
                <w:szCs w:val="20"/>
                <w:color w:val="auto"/>
              </w:rPr>
            </w:pPr>
            <w:r>
              <w:rPr>
                <w:rFonts w:ascii="Arial" w:cs="Arial" w:eastAsia="Arial" w:hAnsi="Arial"/>
                <w:sz w:val="14"/>
                <w:szCs w:val="14"/>
                <w:b w:val="1"/>
                <w:bCs w:val="1"/>
                <w:color w:val="auto"/>
              </w:rPr>
              <w:t>Service</w:t>
            </w:r>
          </w:p>
        </w:tc>
        <w:tc>
          <w:tcPr>
            <w:tcW w:w="3980" w:type="dxa"/>
            <w:vAlign w:val="bottom"/>
          </w:tcPr>
          <w:p>
            <w:pPr>
              <w:ind w:left="1880"/>
              <w:spacing w:after="0"/>
              <w:rPr>
                <w:sz w:val="20"/>
                <w:szCs w:val="20"/>
                <w:color w:val="auto"/>
              </w:rPr>
            </w:pPr>
            <w:r>
              <w:rPr>
                <w:rFonts w:ascii="Arial" w:cs="Arial" w:eastAsia="Arial" w:hAnsi="Arial"/>
                <w:sz w:val="14"/>
                <w:szCs w:val="14"/>
                <w:b w:val="1"/>
                <w:bCs w:val="1"/>
                <w:color w:val="auto"/>
              </w:rPr>
              <w:t>Fee</w:t>
            </w:r>
          </w:p>
        </w:tc>
      </w:tr>
      <w:tr>
        <w:trPr>
          <w:trHeight w:val="215"/>
        </w:trPr>
        <w:tc>
          <w:tcPr>
            <w:tcW w:w="40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Distribution of ADSs pursuant to (i) stock dividends</w:t>
            </w:r>
          </w:p>
        </w:tc>
        <w:tc>
          <w:tcPr>
            <w:tcW w:w="22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Up to $0.05 per ADS held</w:t>
            </w:r>
          </w:p>
        </w:tc>
      </w:tr>
      <w:tr>
        <w:trPr>
          <w:trHeight w:val="216"/>
        </w:trPr>
        <w:tc>
          <w:tcPr>
            <w:tcW w:w="4220" w:type="dxa"/>
            <w:vAlign w:val="bottom"/>
            <w:gridSpan w:val="2"/>
          </w:tcPr>
          <w:p>
            <w:pPr>
              <w:spacing w:after="0"/>
              <w:rPr>
                <w:sz w:val="20"/>
                <w:szCs w:val="20"/>
                <w:color w:val="auto"/>
              </w:rPr>
            </w:pPr>
            <w:r>
              <w:rPr>
                <w:rFonts w:ascii="Arial" w:cs="Arial" w:eastAsia="Arial" w:hAnsi="Arial"/>
                <w:sz w:val="18"/>
                <w:szCs w:val="18"/>
                <w:color w:val="auto"/>
              </w:rPr>
              <w:t>or other free stock distributions, or (ii) exercise of</w:t>
            </w:r>
          </w:p>
        </w:tc>
        <w:tc>
          <w:tcPr>
            <w:tcW w:w="3980" w:type="dxa"/>
            <w:vAlign w:val="bottom"/>
          </w:tcPr>
          <w:p>
            <w:pPr>
              <w:spacing w:after="0"/>
              <w:rPr>
                <w:sz w:val="18"/>
                <w:szCs w:val="18"/>
                <w:color w:val="auto"/>
              </w:rPr>
            </w:pP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rights to purchase additional ADSs</w:t>
            </w:r>
          </w:p>
        </w:tc>
        <w:tc>
          <w:tcPr>
            <w:tcW w:w="3980" w:type="dxa"/>
            <w:vAlign w:val="bottom"/>
          </w:tcPr>
          <w:p>
            <w:pPr>
              <w:spacing w:after="0"/>
              <w:rPr>
                <w:sz w:val="20"/>
                <w:szCs w:val="20"/>
                <w:color w:val="auto"/>
              </w:rPr>
            </w:pPr>
          </w:p>
        </w:tc>
      </w:tr>
      <w:tr>
        <w:trPr>
          <w:trHeight w:val="229"/>
        </w:trPr>
        <w:tc>
          <w:tcPr>
            <w:tcW w:w="4220" w:type="dxa"/>
            <w:vAlign w:val="bottom"/>
            <w:gridSpan w:val="2"/>
          </w:tcPr>
          <w:p>
            <w:pPr>
              <w:spacing w:after="0"/>
              <w:rPr>
                <w:sz w:val="20"/>
                <w:szCs w:val="20"/>
                <w:color w:val="auto"/>
              </w:rPr>
            </w:pPr>
            <w:r>
              <w:rPr>
                <w:rFonts w:ascii="Arial" w:cs="Arial" w:eastAsia="Arial" w:hAnsi="Arial"/>
                <w:sz w:val="18"/>
                <w:szCs w:val="18"/>
                <w:color w:val="auto"/>
              </w:rPr>
              <w:t>Distribution of securities other than ADSs or rights</w:t>
            </w:r>
          </w:p>
        </w:tc>
        <w:tc>
          <w:tcPr>
            <w:tcW w:w="3980" w:type="dxa"/>
            <w:vAlign w:val="bottom"/>
          </w:tcPr>
          <w:p>
            <w:pPr>
              <w:spacing w:after="0"/>
              <w:rPr>
                <w:sz w:val="20"/>
                <w:szCs w:val="20"/>
                <w:color w:val="auto"/>
              </w:rPr>
            </w:pPr>
            <w:r>
              <w:rPr>
                <w:rFonts w:ascii="Arial" w:cs="Arial" w:eastAsia="Arial" w:hAnsi="Arial"/>
                <w:sz w:val="18"/>
                <w:szCs w:val="18"/>
                <w:color w:val="auto"/>
              </w:rPr>
              <w:t>Up to $0.05 per ADS held</w:t>
            </w:r>
          </w:p>
        </w:tc>
      </w:tr>
      <w:tr>
        <w:trPr>
          <w:trHeight w:val="230"/>
        </w:trPr>
        <w:tc>
          <w:tcPr>
            <w:tcW w:w="4220" w:type="dxa"/>
            <w:vAlign w:val="bottom"/>
            <w:gridSpan w:val="2"/>
          </w:tcPr>
          <w:p>
            <w:pPr>
              <w:spacing w:after="0"/>
              <w:rPr>
                <w:sz w:val="20"/>
                <w:szCs w:val="20"/>
                <w:color w:val="auto"/>
              </w:rPr>
            </w:pPr>
            <w:r>
              <w:rPr>
                <w:rFonts w:ascii="Arial" w:cs="Arial" w:eastAsia="Arial" w:hAnsi="Arial"/>
                <w:sz w:val="18"/>
                <w:szCs w:val="18"/>
                <w:color w:val="auto"/>
              </w:rPr>
              <w:t>to purchase additional ADSs (e.g., upon a spin-off)</w:t>
            </w:r>
          </w:p>
        </w:tc>
        <w:tc>
          <w:tcPr>
            <w:tcW w:w="3980" w:type="dxa"/>
            <w:vAlign w:val="bottom"/>
          </w:tcPr>
          <w:p>
            <w:pPr>
              <w:spacing w:after="0"/>
              <w:rPr>
                <w:sz w:val="20"/>
                <w:szCs w:val="20"/>
                <w:color w:val="auto"/>
              </w:rPr>
            </w:pPr>
          </w:p>
        </w:tc>
      </w:tr>
      <w:tr>
        <w:trPr>
          <w:trHeight w:val="229"/>
        </w:trPr>
        <w:tc>
          <w:tcPr>
            <w:tcW w:w="4220" w:type="dxa"/>
            <w:vAlign w:val="bottom"/>
            <w:gridSpan w:val="2"/>
          </w:tcPr>
          <w:p>
            <w:pPr>
              <w:spacing w:after="0"/>
              <w:rPr>
                <w:sz w:val="20"/>
                <w:szCs w:val="20"/>
                <w:color w:val="auto"/>
              </w:rPr>
            </w:pPr>
            <w:r>
              <w:rPr>
                <w:rFonts w:ascii="Arial" w:cs="Arial" w:eastAsia="Arial" w:hAnsi="Arial"/>
                <w:sz w:val="18"/>
                <w:szCs w:val="18"/>
                <w:color w:val="auto"/>
              </w:rPr>
              <w:t>ADS Services</w:t>
            </w:r>
          </w:p>
        </w:tc>
        <w:tc>
          <w:tcPr>
            <w:tcW w:w="3980" w:type="dxa"/>
            <w:vAlign w:val="bottom"/>
          </w:tcPr>
          <w:p>
            <w:pPr>
              <w:spacing w:after="0"/>
              <w:rPr>
                <w:sz w:val="20"/>
                <w:szCs w:val="20"/>
                <w:color w:val="auto"/>
              </w:rPr>
            </w:pPr>
            <w:r>
              <w:rPr>
                <w:rFonts w:ascii="Arial" w:cs="Arial" w:eastAsia="Arial" w:hAnsi="Arial"/>
                <w:sz w:val="18"/>
                <w:szCs w:val="18"/>
                <w:color w:val="auto"/>
                <w:w w:val="98"/>
              </w:rPr>
              <w:t>Up to $0.05 per ADS held on the applicable record</w:t>
            </w:r>
          </w:p>
        </w:tc>
      </w:tr>
      <w:tr>
        <w:trPr>
          <w:trHeight w:val="230"/>
        </w:trPr>
        <w:tc>
          <w:tcPr>
            <w:tcW w:w="4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date(s) established by the depositary</w:t>
            </w:r>
          </w:p>
        </w:tc>
      </w:tr>
    </w:tbl>
    <w:p>
      <w:pPr>
        <w:spacing w:after="0" w:line="28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104" w:lineRule="exact"/>
        <w:rPr>
          <w:sz w:val="20"/>
          <w:szCs w:val="20"/>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17" w:lineRule="exact"/>
        <w:rPr>
          <w:rFonts w:ascii="Arial" w:cs="Arial" w:eastAsia="Arial" w:hAnsi="Arial"/>
          <w:sz w:val="18"/>
          <w:szCs w:val="18"/>
          <w:color w:val="auto"/>
        </w:rPr>
      </w:pPr>
    </w:p>
    <w:p>
      <w:pPr>
        <w:ind w:left="1800" w:right="479" w:hanging="180"/>
        <w:spacing w:after="0" w:line="286" w:lineRule="auto"/>
        <w:tabs>
          <w:tab w:leader="none" w:pos="18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43" w:lineRule="exact"/>
        <w:rPr>
          <w:rFonts w:ascii="Arial" w:cs="Arial" w:eastAsia="Arial" w:hAnsi="Arial"/>
          <w:sz w:val="17"/>
          <w:szCs w:val="17"/>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certain cable, telex and facsimile transmission and delivery expenses;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expenses and charges incurred by the depositary in the conversion of foreign currency;</w:t>
      </w:r>
    </w:p>
    <w:p>
      <w:pPr>
        <w:spacing w:after="0" w:line="117" w:lineRule="exact"/>
        <w:rPr>
          <w:rFonts w:ascii="Arial" w:cs="Arial" w:eastAsia="Arial" w:hAnsi="Arial"/>
          <w:sz w:val="18"/>
          <w:szCs w:val="18"/>
          <w:color w:val="auto"/>
        </w:rPr>
      </w:pPr>
    </w:p>
    <w:p>
      <w:pPr>
        <w:jc w:val="both"/>
        <w:ind w:left="1800" w:right="919" w:hanging="180"/>
        <w:spacing w:after="0" w:line="263"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62" w:lineRule="exact"/>
        <w:rPr>
          <w:rFonts w:ascii="Arial" w:cs="Arial" w:eastAsia="Arial" w:hAnsi="Arial"/>
          <w:sz w:val="18"/>
          <w:szCs w:val="18"/>
          <w:color w:val="auto"/>
        </w:rPr>
      </w:pPr>
    </w:p>
    <w:p>
      <w:pPr>
        <w:ind w:left="1800" w:right="619" w:hanging="180"/>
        <w:spacing w:after="0" w:line="277" w:lineRule="auto"/>
        <w:tabs>
          <w:tab w:leader="none" w:pos="1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fees and expenses incurred by the depositary, the custodian, or any nominee in connection with the servicing or delivery of deposited property.</w:t>
      </w:r>
    </w:p>
    <w:p>
      <w:pPr>
        <w:spacing w:after="0" w:line="103" w:lineRule="exact"/>
        <w:rPr>
          <w:sz w:val="20"/>
          <w:szCs w:val="20"/>
          <w:color w:val="auto"/>
        </w:rPr>
      </w:pPr>
    </w:p>
    <w:p>
      <w:pPr>
        <w:ind w:left="1260" w:right="439" w:firstLine="360"/>
        <w:spacing w:after="0" w:line="251" w:lineRule="auto"/>
        <w:rPr>
          <w:sz w:val="20"/>
          <w:szCs w:val="20"/>
          <w:color w:val="auto"/>
        </w:rPr>
      </w:pPr>
      <w:r>
        <w:rPr>
          <w:rFonts w:ascii="Arial" w:cs="Arial" w:eastAsia="Arial" w:hAnsi="Arial"/>
          <w:sz w:val="17"/>
          <w:szCs w:val="17"/>
          <w:color w:val="auto"/>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102"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any applicable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Amendments and Termination</w:t>
      </w:r>
    </w:p>
    <w:p>
      <w:pPr>
        <w:spacing w:after="0" w:line="162" w:lineRule="exact"/>
        <w:rPr>
          <w:sz w:val="20"/>
          <w:szCs w:val="20"/>
          <w:color w:val="auto"/>
        </w:rPr>
      </w:pPr>
    </w:p>
    <w:p>
      <w:pPr>
        <w:ind w:left="1260" w:right="459" w:firstLine="360"/>
        <w:spacing w:after="0" w:line="291" w:lineRule="auto"/>
        <w:rPr>
          <w:sz w:val="20"/>
          <w:szCs w:val="20"/>
          <w:color w:val="auto"/>
        </w:rPr>
      </w:pPr>
      <w:r>
        <w:rPr>
          <w:rFonts w:ascii="Arial" w:cs="Arial" w:eastAsia="Arial" w:hAnsi="Arial"/>
          <w:sz w:val="17"/>
          <w:szCs w:val="17"/>
          <w:color w:val="auto"/>
        </w:rPr>
        <w:t>We may agree with the depositary to modify the deposit agreement at any time without your consent. We undertake to give holders 30 days’ prior notice of any modifications that would materially prejudice any</w:t>
      </w: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680656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4" w:name="page35"/>
    <w:bookmarkEnd w:id="3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99"/>
        <w:spacing w:after="0" w:line="257" w:lineRule="auto"/>
        <w:rPr>
          <w:sz w:val="20"/>
          <w:szCs w:val="20"/>
          <w:color w:val="auto"/>
        </w:rPr>
      </w:pPr>
      <w:r>
        <w:rPr>
          <w:rFonts w:ascii="Arial" w:cs="Arial" w:eastAsia="Arial" w:hAnsi="Arial"/>
          <w:sz w:val="17"/>
          <w:szCs w:val="17"/>
          <w:color w:val="auto"/>
        </w:rPr>
        <w:t>of their substantial rights under the deposit agreement. We will not consider to be materially prejudicial to your substantial rights any modifications or supplements that are reasonably necessary for the ADSs to be registered under the Securities Act of 1933, as amended, or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94" w:lineRule="exact"/>
        <w:rPr>
          <w:sz w:val="20"/>
          <w:szCs w:val="20"/>
          <w:color w:val="auto"/>
        </w:rPr>
      </w:pPr>
    </w:p>
    <w:p>
      <w:pPr>
        <w:ind w:left="1260" w:right="719" w:firstLine="360"/>
        <w:spacing w:after="0" w:line="243" w:lineRule="auto"/>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120"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18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Termination</w:t>
      </w:r>
    </w:p>
    <w:p>
      <w:pPr>
        <w:spacing w:after="0" w:line="162" w:lineRule="exact"/>
        <w:rPr>
          <w:sz w:val="20"/>
          <w:szCs w:val="20"/>
          <w:color w:val="auto"/>
        </w:rPr>
      </w:pPr>
    </w:p>
    <w:p>
      <w:pPr>
        <w:ind w:left="1260" w:right="479" w:firstLine="360"/>
        <w:spacing w:after="0"/>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 -interest bearing account. At that point, the depositary will have no further obligations to holders other than to account for the funds then held for the holders of ADSs still outstanding (after deduction of applicable fees, taxes and expenses).</w:t>
      </w:r>
    </w:p>
    <w:p>
      <w:pPr>
        <w:spacing w:after="0" w:line="108" w:lineRule="exact"/>
        <w:rPr>
          <w:sz w:val="20"/>
          <w:szCs w:val="20"/>
          <w:color w:val="auto"/>
        </w:rPr>
      </w:pPr>
    </w:p>
    <w:p>
      <w:pPr>
        <w:ind w:left="1260" w:right="579" w:firstLine="360"/>
        <w:spacing w:after="0" w:line="238" w:lineRule="auto"/>
        <w:rPr>
          <w:sz w:val="20"/>
          <w:szCs w:val="20"/>
          <w:color w:val="auto"/>
        </w:rPr>
      </w:pPr>
      <w:r>
        <w:rPr>
          <w:rFonts w:ascii="Arial" w:cs="Arial" w:eastAsia="Arial" w:hAnsi="Arial"/>
          <w:sz w:val="18"/>
          <w:szCs w:val="18"/>
          <w:color w:val="auto"/>
        </w:rPr>
        <w:t>In connection with the termination of the deposit agreement, the depositary may, independently and without the need for any action by us, make available to holders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8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Books of Depositary</w:t>
      </w:r>
    </w:p>
    <w:p>
      <w:pPr>
        <w:spacing w:after="0" w:line="162" w:lineRule="exact"/>
        <w:rPr>
          <w:sz w:val="20"/>
          <w:szCs w:val="20"/>
          <w:color w:val="auto"/>
        </w:rPr>
      </w:pPr>
    </w:p>
    <w:p>
      <w:pPr>
        <w:jc w:val="both"/>
        <w:ind w:left="1260" w:right="459" w:firstLine="360"/>
        <w:spacing w:after="0" w:line="248" w:lineRule="auto"/>
        <w:rPr>
          <w:sz w:val="20"/>
          <w:szCs w:val="20"/>
          <w:color w:val="auto"/>
        </w:rPr>
      </w:pPr>
      <w:r>
        <w:rPr>
          <w:rFonts w:ascii="Arial" w:cs="Arial" w:eastAsia="Arial" w:hAnsi="Arial"/>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114" w:lineRule="exact"/>
        <w:rPr>
          <w:sz w:val="20"/>
          <w:szCs w:val="20"/>
          <w:color w:val="auto"/>
        </w:rPr>
      </w:pPr>
    </w:p>
    <w:p>
      <w:pPr>
        <w:ind w:left="1260" w:right="579" w:firstLine="360"/>
        <w:spacing w:after="0" w:line="248"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17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Transmission of Notices, Reports and Proxy Soliciting Material</w:t>
      </w:r>
    </w:p>
    <w:p>
      <w:pPr>
        <w:spacing w:after="0" w:line="148" w:lineRule="exact"/>
        <w:rPr>
          <w:sz w:val="20"/>
          <w:szCs w:val="20"/>
          <w:color w:val="auto"/>
        </w:rPr>
      </w:pPr>
    </w:p>
    <w:p>
      <w:pPr>
        <w:ind w:left="1260" w:right="539" w:firstLine="360"/>
        <w:spacing w:after="0" w:line="262" w:lineRule="auto"/>
        <w:rPr>
          <w:sz w:val="20"/>
          <w:szCs w:val="20"/>
          <w:color w:val="auto"/>
        </w:rPr>
      </w:pPr>
      <w:r>
        <w:rPr>
          <w:rFonts w:ascii="Arial" w:cs="Arial" w:eastAsia="Arial" w:hAnsi="Arial"/>
          <w:sz w:val="17"/>
          <w:szCs w:val="17"/>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send you copies of those communications or otherwise make those communications available to you if we ask it to.</w:t>
      </w:r>
    </w:p>
    <w:p>
      <w:pPr>
        <w:spacing w:after="0" w:line="168"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162" w:lineRule="exact"/>
        <w:rPr>
          <w:sz w:val="20"/>
          <w:szCs w:val="20"/>
          <w:color w:val="auto"/>
        </w:rPr>
      </w:pPr>
    </w:p>
    <w:p>
      <w:pPr>
        <w:ind w:left="1260" w:right="679" w:firstLine="360"/>
        <w:spacing w:after="0" w:line="261" w:lineRule="auto"/>
        <w:rPr>
          <w:sz w:val="20"/>
          <w:szCs w:val="20"/>
          <w:color w:val="auto"/>
        </w:rPr>
      </w:pPr>
      <w:r>
        <w:rPr>
          <w:rFonts w:ascii="Arial" w:cs="Arial" w:eastAsia="Arial" w:hAnsi="Arial"/>
          <w:sz w:val="18"/>
          <w:szCs w:val="18"/>
          <w:color w:val="auto"/>
        </w:rPr>
        <w:t>The deposit agreement limits our obligations and the depositary’s obligations to you. Please note the following:</w:t>
      </w:r>
    </w:p>
    <w:p>
      <w:pPr>
        <w:spacing w:after="0" w:line="63" w:lineRule="exact"/>
        <w:rPr>
          <w:sz w:val="20"/>
          <w:szCs w:val="20"/>
          <w:color w:val="auto"/>
        </w:rPr>
      </w:pPr>
    </w:p>
    <w:p>
      <w:pPr>
        <w:ind w:left="1800" w:right="1099" w:hanging="180"/>
        <w:spacing w:after="0" w:line="277" w:lineRule="auto"/>
        <w:tabs>
          <w:tab w:leader="none" w:pos="1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and the depositary are obligated only to take the actions specifically stated in the deposit agreement without negligence or bad faith.</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5" w:name="page36"/>
    <w:bookmarkEnd w:id="3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479" w:hanging="180"/>
        <w:spacing w:after="0" w:line="263"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75" w:lineRule="exact"/>
        <w:rPr>
          <w:rFonts w:ascii="Arial" w:cs="Arial" w:eastAsia="Arial" w:hAnsi="Arial"/>
          <w:sz w:val="18"/>
          <w:szCs w:val="18"/>
          <w:color w:val="auto"/>
        </w:rPr>
      </w:pPr>
    </w:p>
    <w:p>
      <w:pPr>
        <w:ind w:left="1800" w:right="459" w:hanging="180"/>
        <w:spacing w:after="0" w:line="254"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73"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62" w:lineRule="exact"/>
        <w:rPr>
          <w:rFonts w:ascii="Arial" w:cs="Arial" w:eastAsia="Arial" w:hAnsi="Arial"/>
          <w:sz w:val="18"/>
          <w:szCs w:val="18"/>
          <w:color w:val="auto"/>
        </w:rPr>
      </w:pPr>
    </w:p>
    <w:p>
      <w:pPr>
        <w:ind w:left="1800" w:right="539" w:hanging="180"/>
        <w:spacing w:after="0" w:line="255"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Association, or any provision of or governing the securities on deposit, or by reason of any act of God or war or other circumstances beyond our control.</w:t>
      </w:r>
    </w:p>
    <w:p>
      <w:pPr>
        <w:spacing w:after="0" w:line="84" w:lineRule="exact"/>
        <w:rPr>
          <w:rFonts w:ascii="Arial" w:cs="Arial" w:eastAsia="Arial" w:hAnsi="Arial"/>
          <w:sz w:val="18"/>
          <w:szCs w:val="18"/>
          <w:color w:val="auto"/>
        </w:rPr>
      </w:pPr>
    </w:p>
    <w:p>
      <w:pPr>
        <w:ind w:left="1800" w:right="559" w:hanging="180"/>
        <w:spacing w:after="0" w:line="263"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of Association or in any provisions of or governing the securities on deposit.</w:t>
      </w:r>
    </w:p>
    <w:p>
      <w:pPr>
        <w:spacing w:after="0" w:line="75" w:lineRule="exact"/>
        <w:rPr>
          <w:rFonts w:ascii="Arial" w:cs="Arial" w:eastAsia="Arial" w:hAnsi="Arial"/>
          <w:sz w:val="18"/>
          <w:szCs w:val="18"/>
          <w:color w:val="auto"/>
        </w:rPr>
      </w:pPr>
    </w:p>
    <w:p>
      <w:pPr>
        <w:ind w:left="1800" w:right="639" w:hanging="180"/>
        <w:spacing w:after="0" w:line="279" w:lineRule="auto"/>
        <w:tabs>
          <w:tab w:leader="none" w:pos="1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63" w:lineRule="exact"/>
        <w:rPr>
          <w:rFonts w:ascii="Arial" w:cs="Arial" w:eastAsia="Arial" w:hAnsi="Arial"/>
          <w:sz w:val="17"/>
          <w:szCs w:val="17"/>
          <w:color w:val="auto"/>
        </w:rPr>
      </w:pPr>
    </w:p>
    <w:p>
      <w:pPr>
        <w:ind w:left="1800" w:right="459" w:hanging="180"/>
        <w:spacing w:after="0" w:line="263"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75" w:lineRule="exact"/>
        <w:rPr>
          <w:rFonts w:ascii="Arial" w:cs="Arial" w:eastAsia="Arial" w:hAnsi="Arial"/>
          <w:sz w:val="18"/>
          <w:szCs w:val="18"/>
          <w:color w:val="auto"/>
        </w:rPr>
      </w:pPr>
    </w:p>
    <w:p>
      <w:pPr>
        <w:ind w:left="1800" w:right="999" w:hanging="180"/>
        <w:spacing w:after="0" w:line="308" w:lineRule="auto"/>
        <w:tabs>
          <w:tab w:leader="none" w:pos="1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and the depositary may rely without any liability upon any written notice, request or other document believed to be genuine and to have been signed or presented by the proper parties.</w:t>
      </w:r>
    </w:p>
    <w:p>
      <w:pPr>
        <w:spacing w:after="0" w:line="38" w:lineRule="exact"/>
        <w:rPr>
          <w:rFonts w:ascii="Arial" w:cs="Arial" w:eastAsia="Arial" w:hAnsi="Arial"/>
          <w:sz w:val="17"/>
          <w:szCs w:val="17"/>
          <w:color w:val="auto"/>
        </w:rPr>
      </w:pPr>
    </w:p>
    <w:p>
      <w:pPr>
        <w:ind w:left="1800" w:right="899" w:hanging="180"/>
        <w:spacing w:after="0" w:line="277" w:lineRule="auto"/>
        <w:tabs>
          <w:tab w:leader="none" w:pos="1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 disclaimer of any Securities Act liability is intended by any provision of the deposit agreement.</w:t>
      </w:r>
    </w:p>
    <w:p>
      <w:pPr>
        <w:spacing w:after="0" w:line="23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Pre-Release Transactions</w:t>
      </w:r>
    </w:p>
    <w:p>
      <w:pPr>
        <w:spacing w:after="0" w:line="162" w:lineRule="exact"/>
        <w:rPr>
          <w:sz w:val="20"/>
          <w:szCs w:val="20"/>
          <w:color w:val="auto"/>
        </w:rPr>
      </w:pPr>
    </w:p>
    <w:p>
      <w:pPr>
        <w:ind w:left="1260" w:right="499" w:firstLine="360"/>
        <w:spacing w:after="0" w:line="254" w:lineRule="auto"/>
        <w:rPr>
          <w:sz w:val="20"/>
          <w:szCs w:val="20"/>
          <w:color w:val="auto"/>
        </w:rPr>
      </w:pPr>
      <w:r>
        <w:rPr>
          <w:rFonts w:ascii="Arial" w:cs="Arial" w:eastAsia="Arial" w:hAnsi="Arial"/>
          <w:sz w:val="17"/>
          <w:szCs w:val="17"/>
          <w:color w:val="auto"/>
        </w:rPr>
        <w:t>Subject to the terms and conditions of the deposit agreement, the depositary may issue to broker/ dealers ADSs before receiving a deposit of ordinary shares or release ordinary shares to broker/dealers before receiving ADSs for cancellation. These transactions are commonly referred to as “pre-release transactions,” and are entered into between the depositary and the applicable broker/dealer. The deposit agreement limits the aggregate size of pre-release transactions (not to exceed 30% of the ordinary shares on deposit in the aggregate) and imposes a number of conditions on such transactions (e.g., the need to receive collateral, the type of collateral required, the representations required from brokers, etc.). The depositary may retain the compensation received from the pre-release transactions.</w:t>
      </w:r>
    </w:p>
    <w:p>
      <w:pPr>
        <w:spacing w:after="0" w:line="17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Taxes</w:t>
      </w:r>
    </w:p>
    <w:p>
      <w:pPr>
        <w:spacing w:after="0" w:line="162" w:lineRule="exact"/>
        <w:rPr>
          <w:sz w:val="20"/>
          <w:szCs w:val="20"/>
          <w:color w:val="auto"/>
        </w:rPr>
      </w:pPr>
    </w:p>
    <w:p>
      <w:pPr>
        <w:ind w:left="1260" w:right="539" w:firstLine="360"/>
        <w:spacing w:after="0" w:line="241"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ectPr>
          <w:pgSz w:w="11900" w:h="16838" w:orient="portrait"/>
          <w:cols w:equalWidth="0" w:num="1">
            <w:col w:w="9879"/>
          </w:cols>
          <w:pgMar w:left="580" w:top="131"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6" w:name="page37"/>
    <w:bookmarkEnd w:id="3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19" w:firstLine="360"/>
        <w:spacing w:after="0" w:line="272" w:lineRule="auto"/>
        <w:rPr>
          <w:sz w:val="20"/>
          <w:szCs w:val="20"/>
          <w:color w:val="auto"/>
        </w:rPr>
      </w:pPr>
      <w:r>
        <w:rPr>
          <w:rFonts w:ascii="Arial" w:cs="Arial" w:eastAsia="Arial" w:hAnsi="Arial"/>
          <w:sz w:val="17"/>
          <w:szCs w:val="17"/>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Foreign Currency Conversion</w:t>
      </w:r>
    </w:p>
    <w:p>
      <w:pPr>
        <w:spacing w:after="0" w:line="148" w:lineRule="exact"/>
        <w:rPr>
          <w:sz w:val="20"/>
          <w:szCs w:val="20"/>
          <w:color w:val="auto"/>
        </w:rPr>
      </w:pPr>
    </w:p>
    <w:p>
      <w:pPr>
        <w:ind w:left="1260" w:right="419" w:firstLine="360"/>
        <w:spacing w:after="0" w:line="279" w:lineRule="auto"/>
        <w:rPr>
          <w:sz w:val="20"/>
          <w:szCs w:val="20"/>
          <w:color w:val="auto"/>
        </w:rPr>
      </w:pPr>
      <w:r>
        <w:rPr>
          <w:rFonts w:ascii="Arial" w:cs="Arial" w:eastAsia="Arial" w:hAnsi="Arial"/>
          <w:sz w:val="17"/>
          <w:szCs w:val="17"/>
          <w:color w:val="auto"/>
        </w:rPr>
        <w:t>The depositary will arrange for the conversion of all foreign currency received into U.S. dollars if such conversion is practical, and it will distribute the U.S. dollars in accordance with the terms of the deposit agreement. You may have to pay fees and expenses incurred in converting foreign currency, such as fees and expenses incurred in complying with currency exchange controls and other governmental requirements.</w:t>
      </w:r>
    </w:p>
    <w:p>
      <w:pPr>
        <w:spacing w:after="0" w:line="104" w:lineRule="exact"/>
        <w:rPr>
          <w:sz w:val="20"/>
          <w:szCs w:val="20"/>
          <w:color w:val="auto"/>
        </w:rPr>
      </w:pPr>
    </w:p>
    <w:p>
      <w:pPr>
        <w:jc w:val="both"/>
        <w:ind w:left="1260" w:right="559" w:firstLine="360"/>
        <w:spacing w:after="0" w:line="263"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76" w:lineRule="exact"/>
        <w:rPr>
          <w:sz w:val="20"/>
          <w:szCs w:val="20"/>
          <w:color w:val="auto"/>
        </w:rPr>
      </w:pPr>
    </w:p>
    <w:p>
      <w:pPr>
        <w:ind w:left="1800" w:right="579" w:hanging="180"/>
        <w:spacing w:after="0" w:line="277" w:lineRule="auto"/>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Distribute the foreign currency to holders for whom the distribution is lawful and practical.</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Hold the foreign currency (without liability for interest) for the applicable holders.</w:t>
      </w:r>
    </w:p>
    <w:p>
      <w:pPr>
        <w:spacing w:after="0" w:line="22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Governing Law/Waiver of Jury Trial</w:t>
      </w:r>
    </w:p>
    <w:p>
      <w:pPr>
        <w:spacing w:after="0" w:line="162" w:lineRule="exact"/>
        <w:rPr>
          <w:sz w:val="20"/>
          <w:szCs w:val="20"/>
          <w:color w:val="auto"/>
        </w:rPr>
      </w:pPr>
    </w:p>
    <w:p>
      <w:pPr>
        <w:ind w:left="1260" w:right="739" w:firstLine="360"/>
        <w:spacing w:after="0" w:line="263" w:lineRule="auto"/>
        <w:rPr>
          <w:sz w:val="20"/>
          <w:szCs w:val="20"/>
          <w:color w:val="auto"/>
        </w:rPr>
      </w:pPr>
      <w:r>
        <w:rPr>
          <w:rFonts w:ascii="Arial" w:cs="Arial" w:eastAsia="Arial" w:hAnsi="Arial"/>
          <w:sz w:val="18"/>
          <w:szCs w:val="18"/>
          <w:color w:val="auto"/>
        </w:rPr>
        <w:t>The deposit agreement and the ADRs will be interpreted in accordance with the laws of the State of New York. The rights of holders of ordinary shares (including ordinary shares represented by ADSs) is governed by the laws of England and Wales.</w:t>
      </w:r>
    </w:p>
    <w:p>
      <w:pPr>
        <w:spacing w:after="0" w:line="103"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AS A PARTY TO THE DEPOSIT AGREEMENT, YOU WAIVE YOUR RIGHT TO TRIAL BY JURY IN ANY LEGAL PROCEEDING ARISING OUT OF THE DEPOSIT AGREEMENT OR THE ADRs AGAINST US AND/OR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sectPr>
      </w:pPr>
    </w:p>
    <w:bookmarkStart w:id="37" w:name="page38"/>
    <w:bookmarkEnd w:id="3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DESCRIPTION OF DEBT SECURITIES</w:t>
      </w:r>
    </w:p>
    <w:p>
      <w:pPr>
        <w:spacing w:after="0" w:line="148" w:lineRule="exact"/>
        <w:rPr>
          <w:sz w:val="20"/>
          <w:szCs w:val="20"/>
          <w:color w:val="auto"/>
        </w:rPr>
      </w:pPr>
    </w:p>
    <w:p>
      <w:pPr>
        <w:ind w:left="1260" w:right="579" w:firstLine="360"/>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25" w:lineRule="exact"/>
        <w:rPr>
          <w:sz w:val="20"/>
          <w:szCs w:val="20"/>
          <w:color w:val="auto"/>
        </w:rPr>
      </w:pPr>
    </w:p>
    <w:p>
      <w:pPr>
        <w:ind w:left="1260" w:right="479" w:firstLine="360"/>
        <w:spacing w:after="0" w:line="301" w:lineRule="auto"/>
        <w:rPr>
          <w:sz w:val="20"/>
          <w:szCs w:val="20"/>
          <w:color w:val="auto"/>
        </w:rPr>
      </w:pPr>
      <w:r>
        <w:rPr>
          <w:rFonts w:ascii="Arial" w:cs="Arial" w:eastAsia="Arial" w:hAnsi="Arial"/>
          <w:sz w:val="16"/>
          <w:szCs w:val="16"/>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90" w:lineRule="exact"/>
        <w:rPr>
          <w:sz w:val="20"/>
          <w:szCs w:val="20"/>
          <w:color w:val="auto"/>
        </w:rPr>
      </w:pPr>
    </w:p>
    <w:p>
      <w:pPr>
        <w:ind w:left="1260" w:right="479" w:firstLine="360"/>
        <w:spacing w:after="0" w:line="255" w:lineRule="auto"/>
        <w:rPr>
          <w:sz w:val="20"/>
          <w:szCs w:val="20"/>
          <w:color w:val="auto"/>
        </w:rPr>
      </w:pPr>
      <w:r>
        <w:rPr>
          <w:rFonts w:ascii="Arial" w:cs="Arial" w:eastAsia="Arial" w:hAnsi="Arial"/>
          <w:sz w:val="18"/>
          <w:szCs w:val="18"/>
          <w:color w:val="auto"/>
        </w:rPr>
        <w:t>The debt securities will be issued under an indenture between us and a trustee.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11" w:lineRule="exact"/>
        <w:rPr>
          <w:sz w:val="20"/>
          <w:szCs w:val="20"/>
          <w:color w:val="auto"/>
        </w:rPr>
      </w:pPr>
    </w:p>
    <w:p>
      <w:pPr>
        <w:ind w:left="1260" w:right="719" w:firstLine="360"/>
        <w:spacing w:after="0" w:line="277" w:lineRule="auto"/>
        <w:rPr>
          <w:sz w:val="20"/>
          <w:szCs w:val="20"/>
          <w:color w:val="auto"/>
        </w:rPr>
      </w:pPr>
      <w:r>
        <w:rPr>
          <w:rFonts w:ascii="Arial" w:cs="Arial" w:eastAsia="Arial" w:hAnsi="Arial"/>
          <w:sz w:val="18"/>
          <w:szCs w:val="18"/>
          <w:color w:val="auto"/>
        </w:rPr>
        <w:t>As used in this section only, Verona” “we,” “our” or “us” refer to Verona Pharma plc, excluding our subsidiaries, unless expressly stated or the context otherwise requires.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General</w:t>
      </w:r>
    </w:p>
    <w:p>
      <w:pPr>
        <w:spacing w:after="0" w:line="162" w:lineRule="exact"/>
        <w:rPr>
          <w:sz w:val="20"/>
          <w:szCs w:val="20"/>
          <w:color w:val="auto"/>
        </w:rPr>
      </w:pPr>
    </w:p>
    <w:p>
      <w:pPr>
        <w:ind w:left="1260" w:right="499" w:firstLine="360"/>
        <w:spacing w:after="0" w:line="257" w:lineRule="auto"/>
        <w:rPr>
          <w:sz w:val="20"/>
          <w:szCs w:val="20"/>
          <w:color w:val="auto"/>
        </w:rPr>
      </w:pPr>
      <w:r>
        <w:rPr>
          <w:rFonts w:ascii="Arial" w:cs="Arial" w:eastAsia="Arial" w:hAnsi="Arial"/>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20" w:lineRule="exact"/>
        <w:rPr>
          <w:sz w:val="20"/>
          <w:szCs w:val="20"/>
          <w:color w:val="auto"/>
        </w:rPr>
      </w:pPr>
    </w:p>
    <w:p>
      <w:pPr>
        <w:jc w:val="both"/>
        <w:ind w:left="1260" w:right="519" w:firstLine="360"/>
        <w:spacing w:after="0" w:line="257" w:lineRule="auto"/>
        <w:rPr>
          <w:sz w:val="20"/>
          <w:szCs w:val="20"/>
          <w:color w:val="auto"/>
        </w:rPr>
      </w:pPr>
      <w:r>
        <w:rPr>
          <w:rFonts w:ascii="Arial" w:cs="Arial" w:eastAsia="Arial" w:hAnsi="Arial"/>
          <w:sz w:val="18"/>
          <w:szCs w:val="18"/>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80" w:lineRule="exact"/>
        <w:rPr>
          <w:sz w:val="20"/>
          <w:szCs w:val="20"/>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117" w:lineRule="exact"/>
        <w:rPr>
          <w:rFonts w:ascii="Arial" w:cs="Arial" w:eastAsia="Arial" w:hAnsi="Arial"/>
          <w:sz w:val="18"/>
          <w:szCs w:val="18"/>
          <w:color w:val="auto"/>
        </w:rPr>
      </w:pPr>
    </w:p>
    <w:p>
      <w:pPr>
        <w:ind w:left="1800" w:right="519" w:hanging="180"/>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130" w:lineRule="exact"/>
        <w:rPr>
          <w:rFonts w:ascii="Arial" w:cs="Arial" w:eastAsia="Arial" w:hAnsi="Arial"/>
          <w:sz w:val="18"/>
          <w:szCs w:val="18"/>
          <w:color w:val="auto"/>
        </w:rPr>
      </w:pPr>
    </w:p>
    <w:p>
      <w:pPr>
        <w:ind w:left="1800" w:hanging="180"/>
        <w:spacing w:after="0"/>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117" w:lineRule="exact"/>
        <w:rPr>
          <w:rFonts w:ascii="Arial" w:cs="Arial" w:eastAsia="Arial" w:hAnsi="Arial"/>
          <w:sz w:val="18"/>
          <w:szCs w:val="18"/>
          <w:color w:val="auto"/>
        </w:rPr>
      </w:pPr>
    </w:p>
    <w:p>
      <w:pPr>
        <w:ind w:left="1800" w:right="439" w:hanging="180"/>
        <w:spacing w:after="0" w:line="25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79" w:lineRule="exact"/>
        <w:rPr>
          <w:rFonts w:ascii="Arial" w:cs="Arial" w:eastAsia="Arial" w:hAnsi="Arial"/>
          <w:sz w:val="18"/>
          <w:szCs w:val="18"/>
          <w:color w:val="auto"/>
        </w:rPr>
      </w:pPr>
    </w:p>
    <w:p>
      <w:pPr>
        <w:jc w:val="both"/>
        <w:ind w:left="1800" w:right="439" w:hanging="180"/>
        <w:spacing w:after="0" w:line="259"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78" w:lineRule="exact"/>
        <w:rPr>
          <w:rFonts w:ascii="Arial" w:cs="Arial" w:eastAsia="Arial" w:hAnsi="Arial"/>
          <w:sz w:val="18"/>
          <w:szCs w:val="18"/>
          <w:color w:val="auto"/>
        </w:rPr>
      </w:pPr>
    </w:p>
    <w:p>
      <w:pPr>
        <w:ind w:left="1800" w:right="679" w:hanging="180"/>
        <w:spacing w:after="0" w:line="277" w:lineRule="auto"/>
        <w:tabs>
          <w:tab w:leader="none" w:pos="1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we may redeem the debt securities;</w:t>
      </w:r>
    </w:p>
    <w:p>
      <w:pPr>
        <w:sectPr>
          <w:pgSz w:w="11900" w:h="16838" w:orient="portrait"/>
          <w:cols w:equalWidth="0" w:num="1">
            <w:col w:w="9879"/>
          </w:cols>
          <w:pgMar w:left="580" w:top="131"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1" w:right="1440" w:bottom="1440" w:gutter="0" w:footer="0" w:header="0"/>
          <w:type w:val="continuous"/>
        </w:sectPr>
      </w:pPr>
    </w:p>
    <w:bookmarkStart w:id="38" w:name="page39"/>
    <w:bookmarkEnd w:id="3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599" w:hanging="180"/>
        <w:spacing w:after="0" w:line="279" w:lineRule="auto"/>
        <w:tabs>
          <w:tab w:leader="none" w:pos="1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49" w:lineRule="exact"/>
        <w:rPr>
          <w:rFonts w:ascii="Arial" w:cs="Arial" w:eastAsia="Arial" w:hAnsi="Arial"/>
          <w:sz w:val="17"/>
          <w:szCs w:val="17"/>
          <w:color w:val="auto"/>
        </w:rPr>
      </w:pPr>
    </w:p>
    <w:p>
      <w:pPr>
        <w:jc w:val="both"/>
        <w:ind w:left="1800" w:right="439" w:hanging="180"/>
        <w:spacing w:after="0" w:line="342" w:lineRule="auto"/>
        <w:tabs>
          <w:tab w:leader="none" w:pos="18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dates on which and the price or prices at which we will repurchase debt securities at the option of the holders of debt securities and other detailed terms and provisions of these repurchase obligations;</w:t>
      </w:r>
    </w:p>
    <w:p>
      <w:pPr>
        <w:spacing w:after="0" w:line="2" w:lineRule="exact"/>
        <w:rPr>
          <w:rFonts w:ascii="Arial" w:cs="Arial" w:eastAsia="Arial" w:hAnsi="Arial"/>
          <w:sz w:val="16"/>
          <w:szCs w:val="16"/>
          <w:color w:val="auto"/>
        </w:rPr>
      </w:pPr>
    </w:p>
    <w:p>
      <w:pPr>
        <w:ind w:left="1800" w:right="53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 if other than denominations of $1,000 and any integral multiple thereof;</w:t>
      </w:r>
    </w:p>
    <w:p>
      <w:pPr>
        <w:spacing w:after="0" w:line="48" w:lineRule="exact"/>
        <w:rPr>
          <w:rFonts w:ascii="Arial" w:cs="Arial" w:eastAsia="Arial" w:hAnsi="Arial"/>
          <w:sz w:val="18"/>
          <w:szCs w:val="18"/>
          <w:color w:val="auto"/>
        </w:rPr>
      </w:pPr>
    </w:p>
    <w:p>
      <w:pPr>
        <w:ind w:left="1800" w:right="73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48" w:lineRule="exact"/>
        <w:rPr>
          <w:rFonts w:ascii="Arial" w:cs="Arial" w:eastAsia="Arial" w:hAnsi="Arial"/>
          <w:sz w:val="18"/>
          <w:szCs w:val="18"/>
          <w:color w:val="auto"/>
        </w:rPr>
      </w:pPr>
    </w:p>
    <w:p>
      <w:pPr>
        <w:ind w:left="1800" w:right="49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62" w:lineRule="exact"/>
        <w:rPr>
          <w:rFonts w:ascii="Arial" w:cs="Arial" w:eastAsia="Arial" w:hAnsi="Arial"/>
          <w:sz w:val="18"/>
          <w:szCs w:val="18"/>
          <w:color w:val="auto"/>
        </w:rPr>
      </w:pPr>
    </w:p>
    <w:p>
      <w:pPr>
        <w:ind w:left="1800" w:right="899" w:hanging="180"/>
        <w:spacing w:after="0" w:line="263"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2" w:lineRule="exact"/>
        <w:rPr>
          <w:rFonts w:ascii="Arial" w:cs="Arial" w:eastAsia="Arial" w:hAnsi="Arial"/>
          <w:sz w:val="18"/>
          <w:szCs w:val="18"/>
          <w:color w:val="auto"/>
        </w:rPr>
      </w:pPr>
    </w:p>
    <w:p>
      <w:pPr>
        <w:ind w:left="1800" w:right="97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48" w:lineRule="exact"/>
        <w:rPr>
          <w:rFonts w:ascii="Arial" w:cs="Arial" w:eastAsia="Arial" w:hAnsi="Arial"/>
          <w:sz w:val="18"/>
          <w:szCs w:val="18"/>
          <w:color w:val="auto"/>
        </w:rPr>
      </w:pPr>
    </w:p>
    <w:p>
      <w:pPr>
        <w:ind w:left="1800" w:right="439" w:hanging="180"/>
        <w:spacing w:after="0" w:line="286" w:lineRule="auto"/>
        <w:tabs>
          <w:tab w:leader="none" w:pos="1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43" w:lineRule="exact"/>
        <w:rPr>
          <w:rFonts w:ascii="Arial" w:cs="Arial" w:eastAsia="Arial" w:hAnsi="Arial"/>
          <w:sz w:val="17"/>
          <w:szCs w:val="17"/>
          <w:color w:val="auto"/>
        </w:rPr>
      </w:pPr>
    </w:p>
    <w:p>
      <w:pPr>
        <w:jc w:val="both"/>
        <w:ind w:left="1800" w:right="499" w:hanging="180"/>
        <w:spacing w:after="0" w:line="259"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65" w:lineRule="exact"/>
        <w:rPr>
          <w:rFonts w:ascii="Arial" w:cs="Arial" w:eastAsia="Arial" w:hAnsi="Arial"/>
          <w:sz w:val="18"/>
          <w:szCs w:val="18"/>
          <w:color w:val="auto"/>
        </w:rPr>
      </w:pPr>
    </w:p>
    <w:p>
      <w:pPr>
        <w:ind w:left="1800" w:hanging="180"/>
        <w:spacing w:after="0"/>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103" w:lineRule="exact"/>
        <w:rPr>
          <w:rFonts w:ascii="Arial" w:cs="Arial" w:eastAsia="Arial" w:hAnsi="Arial"/>
          <w:sz w:val="18"/>
          <w:szCs w:val="18"/>
          <w:color w:val="auto"/>
        </w:rPr>
      </w:pPr>
    </w:p>
    <w:p>
      <w:pPr>
        <w:jc w:val="both"/>
        <w:ind w:left="1800" w:right="539" w:hanging="180"/>
        <w:spacing w:after="0" w:line="263"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2" w:lineRule="exact"/>
        <w:rPr>
          <w:rFonts w:ascii="Arial" w:cs="Arial" w:eastAsia="Arial" w:hAnsi="Arial"/>
          <w:sz w:val="18"/>
          <w:szCs w:val="18"/>
          <w:color w:val="auto"/>
        </w:rPr>
      </w:pPr>
    </w:p>
    <w:p>
      <w:pPr>
        <w:ind w:left="1800" w:right="115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addition to, deletion of or change in the covenants described in this prospectus or in the indenture with respect to the debt securities;</w:t>
      </w:r>
    </w:p>
    <w:p>
      <w:pPr>
        <w:spacing w:after="0" w:line="48" w:lineRule="exact"/>
        <w:rPr>
          <w:rFonts w:ascii="Arial" w:cs="Arial" w:eastAsia="Arial" w:hAnsi="Arial"/>
          <w:sz w:val="18"/>
          <w:szCs w:val="18"/>
          <w:color w:val="auto"/>
        </w:rPr>
      </w:pPr>
    </w:p>
    <w:p>
      <w:pPr>
        <w:ind w:left="1800" w:right="73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depositaries, interest rate calculation agents, exchange rate calculation agents or other agents with respect to the debt securities;</w:t>
      </w:r>
    </w:p>
    <w:p>
      <w:pPr>
        <w:spacing w:after="0" w:line="48" w:lineRule="exact"/>
        <w:rPr>
          <w:rFonts w:ascii="Arial" w:cs="Arial" w:eastAsia="Arial" w:hAnsi="Arial"/>
          <w:sz w:val="18"/>
          <w:szCs w:val="18"/>
          <w:color w:val="auto"/>
        </w:rPr>
      </w:pPr>
    </w:p>
    <w:p>
      <w:pPr>
        <w:ind w:left="1800" w:right="619" w:hanging="180"/>
        <w:spacing w:after="0" w:line="259"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65" w:lineRule="exact"/>
        <w:rPr>
          <w:rFonts w:ascii="Arial" w:cs="Arial" w:eastAsia="Arial" w:hAnsi="Arial"/>
          <w:sz w:val="18"/>
          <w:szCs w:val="18"/>
          <w:color w:val="auto"/>
        </w:rPr>
      </w:pPr>
    </w:p>
    <w:p>
      <w:pPr>
        <w:jc w:val="both"/>
        <w:ind w:left="1800" w:right="539" w:hanging="180"/>
        <w:spacing w:after="0" w:line="286" w:lineRule="auto"/>
        <w:tabs>
          <w:tab w:leader="none" w:pos="1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43" w:lineRule="exact"/>
        <w:rPr>
          <w:rFonts w:ascii="Arial" w:cs="Arial" w:eastAsia="Arial" w:hAnsi="Arial"/>
          <w:sz w:val="17"/>
          <w:szCs w:val="17"/>
          <w:color w:val="auto"/>
        </w:rPr>
      </w:pPr>
    </w:p>
    <w:p>
      <w:pPr>
        <w:ind w:left="1800" w:right="799" w:hanging="180"/>
        <w:spacing w:after="0" w:line="277" w:lineRule="auto"/>
        <w:tabs>
          <w:tab w:leader="none" w:pos="1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 (Section 2.2)</w:t>
      </w:r>
    </w:p>
    <w:p>
      <w:pPr>
        <w:spacing w:after="0" w:line="103" w:lineRule="exact"/>
        <w:rPr>
          <w:sz w:val="20"/>
          <w:szCs w:val="20"/>
          <w:color w:val="auto"/>
        </w:rPr>
      </w:pPr>
    </w:p>
    <w:p>
      <w:pPr>
        <w:ind w:left="1260" w:right="679" w:firstLine="360"/>
        <w:spacing w:after="0" w:line="262" w:lineRule="auto"/>
        <w:rPr>
          <w:sz w:val="20"/>
          <w:szCs w:val="20"/>
          <w:color w:val="auto"/>
        </w:rPr>
      </w:pPr>
      <w:r>
        <w:rPr>
          <w:rFonts w:ascii="Arial" w:cs="Arial" w:eastAsia="Arial" w:hAnsi="Arial"/>
          <w:sz w:val="17"/>
          <w:szCs w:val="17"/>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05" w:lineRule="exact"/>
        <w:rPr>
          <w:sz w:val="20"/>
          <w:szCs w:val="20"/>
          <w:color w:val="auto"/>
        </w:rPr>
      </w:pPr>
    </w:p>
    <w:p>
      <w:pPr>
        <w:ind w:left="1260" w:right="519" w:firstLine="360"/>
        <w:spacing w:after="0" w:line="291" w:lineRule="auto"/>
        <w:rPr>
          <w:sz w:val="20"/>
          <w:szCs w:val="20"/>
          <w:color w:val="auto"/>
        </w:rPr>
      </w:pPr>
      <w:r>
        <w:rPr>
          <w:rFonts w:ascii="Arial" w:cs="Arial" w:eastAsia="Arial" w:hAnsi="Arial"/>
          <w:sz w:val="17"/>
          <w:szCs w:val="17"/>
          <w:color w:val="auto"/>
        </w:rPr>
        <w:t>If we denominate the purchase price of any of the debt securities in a foreign currency or currencies or a foreign currency unit or units, or if the principal of and any premium and interest on any series of debt</w:t>
      </w:r>
    </w:p>
    <w:p>
      <w:pPr>
        <w:sectPr>
          <w:pgSz w:w="11900" w:h="16838" w:orient="portrait"/>
          <w:cols w:equalWidth="0" w:num="1">
            <w:col w:w="9879"/>
          </w:cols>
          <w:pgMar w:left="580" w:top="132" w:right="1440" w:bottom="1440" w:gutter="0" w:footer="0" w:header="0"/>
        </w:sectPr>
      </w:pPr>
    </w:p>
    <w:p>
      <w:pPr>
        <w:spacing w:after="0" w:line="32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39" w:name="page40"/>
    <w:bookmarkEnd w:id="3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spacing w:after="0" w:line="259" w:lineRule="auto"/>
        <w:rPr>
          <w:sz w:val="20"/>
          <w:szCs w:val="20"/>
          <w:color w:val="auto"/>
        </w:rPr>
      </w:pPr>
      <w:r>
        <w:rPr>
          <w:rFonts w:ascii="Arial" w:cs="Arial" w:eastAsia="Arial" w:hAnsi="Arial"/>
          <w:sz w:val="18"/>
          <w:szCs w:val="18"/>
          <w:color w:val="auto"/>
        </w:rPr>
        <w:t>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Transfer and Exchange</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27"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8"/>
          <w:szCs w:val="18"/>
          <w:color w:val="auto"/>
        </w:rPr>
        <w:t>Certificated Debt Securities. You may transfer or exchange certificated debt securities at any office we maintain for this purpose in accordance with the 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20" w:lineRule="exact"/>
        <w:rPr>
          <w:sz w:val="20"/>
          <w:szCs w:val="20"/>
          <w:color w:val="auto"/>
        </w:rPr>
      </w:pPr>
    </w:p>
    <w:p>
      <w:pPr>
        <w:ind w:left="1260" w:right="619" w:firstLine="360"/>
        <w:spacing w:after="0" w:line="279" w:lineRule="auto"/>
        <w:rPr>
          <w:sz w:val="20"/>
          <w:szCs w:val="20"/>
          <w:color w:val="auto"/>
        </w:rPr>
      </w:pPr>
      <w:r>
        <w:rPr>
          <w:rFonts w:ascii="Arial" w:cs="Arial" w:eastAsia="Arial" w:hAnsi="Arial"/>
          <w:sz w:val="17"/>
          <w:szCs w:val="17"/>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90" w:lineRule="exact"/>
        <w:rPr>
          <w:sz w:val="20"/>
          <w:szCs w:val="20"/>
          <w:color w:val="auto"/>
        </w:rPr>
      </w:pPr>
    </w:p>
    <w:p>
      <w:pPr>
        <w:ind w:left="1260" w:right="719" w:firstLine="360"/>
        <w:spacing w:after="0" w:line="263" w:lineRule="auto"/>
        <w:rPr>
          <w:sz w:val="20"/>
          <w:szCs w:val="20"/>
          <w:color w:val="auto"/>
        </w:rPr>
      </w:pPr>
      <w:r>
        <w:rPr>
          <w:rFonts w:ascii="Arial" w:cs="Arial" w:eastAsia="Arial" w:hAnsi="Arial"/>
          <w:sz w:val="18"/>
          <w:szCs w:val="18"/>
          <w:color w:val="auto"/>
        </w:rPr>
        <w:t>Global Debt Securities and Book-Entry System. Each global debt security representing book-entry debt securities will be deposited with, or on behalf of, the Depositary, and registered in the name of the Depositary or a nominee of the Depositary. Please see “Global Securities.”</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Covenants</w:t>
      </w:r>
    </w:p>
    <w:p>
      <w:pPr>
        <w:spacing w:after="0" w:line="162"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 (Article IV)</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162" w:lineRule="exact"/>
        <w:rPr>
          <w:sz w:val="20"/>
          <w:szCs w:val="20"/>
          <w:color w:val="auto"/>
        </w:rPr>
      </w:pPr>
    </w:p>
    <w:p>
      <w:pPr>
        <w:ind w:left="1260" w:right="499" w:firstLine="360"/>
        <w:spacing w:after="0" w:line="259"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83"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148"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62" w:lineRule="exact"/>
        <w:rPr>
          <w:sz w:val="20"/>
          <w:szCs w:val="20"/>
          <w:color w:val="auto"/>
        </w:rPr>
      </w:pPr>
    </w:p>
    <w:p>
      <w:pPr>
        <w:ind w:left="1800" w:right="479" w:hanging="180"/>
        <w:spacing w:after="0" w:line="263"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are the surviving corporation or the successor person (if other than Verona) is a corporation organized and validly existing under the laws a U.K. jurisdiction or a U.S. jurisdiction and expressly assumes our obligations on the debt securities and under the indenture; and</w:t>
      </w:r>
    </w:p>
    <w:p>
      <w:pPr>
        <w:spacing w:after="0" w:line="75" w:lineRule="exact"/>
        <w:rPr>
          <w:rFonts w:ascii="Arial" w:cs="Arial" w:eastAsia="Arial" w:hAnsi="Arial"/>
          <w:sz w:val="18"/>
          <w:szCs w:val="18"/>
          <w:color w:val="auto"/>
        </w:rPr>
      </w:pPr>
    </w:p>
    <w:p>
      <w:pPr>
        <w:ind w:left="1800" w:right="419" w:hanging="180"/>
        <w:spacing w:after="0" w:line="277" w:lineRule="auto"/>
        <w:tabs>
          <w:tab w:leader="none" w:pos="1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103" w:lineRule="exact"/>
        <w:rPr>
          <w:sz w:val="20"/>
          <w:szCs w:val="20"/>
          <w:color w:val="auto"/>
        </w:rPr>
      </w:pPr>
    </w:p>
    <w:p>
      <w:pPr>
        <w:ind w:left="1260" w:right="579" w:firstLine="360"/>
        <w:spacing w:after="0" w:line="277" w:lineRule="auto"/>
        <w:rPr>
          <w:sz w:val="20"/>
          <w:szCs w:val="20"/>
          <w:color w:val="auto"/>
        </w:rPr>
      </w:pPr>
      <w:r>
        <w:rPr>
          <w:rFonts w:ascii="Arial" w:cs="Arial" w:eastAsia="Arial" w:hAnsi="Arial"/>
          <w:sz w:val="18"/>
          <w:szCs w:val="18"/>
          <w:color w:val="auto"/>
        </w:rPr>
        <w:t>Notwithstanding the above, any of our subsidiaries may consolidate with, merge into or transfer all or part of its properties to us. (Section 5.1)</w:t>
      </w:r>
    </w:p>
    <w:p>
      <w:pPr>
        <w:spacing w:after="0" w:line="346"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0" w:name="page41"/>
    <w:bookmarkEnd w:id="4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Events of Default</w:t>
      </w:r>
    </w:p>
    <w:p>
      <w:pPr>
        <w:spacing w:after="0" w:line="14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131" w:lineRule="exact"/>
        <w:rPr>
          <w:sz w:val="20"/>
          <w:szCs w:val="20"/>
          <w:color w:val="auto"/>
        </w:rPr>
      </w:pPr>
    </w:p>
    <w:p>
      <w:pPr>
        <w:ind w:left="1800" w:right="519" w:hanging="180"/>
        <w:spacing w:after="0" w:line="259"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78"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117" w:lineRule="exact"/>
        <w:rPr>
          <w:rFonts w:ascii="Arial" w:cs="Arial" w:eastAsia="Arial" w:hAnsi="Arial"/>
          <w:sz w:val="18"/>
          <w:szCs w:val="18"/>
          <w:color w:val="auto"/>
        </w:rPr>
      </w:pPr>
    </w:p>
    <w:p>
      <w:pPr>
        <w:ind w:left="1800" w:right="499" w:hanging="180"/>
        <w:spacing w:after="0" w:line="255"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Verona and the trustee receive written notice from the holders of not less than 25% in principal amount of the outstanding debt securities of that series as provided in the indenture;</w:t>
      </w:r>
    </w:p>
    <w:p>
      <w:pPr>
        <w:spacing w:after="0" w:line="84" w:lineRule="exact"/>
        <w:rPr>
          <w:rFonts w:ascii="Arial" w:cs="Arial" w:eastAsia="Arial" w:hAnsi="Arial"/>
          <w:sz w:val="18"/>
          <w:szCs w:val="18"/>
          <w:color w:val="auto"/>
        </w:rPr>
      </w:pPr>
    </w:p>
    <w:p>
      <w:pPr>
        <w:ind w:left="1800" w:hanging="180"/>
        <w:spacing w:after="0"/>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Verona;</w:t>
      </w:r>
    </w:p>
    <w:p>
      <w:pPr>
        <w:spacing w:after="0" w:line="130"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(Section 6.1)</w:t>
      </w:r>
    </w:p>
    <w:p>
      <w:pPr>
        <w:spacing w:after="0" w:line="89"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20"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19" w:lineRule="exact"/>
        <w:rPr>
          <w:sz w:val="20"/>
          <w:szCs w:val="20"/>
          <w:color w:val="auto"/>
        </w:rPr>
      </w:pPr>
    </w:p>
    <w:p>
      <w:pPr>
        <w:ind w:left="1260" w:right="499" w:firstLine="360"/>
        <w:spacing w:after="0" w:line="267" w:lineRule="auto"/>
        <w:rPr>
          <w:sz w:val="20"/>
          <w:szCs w:val="20"/>
          <w:color w:val="auto"/>
        </w:rPr>
      </w:pPr>
      <w:r>
        <w:rPr>
          <w:rFonts w:ascii="Arial" w:cs="Arial" w:eastAsia="Arial" w:hAnsi="Arial"/>
          <w:sz w:val="17"/>
          <w:szCs w:val="17"/>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10" w:lineRule="exact"/>
        <w:rPr>
          <w:sz w:val="20"/>
          <w:szCs w:val="20"/>
          <w:color w:val="auto"/>
        </w:rPr>
      </w:pPr>
    </w:p>
    <w:p>
      <w:pPr>
        <w:jc w:val="both"/>
        <w:ind w:left="1260" w:right="519" w:firstLine="360"/>
        <w:spacing w:after="0" w:line="271" w:lineRule="auto"/>
        <w:rPr>
          <w:sz w:val="20"/>
          <w:szCs w:val="20"/>
          <w:color w:val="auto"/>
        </w:rPr>
      </w:pPr>
      <w:r>
        <w:rPr>
          <w:rFonts w:ascii="Arial" w:cs="Arial" w:eastAsia="Arial" w:hAnsi="Arial"/>
          <w:sz w:val="17"/>
          <w:szCs w:val="17"/>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w:t>
      </w:r>
    </w:p>
    <w:p>
      <w:pPr>
        <w:ind w:left="1260" w:right="579"/>
        <w:spacing w:after="0" w:line="253" w:lineRule="auto"/>
        <w:rPr>
          <w:sz w:val="20"/>
          <w:szCs w:val="20"/>
          <w:color w:val="auto"/>
        </w:rPr>
      </w:pPr>
      <w:r>
        <w:rPr>
          <w:rFonts w:ascii="Arial" w:cs="Arial" w:eastAsia="Arial" w:hAnsi="Arial"/>
          <w:sz w:val="18"/>
          <w:szCs w:val="18"/>
          <w:color w:val="auto"/>
        </w:rPr>
        <w:t>(Section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ectPr>
          <w:pgSz w:w="11900" w:h="16838" w:orient="portrait"/>
          <w:cols w:equalWidth="0" w:num="1">
            <w:col w:w="9879"/>
          </w:cols>
          <w:pgMar w:left="580" w:top="132" w:right="1440" w:bottom="1440" w:gutter="0" w:footer="0" w:header="0"/>
        </w:sectPr>
      </w:pPr>
    </w:p>
    <w:p>
      <w:pPr>
        <w:spacing w:after="0" w:line="38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1" w:name="page42"/>
    <w:bookmarkEnd w:id="4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59" w:firstLine="360"/>
        <w:spacing w:after="0" w:line="248"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0" w:lineRule="exact"/>
        <w:rPr>
          <w:sz w:val="20"/>
          <w:szCs w:val="20"/>
          <w:color w:val="auto"/>
        </w:rPr>
      </w:pPr>
    </w:p>
    <w:p>
      <w:pPr>
        <w:ind w:left="1800" w:right="659" w:hanging="180"/>
        <w:spacing w:after="0" w:line="277" w:lineRule="auto"/>
        <w:tabs>
          <w:tab w:leader="none" w:pos="1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holder has previously given to the trustee written notice of a continuing Event of Default with respect to debt securities of that series; and</w:t>
      </w:r>
    </w:p>
    <w:p>
      <w:pPr>
        <w:spacing w:after="0" w:line="62" w:lineRule="exact"/>
        <w:rPr>
          <w:rFonts w:ascii="Arial" w:cs="Arial" w:eastAsia="Arial" w:hAnsi="Arial"/>
          <w:sz w:val="18"/>
          <w:szCs w:val="18"/>
          <w:color w:val="auto"/>
        </w:rPr>
      </w:pPr>
    </w:p>
    <w:p>
      <w:pPr>
        <w:ind w:left="1800" w:right="459" w:hanging="180"/>
        <w:spacing w:after="0" w:line="275" w:lineRule="auto"/>
        <w:tabs>
          <w:tab w:leader="none" w:pos="18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09" w:lineRule="exact"/>
        <w:rPr>
          <w:sz w:val="20"/>
          <w:szCs w:val="20"/>
          <w:color w:val="auto"/>
        </w:rPr>
      </w:pPr>
    </w:p>
    <w:p>
      <w:pPr>
        <w:ind w:left="1260" w:right="699" w:firstLine="360"/>
        <w:spacing w:after="0" w:line="243"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07"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80"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Modification and Waiver</w:t>
      </w:r>
    </w:p>
    <w:p>
      <w:pPr>
        <w:spacing w:after="0" w:line="162" w:lineRule="exact"/>
        <w:rPr>
          <w:sz w:val="20"/>
          <w:szCs w:val="20"/>
          <w:color w:val="auto"/>
        </w:rPr>
      </w:pPr>
    </w:p>
    <w:p>
      <w:pPr>
        <w:ind w:left="1260" w:right="539" w:firstLine="360"/>
        <w:spacing w:after="0" w:line="261" w:lineRule="auto"/>
        <w:rPr>
          <w:sz w:val="20"/>
          <w:szCs w:val="20"/>
          <w:color w:val="auto"/>
        </w:rPr>
      </w:pPr>
      <w:r>
        <w:rPr>
          <w:rFonts w:ascii="Arial" w:cs="Arial" w:eastAsia="Arial" w:hAnsi="Arial"/>
          <w:sz w:val="18"/>
          <w:szCs w:val="18"/>
          <w:color w:val="auto"/>
        </w:rPr>
        <w:t>We and the trustee may modify, amend or supplement the indenture or the debt securities of any series without the consent of any holder of any debt security:</w:t>
      </w:r>
    </w:p>
    <w:p>
      <w:pPr>
        <w:spacing w:after="0" w:line="63" w:lineRule="exact"/>
        <w:rPr>
          <w:sz w:val="20"/>
          <w:szCs w:val="20"/>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117" w:lineRule="exact"/>
        <w:rPr>
          <w:rFonts w:ascii="Arial" w:cs="Arial" w:eastAsia="Arial" w:hAnsi="Arial"/>
          <w:sz w:val="18"/>
          <w:szCs w:val="18"/>
          <w:color w:val="auto"/>
        </w:rPr>
      </w:pPr>
    </w:p>
    <w:p>
      <w:pPr>
        <w:ind w:left="1800" w:right="99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add guarantees with respect to debt securities of any series or secure debt securities of any series;</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add covenants or events of default for the benefit of the holders of debt securities of any series;</w:t>
      </w:r>
    </w:p>
    <w:p>
      <w:pPr>
        <w:spacing w:after="0" w:line="128" w:lineRule="exact"/>
        <w:rPr>
          <w:rFonts w:ascii="Arial" w:cs="Arial" w:eastAsia="Arial" w:hAnsi="Arial"/>
          <w:sz w:val="17"/>
          <w:szCs w:val="17"/>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117" w:lineRule="exact"/>
        <w:rPr>
          <w:rFonts w:ascii="Arial" w:cs="Arial" w:eastAsia="Arial" w:hAnsi="Arial"/>
          <w:sz w:val="18"/>
          <w:szCs w:val="18"/>
          <w:color w:val="auto"/>
        </w:rPr>
      </w:pPr>
    </w:p>
    <w:p>
      <w:pPr>
        <w:ind w:left="1800" w:right="65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debt securities of any series as permitted by the indenture;</w:t>
      </w:r>
    </w:p>
    <w:p>
      <w:pPr>
        <w:spacing w:after="0" w:line="48"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75" w:lineRule="exact"/>
        <w:rPr>
          <w:rFonts w:ascii="Arial" w:cs="Arial" w:eastAsia="Arial" w:hAnsi="Arial"/>
          <w:sz w:val="18"/>
          <w:szCs w:val="18"/>
          <w:color w:val="auto"/>
        </w:rPr>
      </w:pPr>
    </w:p>
    <w:p>
      <w:pPr>
        <w:ind w:left="1800" w:right="1039" w:hanging="180"/>
        <w:spacing w:after="0" w:line="277" w:lineRule="auto"/>
        <w:tabs>
          <w:tab w:leader="none" w:pos="1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 (Section 9.1)</w:t>
      </w:r>
    </w:p>
    <w:p>
      <w:pPr>
        <w:spacing w:after="0" w:line="103" w:lineRule="exact"/>
        <w:rPr>
          <w:sz w:val="20"/>
          <w:szCs w:val="20"/>
          <w:color w:val="auto"/>
        </w:rPr>
      </w:pPr>
    </w:p>
    <w:p>
      <w:pPr>
        <w:ind w:left="1260" w:right="559" w:firstLine="360"/>
        <w:spacing w:after="0" w:line="243"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2" w:name="page43"/>
    <w:bookmarkEnd w:id="4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79" w:hanging="180"/>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62" w:lineRule="exact"/>
        <w:rPr>
          <w:rFonts w:ascii="Arial" w:cs="Arial" w:eastAsia="Arial" w:hAnsi="Arial"/>
          <w:sz w:val="18"/>
          <w:szCs w:val="18"/>
          <w:color w:val="auto"/>
        </w:rPr>
      </w:pPr>
    </w:p>
    <w:p>
      <w:pPr>
        <w:ind w:left="1800" w:right="579" w:hanging="180"/>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62" w:lineRule="exact"/>
        <w:rPr>
          <w:rFonts w:ascii="Arial" w:cs="Arial" w:eastAsia="Arial" w:hAnsi="Arial"/>
          <w:sz w:val="18"/>
          <w:szCs w:val="18"/>
          <w:color w:val="auto"/>
        </w:rPr>
      </w:pPr>
    </w:p>
    <w:p>
      <w:pPr>
        <w:ind w:left="1800" w:right="439" w:hanging="180"/>
        <w:spacing w:after="0" w:line="263"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89"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117" w:lineRule="exact"/>
        <w:rPr>
          <w:rFonts w:ascii="Arial" w:cs="Arial" w:eastAsia="Arial" w:hAnsi="Arial"/>
          <w:sz w:val="18"/>
          <w:szCs w:val="18"/>
          <w:color w:val="auto"/>
        </w:rPr>
      </w:pPr>
    </w:p>
    <w:p>
      <w:pPr>
        <w:ind w:left="1800" w:right="459" w:hanging="180"/>
        <w:spacing w:after="0" w:line="259"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92"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the principal of or premium or interest on any debt security payable in currency other than that stated in the debt security;</w:t>
      </w:r>
    </w:p>
    <w:p>
      <w:pPr>
        <w:spacing w:after="0" w:line="62" w:lineRule="exact"/>
        <w:rPr>
          <w:rFonts w:ascii="Arial" w:cs="Arial" w:eastAsia="Arial" w:hAnsi="Arial"/>
          <w:sz w:val="18"/>
          <w:szCs w:val="18"/>
          <w:color w:val="auto"/>
        </w:rPr>
      </w:pPr>
    </w:p>
    <w:p>
      <w:pPr>
        <w:ind w:left="1800" w:right="539" w:hanging="180"/>
        <w:spacing w:after="0" w:line="259" w:lineRule="auto"/>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78" w:lineRule="exact"/>
        <w:rPr>
          <w:rFonts w:ascii="Arial" w:cs="Arial" w:eastAsia="Arial" w:hAnsi="Arial"/>
          <w:sz w:val="18"/>
          <w:szCs w:val="18"/>
          <w:color w:val="auto"/>
        </w:rPr>
      </w:pPr>
    </w:p>
    <w:p>
      <w:pPr>
        <w:ind w:left="1800" w:hanging="180"/>
        <w:spacing w:after="0"/>
        <w:tabs>
          <w:tab w:leader="none" w:pos="18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(Section 9.3)</w:t>
      </w:r>
    </w:p>
    <w:p>
      <w:pPr>
        <w:spacing w:after="0" w:line="158"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162"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i w:val="1"/>
          <w:iCs w:val="1"/>
          <w:color w:val="auto"/>
        </w:rPr>
        <w:t>Legal Defeasance</w:t>
      </w:r>
      <w:r>
        <w:rPr>
          <w:rFonts w:ascii="Arial" w:cs="Arial" w:eastAsia="Arial" w:hAnsi="Arial"/>
          <w:sz w:val="17"/>
          <w:szCs w:val="17"/>
          <w:color w:val="auto"/>
        </w:rPr>
        <w:t>. The indenture provides that, unless otherwise provided by the terms of the</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series of debt securities, we may be discharged 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01" w:lineRule="exact"/>
        <w:rPr>
          <w:sz w:val="20"/>
          <w:szCs w:val="20"/>
          <w:color w:val="auto"/>
        </w:rPr>
      </w:pPr>
    </w:p>
    <w:p>
      <w:pPr>
        <w:ind w:left="1260" w:right="459" w:firstLine="360"/>
        <w:spacing w:after="0" w:line="253" w:lineRule="auto"/>
        <w:rPr>
          <w:sz w:val="20"/>
          <w:szCs w:val="20"/>
          <w:color w:val="auto"/>
        </w:rPr>
      </w:pPr>
      <w:r>
        <w:rPr>
          <w:rFonts w:ascii="Arial" w:cs="Arial" w:eastAsia="Arial" w:hAnsi="Arial"/>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ectPr>
          <w:pgSz w:w="11900" w:h="16838" w:orient="portrait"/>
          <w:cols w:equalWidth="0" w:num="1">
            <w:col w:w="9879"/>
          </w:cols>
          <w:pgMar w:left="580" w:top="132" w:right="1440" w:bottom="1440" w:gutter="0" w:footer="0" w:header="0"/>
        </w:sectPr>
      </w:pPr>
    </w:p>
    <w:p>
      <w:pPr>
        <w:spacing w:after="0" w:line="385"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3" w:name="page44"/>
    <w:bookmarkEnd w:id="4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i w:val="1"/>
          <w:iCs w:val="1"/>
          <w:color w:val="auto"/>
        </w:rPr>
        <w:t>Defeasance of Certain Covenants</w:t>
      </w:r>
      <w:r>
        <w:rPr>
          <w:rFonts w:ascii="Arial" w:cs="Arial" w:eastAsia="Arial" w:hAnsi="Arial"/>
          <w:sz w:val="18"/>
          <w:szCs w:val="18"/>
          <w:color w:val="auto"/>
        </w:rPr>
        <w:t>. The indenture provides that, unless otherwise provided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terms of the applicable series of debt securities, upon compliance with certain conditions:</w:t>
      </w:r>
    </w:p>
    <w:p>
      <w:pPr>
        <w:spacing w:after="0" w:line="62" w:lineRule="exact"/>
        <w:rPr>
          <w:sz w:val="20"/>
          <w:szCs w:val="20"/>
          <w:color w:val="auto"/>
        </w:rPr>
      </w:pPr>
    </w:p>
    <w:p>
      <w:pPr>
        <w:ind w:left="1800" w:right="579" w:hanging="180"/>
        <w:spacing w:after="0" w:line="263"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75" w:lineRule="exact"/>
        <w:rPr>
          <w:rFonts w:ascii="Arial" w:cs="Arial" w:eastAsia="Arial" w:hAnsi="Arial"/>
          <w:sz w:val="18"/>
          <w:szCs w:val="18"/>
          <w:color w:val="auto"/>
        </w:rPr>
      </w:pPr>
    </w:p>
    <w:p>
      <w:pPr>
        <w:ind w:left="1800" w:right="759" w:hanging="180"/>
        <w:spacing w:after="0" w:line="277" w:lineRule="auto"/>
        <w:tabs>
          <w:tab w:leader="none" w:pos="18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8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The conditions include:</w:t>
      </w:r>
    </w:p>
    <w:p>
      <w:pPr>
        <w:spacing w:after="0" w:line="117" w:lineRule="exact"/>
        <w:rPr>
          <w:sz w:val="20"/>
          <w:szCs w:val="20"/>
          <w:color w:val="auto"/>
        </w:rPr>
      </w:pPr>
    </w:p>
    <w:p>
      <w:pPr>
        <w:ind w:left="1800" w:right="439" w:hanging="180"/>
        <w:spacing w:after="0" w:line="271" w:lineRule="auto"/>
        <w:tabs>
          <w:tab w:leader="none" w:pos="1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70" w:lineRule="exact"/>
        <w:rPr>
          <w:rFonts w:ascii="Arial" w:cs="Arial" w:eastAsia="Arial" w:hAnsi="Arial"/>
          <w:sz w:val="17"/>
          <w:szCs w:val="17"/>
          <w:color w:val="auto"/>
        </w:rPr>
      </w:pPr>
    </w:p>
    <w:p>
      <w:pPr>
        <w:ind w:left="1800" w:right="499" w:hanging="180"/>
        <w:spacing w:after="0" w:line="275" w:lineRule="auto"/>
        <w:tabs>
          <w:tab w:leader="none" w:pos="18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17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No Personal Liability of Directors, Officers, Employees or Securityholders</w:t>
      </w:r>
    </w:p>
    <w:p>
      <w:pPr>
        <w:spacing w:after="0" w:line="162"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Governing Law</w:t>
      </w:r>
    </w:p>
    <w:p>
      <w:pPr>
        <w:spacing w:after="0" w:line="162"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w:t>
      </w:r>
    </w:p>
    <w:p>
      <w:pPr>
        <w:spacing w:after="0" w:line="89" w:lineRule="exact"/>
        <w:rPr>
          <w:sz w:val="20"/>
          <w:szCs w:val="20"/>
          <w:color w:val="auto"/>
        </w:rPr>
      </w:pPr>
    </w:p>
    <w:p>
      <w:pPr>
        <w:ind w:left="1260" w:right="639" w:firstLine="360"/>
        <w:spacing w:after="0" w:line="259" w:lineRule="auto"/>
        <w:rPr>
          <w:sz w:val="20"/>
          <w:szCs w:val="20"/>
          <w:color w:val="auto"/>
        </w:rPr>
      </w:pPr>
      <w:r>
        <w:rPr>
          <w:rFonts w:ascii="Arial" w:cs="Arial" w:eastAsia="Arial" w:hAnsi="Arial"/>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19" w:lineRule="exact"/>
        <w:rPr>
          <w:sz w:val="20"/>
          <w:szCs w:val="20"/>
          <w:color w:val="auto"/>
        </w:rPr>
      </w:pPr>
    </w:p>
    <w:p>
      <w:pPr>
        <w:ind w:left="1260" w:right="459" w:firstLine="360"/>
        <w:spacing w:after="0" w:line="268" w:lineRule="auto"/>
        <w:rPr>
          <w:sz w:val="20"/>
          <w:szCs w:val="20"/>
          <w:color w:val="auto"/>
        </w:rPr>
      </w:pPr>
      <w:r>
        <w:rPr>
          <w:rFonts w:ascii="Arial" w:cs="Arial" w:eastAsia="Arial" w:hAnsi="Arial"/>
          <w:sz w:val="17"/>
          <w:szCs w:val="17"/>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 (Section 10.10)</w:t>
      </w:r>
    </w:p>
    <w:p>
      <w:pPr>
        <w:sectPr>
          <w:pgSz w:w="11900" w:h="16838" w:orient="portrait"/>
          <w:cols w:equalWidth="0" w:num="1">
            <w:col w:w="9879"/>
          </w:cols>
          <w:pgMar w:left="580" w:top="132" w:right="1440" w:bottom="1440" w:gutter="0" w:footer="0" w:header="0"/>
        </w:sectPr>
      </w:pPr>
    </w:p>
    <w:p>
      <w:pPr>
        <w:spacing w:after="0" w:line="362"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4" w:name="page45"/>
    <w:bookmarkEnd w:id="4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DESCRIPTION OF WARRANTS</w:t>
      </w:r>
    </w:p>
    <w:p>
      <w:pPr>
        <w:spacing w:after="0" w:line="148"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8"/>
          <w:szCs w:val="18"/>
          <w:color w:val="auto"/>
        </w:rPr>
        <w:t>We may issue warrants for the purchase of our ordinary shares, ADSs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27" w:lineRule="exact"/>
        <w:rPr>
          <w:sz w:val="20"/>
          <w:szCs w:val="20"/>
          <w:color w:val="auto"/>
        </w:rPr>
      </w:pPr>
    </w:p>
    <w:p>
      <w:pPr>
        <w:ind w:left="1260" w:right="479" w:firstLine="360"/>
        <w:spacing w:after="0" w:line="277" w:lineRule="auto"/>
        <w:rPr>
          <w:sz w:val="20"/>
          <w:szCs w:val="20"/>
          <w:color w:val="auto"/>
        </w:rPr>
      </w:pPr>
      <w:r>
        <w:rPr>
          <w:rFonts w:ascii="Arial" w:cs="Arial" w:eastAsia="Arial" w:hAnsi="Arial"/>
          <w:sz w:val="18"/>
          <w:szCs w:val="18"/>
          <w:color w:val="auto"/>
        </w:rPr>
        <w:t>The particular terms of any issue of warrants will be described in the prospectus supplement relating to the issue. Those terms may include:</w:t>
      </w:r>
    </w:p>
    <w:p>
      <w:pPr>
        <w:spacing w:after="0" w:line="62" w:lineRule="exact"/>
        <w:rPr>
          <w:sz w:val="20"/>
          <w:szCs w:val="20"/>
          <w:color w:val="auto"/>
        </w:rPr>
      </w:pPr>
    </w:p>
    <w:p>
      <w:pPr>
        <w:jc w:val="both"/>
        <w:ind w:left="1800" w:right="539" w:hanging="180"/>
        <w:spacing w:after="0" w:line="263"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of ordinary shares or ADSs purchasable upon the exercise of warrants to purchase such shares or ADSs and the price at which such number of shares or ADSs may be purchased upon such exercise;</w:t>
      </w:r>
    </w:p>
    <w:p>
      <w:pPr>
        <w:spacing w:after="0" w:line="75" w:lineRule="exact"/>
        <w:rPr>
          <w:rFonts w:ascii="Arial" w:cs="Arial" w:eastAsia="Arial" w:hAnsi="Arial"/>
          <w:sz w:val="18"/>
          <w:szCs w:val="18"/>
          <w:color w:val="auto"/>
        </w:rPr>
      </w:pPr>
    </w:p>
    <w:p>
      <w:pPr>
        <w:ind w:left="1800" w:right="419" w:hanging="180"/>
        <w:spacing w:after="0" w:line="308" w:lineRule="auto"/>
        <w:tabs>
          <w:tab w:leader="none" w:pos="18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principal amount of debt securities that may be purchased upon exercise of a debt warrant and the exercise price for the warrants, which may be payable in cash, securities or other property;</w:t>
      </w:r>
    </w:p>
    <w:p>
      <w:pPr>
        <w:spacing w:after="0" w:line="38" w:lineRule="exact"/>
        <w:rPr>
          <w:rFonts w:ascii="Arial" w:cs="Arial" w:eastAsia="Arial" w:hAnsi="Arial"/>
          <w:sz w:val="17"/>
          <w:szCs w:val="17"/>
          <w:color w:val="auto"/>
        </w:rPr>
      </w:pPr>
    </w:p>
    <w:p>
      <w:pPr>
        <w:ind w:left="1800" w:right="859" w:hanging="180"/>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if any, on and after which the warrants and the related ordinary shares or ADSs will be separately transferable;</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117" w:lineRule="exact"/>
        <w:rPr>
          <w:rFonts w:ascii="Arial" w:cs="Arial" w:eastAsia="Arial" w:hAnsi="Arial"/>
          <w:sz w:val="18"/>
          <w:szCs w:val="18"/>
          <w:color w:val="auto"/>
        </w:rPr>
      </w:pPr>
    </w:p>
    <w:p>
      <w:pPr>
        <w:ind w:left="1800" w:right="639" w:hanging="180"/>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62"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United States Federal income tax consequences and certain UK tax consequences applicable to the warrants; and</w:t>
      </w:r>
    </w:p>
    <w:p>
      <w:pPr>
        <w:spacing w:after="0" w:line="62" w:lineRule="exact"/>
        <w:rPr>
          <w:rFonts w:ascii="Arial" w:cs="Arial" w:eastAsia="Arial" w:hAnsi="Arial"/>
          <w:sz w:val="18"/>
          <w:szCs w:val="18"/>
          <w:color w:val="auto"/>
        </w:rPr>
      </w:pPr>
    </w:p>
    <w:p>
      <w:pPr>
        <w:ind w:left="1800" w:right="839" w:hanging="180"/>
        <w:spacing w:after="0" w:line="277" w:lineRule="auto"/>
        <w:tabs>
          <w:tab w:leader="none" w:pos="1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Holders of equity warrants will not be entitled:</w:t>
      </w:r>
    </w:p>
    <w:p>
      <w:pPr>
        <w:spacing w:after="0" w:line="117" w:lineRule="exact"/>
        <w:rPr>
          <w:sz w:val="20"/>
          <w:szCs w:val="20"/>
          <w:color w:val="auto"/>
        </w:rPr>
      </w:pPr>
    </w:p>
    <w:p>
      <w:pPr>
        <w:ind w:left="1800" w:hanging="180"/>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vote, consent or receive dividends;</w:t>
      </w:r>
    </w:p>
    <w:p>
      <w:pPr>
        <w:spacing w:after="0" w:line="117" w:lineRule="exact"/>
        <w:rPr>
          <w:rFonts w:ascii="Arial" w:cs="Arial" w:eastAsia="Arial" w:hAnsi="Arial"/>
          <w:sz w:val="18"/>
          <w:szCs w:val="18"/>
          <w:color w:val="auto"/>
        </w:rPr>
      </w:pPr>
    </w:p>
    <w:p>
      <w:pPr>
        <w:ind w:left="1800" w:right="479" w:hanging="180"/>
        <w:spacing w:after="0" w:line="277" w:lineRule="auto"/>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receive notice as shareholders with respect to any general meeting of shareholders for the election of our directors or any other matter; or</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exercise any rights as shareholders of Verona.</w:t>
      </w:r>
    </w:p>
    <w:p>
      <w:pPr>
        <w:spacing w:after="0" w:line="144" w:lineRule="exact"/>
        <w:rPr>
          <w:sz w:val="20"/>
          <w:szCs w:val="20"/>
          <w:color w:val="auto"/>
        </w:rPr>
      </w:pPr>
    </w:p>
    <w:p>
      <w:pPr>
        <w:ind w:left="1260" w:right="459" w:firstLine="360"/>
        <w:spacing w:after="0" w:line="255" w:lineRule="auto"/>
        <w:rPr>
          <w:sz w:val="20"/>
          <w:szCs w:val="20"/>
          <w:color w:val="auto"/>
        </w:rPr>
      </w:pPr>
      <w:r>
        <w:rPr>
          <w:rFonts w:ascii="Arial" w:cs="Arial" w:eastAsia="Arial" w:hAnsi="Arial"/>
          <w:sz w:val="18"/>
          <w:szCs w:val="18"/>
          <w:color w:val="auto"/>
        </w:rPr>
        <w:t>Each warrant will entitle its holder to purchase the principal amount of debt securities or the number of ordinary shares or ADSs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25"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ordinary shares or ADSs are exercised, the holders of the warrants will not have any rights of holders of the underlying ordinary shares or ADSs, including any rights to receive dividends or payments upon any liquidation, dissolution or winding up on the ordinary shares or ADSs, if any.</w:t>
      </w:r>
    </w:p>
    <w:p>
      <w:pPr>
        <w:sectPr>
          <w:pgSz w:w="11900" w:h="16838" w:orient="portrait"/>
          <w:cols w:equalWidth="0" w:num="1">
            <w:col w:w="9879"/>
          </w:cols>
          <w:pgMar w:left="580" w:top="132"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5" w:name="page46"/>
    <w:bookmarkEnd w:id="45"/>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DESCRIPTION OF UNITS</w:t>
      </w:r>
    </w:p>
    <w:p>
      <w:pPr>
        <w:spacing w:after="0" w:line="148" w:lineRule="exact"/>
        <w:rPr>
          <w:sz w:val="20"/>
          <w:szCs w:val="20"/>
          <w:color w:val="auto"/>
        </w:rPr>
      </w:pPr>
    </w:p>
    <w:p>
      <w:pPr>
        <w:ind w:left="1260" w:right="439" w:firstLine="360"/>
        <w:spacing w:after="0" w:line="257"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20"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24" w:lineRule="exact"/>
        <w:rPr>
          <w:sz w:val="20"/>
          <w:szCs w:val="20"/>
          <w:color w:val="auto"/>
        </w:rPr>
      </w:pPr>
    </w:p>
    <w:p>
      <w:pPr>
        <w:ind w:left="1260" w:right="519" w:firstLine="360"/>
        <w:spacing w:after="0" w:line="277"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62" w:lineRule="exact"/>
        <w:rPr>
          <w:sz w:val="20"/>
          <w:szCs w:val="20"/>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117" w:lineRule="exact"/>
        <w:rPr>
          <w:rFonts w:ascii="Arial" w:cs="Arial" w:eastAsia="Arial" w:hAnsi="Arial"/>
          <w:sz w:val="18"/>
          <w:szCs w:val="18"/>
          <w:color w:val="auto"/>
        </w:rPr>
      </w:pPr>
    </w:p>
    <w:p>
      <w:pPr>
        <w:ind w:left="1800" w:right="55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62" w:lineRule="exact"/>
        <w:rPr>
          <w:rFonts w:ascii="Arial" w:cs="Arial" w:eastAsia="Arial" w:hAnsi="Arial"/>
          <w:sz w:val="18"/>
          <w:szCs w:val="18"/>
          <w:color w:val="auto"/>
        </w:rPr>
      </w:pPr>
    </w:p>
    <w:p>
      <w:pPr>
        <w:ind w:left="1800" w:right="1259" w:hanging="180"/>
        <w:spacing w:after="0" w:line="277" w:lineRule="auto"/>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 discussion of certain United States federal income tax considerations and certain UK tax considerations applicable to the units; and</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6" w:name="page47"/>
    <w:bookmarkEnd w:id="46"/>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GLOBAL SECURITIES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Book-Entry, Delivery and Form</w:t>
      </w:r>
    </w:p>
    <w:p>
      <w:pPr>
        <w:spacing w:after="0" w:line="148" w:lineRule="exact"/>
        <w:rPr>
          <w:sz w:val="20"/>
          <w:szCs w:val="20"/>
          <w:color w:val="auto"/>
        </w:rPr>
      </w:pPr>
    </w:p>
    <w:p>
      <w:pPr>
        <w:ind w:left="1260" w:right="479" w:firstLine="360"/>
        <w:spacing w:after="0" w:line="254" w:lineRule="auto"/>
        <w:rPr>
          <w:sz w:val="20"/>
          <w:szCs w:val="20"/>
          <w:color w:val="auto"/>
        </w:rPr>
      </w:pPr>
      <w:r>
        <w:rPr>
          <w:rFonts w:ascii="Arial" w:cs="Arial" w:eastAsia="Arial" w:hAnsi="Arial"/>
          <w:sz w:val="17"/>
          <w:szCs w:val="17"/>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1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DTC has advised us that it is:</w:t>
      </w:r>
    </w:p>
    <w:p>
      <w:pPr>
        <w:spacing w:after="0" w:line="117" w:lineRule="exact"/>
        <w:rPr>
          <w:sz w:val="20"/>
          <w:szCs w:val="20"/>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103"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158" w:lineRule="exact"/>
        <w:rPr>
          <w:sz w:val="20"/>
          <w:szCs w:val="20"/>
          <w:color w:val="auto"/>
        </w:rPr>
      </w:pPr>
    </w:p>
    <w:p>
      <w:pPr>
        <w:ind w:left="1260" w:right="479" w:firstLine="360"/>
        <w:spacing w:after="0" w:line="252" w:lineRule="auto"/>
        <w:rPr>
          <w:sz w:val="20"/>
          <w:szCs w:val="20"/>
          <w:color w:val="auto"/>
        </w:rPr>
      </w:pPr>
      <w:r>
        <w:rPr>
          <w:rFonts w:ascii="Arial" w:cs="Arial" w:eastAsia="Arial" w:hAnsi="Arial"/>
          <w:sz w:val="17"/>
          <w:szCs w:val="17"/>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05" w:lineRule="exact"/>
        <w:rPr>
          <w:sz w:val="20"/>
          <w:szCs w:val="20"/>
          <w:color w:val="auto"/>
        </w:rPr>
      </w:pPr>
    </w:p>
    <w:p>
      <w:pPr>
        <w:ind w:left="1260" w:right="479" w:firstLine="360"/>
        <w:spacing w:after="0" w:line="253" w:lineRule="auto"/>
        <w:rPr>
          <w:sz w:val="20"/>
          <w:szCs w:val="20"/>
          <w:color w:val="auto"/>
        </w:rPr>
      </w:pPr>
      <w:r>
        <w:rPr>
          <w:rFonts w:ascii="Arial" w:cs="Arial" w:eastAsia="Arial" w:hAnsi="Arial"/>
          <w:sz w:val="17"/>
          <w:szCs w:val="17"/>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13"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26" w:lineRule="exact"/>
        <w:rPr>
          <w:sz w:val="20"/>
          <w:szCs w:val="20"/>
          <w:color w:val="auto"/>
        </w:rPr>
      </w:pPr>
    </w:p>
    <w:p>
      <w:pPr>
        <w:ind w:left="1260" w:right="519" w:firstLine="360"/>
        <w:spacing w:after="0" w:line="259" w:lineRule="auto"/>
        <w:rPr>
          <w:sz w:val="20"/>
          <w:szCs w:val="20"/>
          <w:color w:val="auto"/>
        </w:rPr>
      </w:pPr>
      <w:r>
        <w:rPr>
          <w:rFonts w:ascii="Arial" w:cs="Arial" w:eastAsia="Arial" w:hAnsi="Arial"/>
          <w:sz w:val="17"/>
          <w:szCs w:val="17"/>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ectPr>
          <w:pgSz w:w="11900" w:h="16838" w:orient="portrait"/>
          <w:cols w:equalWidth="0" w:num="1">
            <w:col w:w="9879"/>
          </w:cols>
          <w:pgMar w:left="580" w:top="132" w:right="1440" w:bottom="1440" w:gutter="0" w:footer="0" w:header="0"/>
        </w:sectPr>
      </w:pPr>
    </w:p>
    <w:p>
      <w:pPr>
        <w:spacing w:after="0" w:line="349"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7" w:name="page48"/>
    <w:bookmarkEnd w:id="47"/>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39" w:firstLine="360"/>
        <w:spacing w:after="0" w:line="286" w:lineRule="auto"/>
        <w:rPr>
          <w:sz w:val="20"/>
          <w:szCs w:val="20"/>
          <w:color w:val="auto"/>
        </w:rPr>
      </w:pPr>
      <w:r>
        <w:rPr>
          <w:rFonts w:ascii="Arial" w:cs="Arial" w:eastAsia="Arial" w:hAnsi="Arial"/>
          <w:sz w:val="17"/>
          <w:szCs w:val="17"/>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84"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16"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8"/>
          <w:szCs w:val="18"/>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20" w:lineRule="exact"/>
        <w:rPr>
          <w:sz w:val="20"/>
          <w:szCs w:val="20"/>
          <w:color w:val="auto"/>
        </w:rPr>
      </w:pPr>
    </w:p>
    <w:p>
      <w:pPr>
        <w:ind w:left="1260" w:right="539" w:firstLine="360"/>
        <w:spacing w:after="0" w:line="253" w:lineRule="auto"/>
        <w:rPr>
          <w:sz w:val="20"/>
          <w:szCs w:val="20"/>
          <w:color w:val="auto"/>
        </w:rPr>
      </w:pPr>
      <w:r>
        <w:rPr>
          <w:rFonts w:ascii="Arial" w:cs="Arial" w:eastAsia="Arial" w:hAnsi="Arial"/>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15" w:lineRule="exact"/>
        <w:rPr>
          <w:sz w:val="20"/>
          <w:szCs w:val="20"/>
          <w:color w:val="auto"/>
        </w:rPr>
      </w:pPr>
    </w:p>
    <w:p>
      <w:pPr>
        <w:ind w:left="1260" w:right="459" w:firstLine="360"/>
        <w:spacing w:after="0" w:line="252" w:lineRule="auto"/>
        <w:rPr>
          <w:sz w:val="20"/>
          <w:szCs w:val="20"/>
          <w:color w:val="auto"/>
        </w:rPr>
      </w:pPr>
      <w:r>
        <w:rPr>
          <w:rFonts w:ascii="Arial" w:cs="Arial" w:eastAsia="Arial" w:hAnsi="Arial"/>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32" w:lineRule="exact"/>
        <w:rPr>
          <w:sz w:val="20"/>
          <w:szCs w:val="20"/>
          <w:color w:val="auto"/>
        </w:rPr>
      </w:pPr>
    </w:p>
    <w:p>
      <w:pPr>
        <w:ind w:left="1260" w:right="479" w:firstLine="360"/>
        <w:spacing w:after="0" w:line="259"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19" w:lineRule="exact"/>
        <w:rPr>
          <w:sz w:val="20"/>
          <w:szCs w:val="20"/>
          <w:color w:val="auto"/>
        </w:rPr>
      </w:pPr>
    </w:p>
    <w:p>
      <w:pPr>
        <w:ind w:left="1260" w:right="479" w:firstLine="360"/>
        <w:spacing w:after="0" w:line="263"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03" w:lineRule="exact"/>
        <w:rPr>
          <w:sz w:val="20"/>
          <w:szCs w:val="20"/>
          <w:color w:val="auto"/>
        </w:rPr>
      </w:pPr>
    </w:p>
    <w:p>
      <w:pPr>
        <w:jc w:val="both"/>
        <w:ind w:left="1260" w:right="419" w:firstLine="360"/>
        <w:spacing w:after="0" w:line="263" w:lineRule="auto"/>
        <w:rPr>
          <w:sz w:val="20"/>
          <w:szCs w:val="20"/>
          <w:color w:val="auto"/>
        </w:rPr>
      </w:pPr>
      <w:r>
        <w:rPr>
          <w:rFonts w:ascii="Arial" w:cs="Arial" w:eastAsia="Arial" w:hAnsi="Arial"/>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16" w:lineRule="exact"/>
        <w:rPr>
          <w:sz w:val="20"/>
          <w:szCs w:val="20"/>
          <w:color w:val="auto"/>
        </w:rPr>
      </w:pPr>
    </w:p>
    <w:p>
      <w:pPr>
        <w:ind w:left="1260" w:right="1119" w:firstLine="360"/>
        <w:spacing w:after="0" w:line="277"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62" w:lineRule="exact"/>
        <w:rPr>
          <w:sz w:val="20"/>
          <w:szCs w:val="20"/>
          <w:color w:val="auto"/>
        </w:rPr>
      </w:pPr>
    </w:p>
    <w:p>
      <w:pPr>
        <w:ind w:left="1800" w:right="519" w:hanging="180"/>
        <w:spacing w:after="0" w:line="257" w:lineRule="auto"/>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ectPr>
          <w:pgSz w:w="11900" w:h="16838" w:orient="portrait"/>
          <w:cols w:equalWidth="0" w:num="1">
            <w:col w:w="9879"/>
          </w:cols>
          <w:pgMar w:left="580" w:top="132"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48" w:name="page49"/>
    <w:bookmarkEnd w:id="48"/>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800" w:right="659" w:hanging="180"/>
        <w:spacing w:after="0" w:line="277" w:lineRule="auto"/>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48" w:lineRule="exact"/>
        <w:rPr>
          <w:rFonts w:ascii="Arial" w:cs="Arial" w:eastAsia="Arial" w:hAnsi="Arial"/>
          <w:sz w:val="18"/>
          <w:szCs w:val="18"/>
          <w:color w:val="auto"/>
        </w:rPr>
      </w:pPr>
    </w:p>
    <w:p>
      <w:pPr>
        <w:ind w:left="1800" w:hanging="180"/>
        <w:spacing w:after="0"/>
        <w:tabs>
          <w:tab w:leader="none" w:pos="1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pacing w:after="0" w:line="158" w:lineRule="exact"/>
        <w:rPr>
          <w:sz w:val="20"/>
          <w:szCs w:val="20"/>
          <w:color w:val="auto"/>
        </w:rPr>
      </w:pPr>
    </w:p>
    <w:p>
      <w:pPr>
        <w:ind w:left="1260" w:right="599" w:firstLine="360"/>
        <w:spacing w:after="0"/>
        <w:rPr>
          <w:sz w:val="20"/>
          <w:szCs w:val="20"/>
          <w:color w:val="auto"/>
        </w:rPr>
      </w:pPr>
      <w:r>
        <w:rPr>
          <w:rFonts w:ascii="Arial" w:cs="Arial" w:eastAsia="Arial" w:hAnsi="Arial"/>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89"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Euroclear and Clearstream</w:t>
      </w:r>
    </w:p>
    <w:p>
      <w:pPr>
        <w:spacing w:after="0" w:line="15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13" w:lineRule="exact"/>
        <w:rPr>
          <w:sz w:val="20"/>
          <w:szCs w:val="20"/>
          <w:color w:val="auto"/>
        </w:rPr>
      </w:pPr>
    </w:p>
    <w:p>
      <w:pPr>
        <w:ind w:left="1260" w:right="539" w:firstLine="360"/>
        <w:spacing w:after="0" w:line="243" w:lineRule="auto"/>
        <w:rPr>
          <w:sz w:val="20"/>
          <w:szCs w:val="20"/>
          <w:color w:val="auto"/>
        </w:rPr>
      </w:pPr>
      <w:r>
        <w:rPr>
          <w:rFonts w:ascii="Arial" w:cs="Arial" w:eastAsia="Arial" w:hAnsi="Arial"/>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20" w:lineRule="exact"/>
        <w:rPr>
          <w:sz w:val="20"/>
          <w:szCs w:val="20"/>
          <w:color w:val="auto"/>
        </w:rPr>
      </w:pPr>
    </w:p>
    <w:p>
      <w:pPr>
        <w:ind w:left="1260" w:right="599" w:firstLine="360"/>
        <w:spacing w:after="0" w:line="262" w:lineRule="auto"/>
        <w:rPr>
          <w:sz w:val="20"/>
          <w:szCs w:val="20"/>
          <w:color w:val="auto"/>
        </w:rPr>
      </w:pPr>
      <w:r>
        <w:rPr>
          <w:rFonts w:ascii="Arial" w:cs="Arial" w:eastAsia="Arial" w:hAnsi="Arial"/>
          <w:sz w:val="17"/>
          <w:szCs w:val="17"/>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05" w:lineRule="exact"/>
        <w:rPr>
          <w:sz w:val="20"/>
          <w:szCs w:val="20"/>
          <w:color w:val="auto"/>
        </w:rPr>
      </w:pPr>
    </w:p>
    <w:p>
      <w:pPr>
        <w:ind w:left="1260" w:right="739" w:firstLine="360"/>
        <w:spacing w:after="0" w:line="262" w:lineRule="auto"/>
        <w:rPr>
          <w:sz w:val="20"/>
          <w:szCs w:val="20"/>
          <w:color w:val="auto"/>
        </w:rPr>
      </w:pPr>
      <w:r>
        <w:rPr>
          <w:rFonts w:ascii="Arial" w:cs="Arial" w:eastAsia="Arial" w:hAnsi="Arial"/>
          <w:sz w:val="17"/>
          <w:szCs w:val="17"/>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91" w:lineRule="exact"/>
        <w:rPr>
          <w:sz w:val="20"/>
          <w:szCs w:val="20"/>
          <w:color w:val="auto"/>
        </w:rPr>
      </w:pPr>
    </w:p>
    <w:p>
      <w:pPr>
        <w:ind w:left="1260" w:right="439" w:firstLine="360"/>
        <w:spacing w:after="0" w:line="237" w:lineRule="auto"/>
        <w:rPr>
          <w:sz w:val="20"/>
          <w:szCs w:val="20"/>
          <w:color w:val="auto"/>
        </w:rPr>
      </w:pPr>
      <w:r>
        <w:rPr>
          <w:rFonts w:ascii="Arial" w:cs="Arial" w:eastAsia="Arial" w:hAnsi="Arial"/>
          <w:sz w:val="18"/>
          <w:szCs w:val="18"/>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 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28" w:lineRule="exact"/>
        <w:rPr>
          <w:sz w:val="20"/>
          <w:szCs w:val="20"/>
          <w:color w:val="auto"/>
        </w:rPr>
      </w:pPr>
    </w:p>
    <w:p>
      <w:pPr>
        <w:ind w:left="1260" w:right="439" w:firstLine="360"/>
        <w:spacing w:after="0" w:line="238" w:lineRule="auto"/>
        <w:rPr>
          <w:sz w:val="20"/>
          <w:szCs w:val="20"/>
          <w:color w:val="auto"/>
        </w:rPr>
      </w:pPr>
      <w:r>
        <w:rPr>
          <w:rFonts w:ascii="Arial" w:cs="Arial" w:eastAsia="Arial" w:hAnsi="Arial"/>
          <w:sz w:val="18"/>
          <w:szCs w:val="18"/>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367"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49" w:name="page50"/>
    <w:bookmarkEnd w:id="49"/>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b w:val="1"/>
          <w:bCs w:val="1"/>
          <w:i w:val="1"/>
          <w:iCs w:val="1"/>
          <w:color w:val="auto"/>
        </w:rPr>
        <w:t>Other</w:t>
      </w:r>
    </w:p>
    <w:p>
      <w:pPr>
        <w:spacing w:after="0" w:line="144"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0" w:name="page51"/>
    <w:bookmarkEnd w:id="50"/>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1260" w:right="479" w:firstLine="360"/>
        <w:spacing w:after="0" w:line="243"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80" w:lineRule="exact"/>
        <w:rPr>
          <w:sz w:val="20"/>
          <w:szCs w:val="20"/>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117" w:lineRule="exact"/>
        <w:rPr>
          <w:rFonts w:ascii="Arial" w:cs="Arial" w:eastAsia="Arial" w:hAnsi="Arial"/>
          <w:sz w:val="18"/>
          <w:szCs w:val="18"/>
          <w:color w:val="auto"/>
        </w:rPr>
      </w:pPr>
    </w:p>
    <w:p>
      <w:pPr>
        <w:ind w:left="1800" w:hanging="180"/>
        <w:spacing w:after="0"/>
        <w:tabs>
          <w:tab w:leader="none" w:pos="1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144" w:lineRule="exact"/>
        <w:rPr>
          <w:sz w:val="20"/>
          <w:szCs w:val="20"/>
          <w:color w:val="auto"/>
        </w:rPr>
      </w:pPr>
    </w:p>
    <w:p>
      <w:pPr>
        <w:ind w:left="1260" w:right="419" w:firstLine="360"/>
        <w:spacing w:after="0" w:line="270" w:lineRule="auto"/>
        <w:rPr>
          <w:sz w:val="20"/>
          <w:szCs w:val="20"/>
          <w:color w:val="auto"/>
        </w:rPr>
      </w:pPr>
      <w:r>
        <w:rPr>
          <w:rFonts w:ascii="Arial" w:cs="Arial" w:eastAsia="Arial" w:hAnsi="Arial"/>
          <w:sz w:val="17"/>
          <w:szCs w:val="17"/>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96"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14" w:lineRule="exact"/>
        <w:rPr>
          <w:sz w:val="20"/>
          <w:szCs w:val="20"/>
          <w:color w:val="auto"/>
        </w:rPr>
      </w:pPr>
    </w:p>
    <w:p>
      <w:pPr>
        <w:jc w:val="both"/>
        <w:ind w:left="1260" w:right="479" w:firstLine="360"/>
        <w:spacing w:after="0" w:line="248"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01"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7"/>
          <w:szCs w:val="17"/>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13" w:lineRule="exact"/>
        <w:rPr>
          <w:sz w:val="20"/>
          <w:szCs w:val="20"/>
          <w:color w:val="auto"/>
        </w:rPr>
      </w:pPr>
    </w:p>
    <w:p>
      <w:pPr>
        <w:ind w:left="1260" w:right="439" w:firstLine="360"/>
        <w:spacing w:after="0" w:line="253" w:lineRule="auto"/>
        <w:rPr>
          <w:sz w:val="20"/>
          <w:szCs w:val="20"/>
          <w:color w:val="auto"/>
        </w:rPr>
      </w:pPr>
      <w:r>
        <w:rPr>
          <w:rFonts w:ascii="Arial" w:cs="Arial" w:eastAsia="Arial" w:hAnsi="Arial"/>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of 1933, as amended,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29"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Any ADSs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35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1" w:name="page52"/>
    <w:bookmarkEnd w:id="51"/>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We may engage in at the market offerings into an existing trading market in accordance with</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Rule 415(a)(4) under the Securities Act. In addition, we may enter into derivative transactions with third</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parties, or sell securities not covered by this prospectus to third parties in privately negotiated transactions.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If the applicable prospectus supplement so indicates, in connection with those derivatives, the third parties</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may sell securities covered by this prospectus and the applicable prospectus supplement, including in short</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sale transactions. If so, the third party may use securities pledged by us or borrowed from us or others to</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settle those sales or to close out any related open borrowings of stock, and may use securities received from</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us in settlement of those derivatives to close out any related open borrowings of stock. The third party in</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such sale transactions will be an underwriter and, if not identified in this prospectus, will be named in the</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applicable prospectus supplement (or a post-effective amendment). In addition, we may otherwise loan or</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pledge securities to a financial institution or other third party that in turn may sell the securities short using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this prospectus and an applicable prospectus supplement. Such financial institution or other third party may</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transfer its economic short position to investors in our securities or in connection with a concurrent offering</w:t>
      </w:r>
    </w:p>
    <w:p>
      <w:pPr>
        <w:spacing w:after="0" w:line="2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 other securities.</w:t>
      </w:r>
    </w:p>
    <w:p>
      <w:pPr>
        <w:spacing w:after="0" w:line="130" w:lineRule="exact"/>
        <w:rPr>
          <w:sz w:val="20"/>
          <w:szCs w:val="20"/>
          <w:color w:val="auto"/>
        </w:rPr>
      </w:pPr>
    </w:p>
    <w:p>
      <w:pPr>
        <w:ind w:left="1260" w:right="639" w:firstLine="360"/>
        <w:spacing w:after="0" w:line="277" w:lineRule="auto"/>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w:t>
      </w:r>
    </w:p>
    <w:p>
      <w:pPr>
        <w:spacing w:after="0" w:line="103" w:lineRule="exact"/>
        <w:rPr>
          <w:sz w:val="20"/>
          <w:szCs w:val="20"/>
          <w:color w:val="auto"/>
        </w:rPr>
      </w:pPr>
    </w:p>
    <w:p>
      <w:pPr>
        <w:ind w:left="1260" w:right="499" w:firstLine="360"/>
        <w:spacing w:after="0" w:line="277"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2" w:name="page53"/>
    <w:bookmarkEnd w:id="52"/>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1260" w:right="559" w:firstLine="360"/>
        <w:spacing w:after="0" w:line="259" w:lineRule="auto"/>
        <w:rPr>
          <w:sz w:val="20"/>
          <w:szCs w:val="20"/>
          <w:color w:val="auto"/>
        </w:rPr>
      </w:pPr>
      <w:r>
        <w:rPr>
          <w:rFonts w:ascii="Arial" w:cs="Arial" w:eastAsia="Arial" w:hAnsi="Arial"/>
          <w:sz w:val="18"/>
          <w:szCs w:val="18"/>
          <w:color w:val="auto"/>
        </w:rPr>
        <w:t>Latham &amp; Watkins LLP will pass upon certain legal matters relating to the issuance and sale of the securities offered hereby on behalf of Verona Pharma plc. Additional legal matters may be passed upon for us or any underwriters, dealers or agents, by counsel that we will name in the applicable prospectus supplement.</w:t>
      </w:r>
    </w:p>
    <w:p>
      <w:pPr>
        <w:spacing w:after="0" w:line="183"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439" w:firstLine="360"/>
        <w:spacing w:after="0" w:line="259" w:lineRule="auto"/>
        <w:rPr>
          <w:rFonts w:ascii="Arial" w:cs="Arial" w:eastAsia="Arial" w:hAnsi="Arial"/>
          <w:sz w:val="18"/>
          <w:szCs w:val="18"/>
          <w:color w:val="0000EE"/>
        </w:rPr>
      </w:pPr>
      <w:hyperlink r:id="rId22">
        <w:r>
          <w:rPr>
            <w:rFonts w:ascii="Arial" w:cs="Arial" w:eastAsia="Arial" w:hAnsi="Arial"/>
            <w:sz w:val="18"/>
            <w:szCs w:val="18"/>
            <w:color w:val="auto"/>
          </w:rPr>
          <w:t xml:space="preserve">The financial statements incorporated in this prospectus by reference to the </w:t>
        </w:r>
        <w:r>
          <w:rPr>
            <w:rFonts w:ascii="Arial" w:cs="Arial" w:eastAsia="Arial" w:hAnsi="Arial"/>
            <w:sz w:val="18"/>
            <w:szCs w:val="18"/>
            <w:u w:val="single" w:color="auto"/>
            <w:color w:val="0000EE"/>
          </w:rPr>
          <w:t>Annual Report on Form 10-</w:t>
        </w:r>
      </w:hyperlink>
      <w:hyperlink r:id="rId22">
        <w:r>
          <w:rPr>
            <w:rFonts w:ascii="Arial" w:cs="Arial" w:eastAsia="Arial" w:hAnsi="Arial"/>
            <w:sz w:val="18"/>
            <w:szCs w:val="18"/>
            <w:u w:val="single" w:color="auto"/>
            <w:color w:val="0000EE"/>
          </w:rPr>
          <w:t>K for the year ended December 31, 2020</w:t>
        </w:r>
        <w:r>
          <w:rPr>
            <w:rFonts w:ascii="Arial" w:cs="Arial" w:eastAsia="Arial" w:hAnsi="Arial"/>
            <w:sz w:val="18"/>
            <w:szCs w:val="18"/>
            <w:color w:val="0000EE"/>
          </w:rPr>
          <w:t xml:space="preserve"> </w:t>
        </w:r>
        <w:r>
          <w:rPr>
            <w:rFonts w:ascii="Arial" w:cs="Arial" w:eastAsia="Arial" w:hAnsi="Arial"/>
            <w:sz w:val="18"/>
            <w:szCs w:val="18"/>
            <w:color w:val="000000"/>
          </w:rPr>
          <w:t>have been so incorporated in reliance on the report of</w:t>
        </w:r>
      </w:hyperlink>
      <w:r>
        <w:rPr>
          <w:rFonts w:ascii="Arial" w:cs="Arial" w:eastAsia="Arial" w:hAnsi="Arial"/>
          <w:sz w:val="18"/>
          <w:szCs w:val="18"/>
          <w:color w:val="0000EE"/>
        </w:rPr>
        <w:t xml:space="preserve"> </w:t>
      </w:r>
      <w:r>
        <w:rPr>
          <w:rFonts w:ascii="Arial" w:cs="Arial" w:eastAsia="Arial" w:hAnsi="Arial"/>
          <w:sz w:val="18"/>
          <w:szCs w:val="18"/>
          <w:color w:val="000000"/>
        </w:rPr>
        <w:t>PricewaterhouseCoopers LLP, an independent registered public accounting firm, given on the authority of said firm as experts in auditing and accounting.</w:t>
      </w:r>
    </w:p>
    <w:p>
      <w:pPr>
        <w:spacing w:after="0" w:line="119" w:lineRule="exact"/>
        <w:rPr>
          <w:sz w:val="20"/>
          <w:szCs w:val="20"/>
          <w:color w:val="auto"/>
        </w:rPr>
      </w:pPr>
    </w:p>
    <w:p>
      <w:pPr>
        <w:ind w:left="1260" w:right="1519" w:firstLine="360"/>
        <w:spacing w:after="0" w:line="277" w:lineRule="auto"/>
        <w:rPr>
          <w:sz w:val="20"/>
          <w:szCs w:val="20"/>
          <w:color w:val="auto"/>
        </w:rPr>
      </w:pPr>
      <w:r>
        <w:rPr>
          <w:rFonts w:ascii="Arial" w:cs="Arial" w:eastAsia="Arial" w:hAnsi="Arial"/>
          <w:sz w:val="18"/>
          <w:szCs w:val="18"/>
          <w:color w:val="auto"/>
        </w:rPr>
        <w:t>The registered business address of PricewaterhouseCoopers LLP is 1 Embankment Place, London, WC2N 6RH,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3" w:name="page54"/>
    <w:bookmarkEnd w:id="53"/>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36" w:lineRule="exact"/>
        <w:rPr>
          <w:sz w:val="20"/>
          <w:szCs w:val="20"/>
          <w:color w:val="auto"/>
        </w:rPr>
      </w:pPr>
    </w:p>
    <w:tbl>
      <w:tblPr>
        <w:tblLayout w:type="fixed"/>
        <w:tblInd w:w="880" w:type="dxa"/>
        <w:tblCellMar>
          <w:top w:w="0" w:type="dxa"/>
          <w:left w:w="0" w:type="dxa"/>
          <w:bottom w:w="0" w:type="dxa"/>
          <w:right w:w="0" w:type="dxa"/>
        </w:tblCellMar>
      </w:tblPr>
      <w:tr>
        <w:trPr>
          <w:trHeight w:val="2318"/>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rPr>
              <w:t>statement filed with the Securities</w:t>
            </w:r>
          </w:p>
        </w:tc>
        <w:tc>
          <w:tcPr>
            <w:tcW w:w="300" w:type="dxa"/>
            <w:vAlign w:val="bottom"/>
            <w:textDirection w:val="btLr"/>
          </w:tcPr>
          <w:p>
            <w:pPr>
              <w:ind w:left="20"/>
              <w:spacing w:after="0"/>
              <w:rPr>
                <w:sz w:val="20"/>
                <w:szCs w:val="20"/>
                <w:color w:val="auto"/>
              </w:rPr>
            </w:pPr>
            <w:r>
              <w:rPr>
                <w:rFonts w:ascii="Arial" w:cs="Arial" w:eastAsia="Arial" w:hAnsi="Arial"/>
                <w:sz w:val="14"/>
                <w:szCs w:val="14"/>
                <w:b w:val="1"/>
                <w:bCs w:val="1"/>
                <w:color w:val="FC0014"/>
              </w:rPr>
              <w:t>any jurisdiction where the offer or</w:t>
            </w:r>
          </w:p>
        </w:tc>
      </w:tr>
      <w:tr>
        <w:trPr>
          <w:trHeight w:val="853"/>
        </w:trPr>
        <w:tc>
          <w:tcPr>
            <w:tcW w:w="160" w:type="dxa"/>
            <w:vAlign w:val="bottom"/>
            <w:textDirection w:val="btLr"/>
          </w:tcPr>
          <w:p>
            <w:pPr>
              <w:spacing w:after="0"/>
              <w:rPr>
                <w:sz w:val="20"/>
                <w:szCs w:val="20"/>
                <w:color w:val="auto"/>
              </w:rPr>
            </w:pPr>
            <w:r>
              <w:rPr>
                <w:rFonts w:ascii="Arial" w:cs="Arial" w:eastAsia="Arial" w:hAnsi="Arial"/>
                <w:sz w:val="14"/>
                <w:szCs w:val="14"/>
                <w:b w:val="1"/>
                <w:bCs w:val="1"/>
                <w:color w:val="FC0014"/>
                <w:w w:val="98"/>
              </w:rPr>
              <w:t>registration</w:t>
            </w:r>
          </w:p>
        </w:tc>
        <w:tc>
          <w:tcPr>
            <w:tcW w:w="300" w:type="dxa"/>
            <w:vAlign w:val="bottom"/>
            <w:textDirection w:val="btLr"/>
          </w:tcPr>
          <w:p>
            <w:pPr>
              <w:ind w:left="20"/>
              <w:spacing w:after="0"/>
              <w:rPr>
                <w:sz w:val="20"/>
                <w:szCs w:val="20"/>
                <w:color w:val="auto"/>
              </w:rPr>
            </w:pPr>
            <w:r>
              <w:rPr>
                <w:rFonts w:ascii="Arial" w:cs="Arial" w:eastAsia="Arial" w:hAnsi="Arial"/>
                <w:sz w:val="14"/>
                <w:szCs w:val="14"/>
                <w:b w:val="1"/>
                <w:bCs w:val="1"/>
                <w:color w:val="FC0014"/>
              </w:rPr>
              <w:t>securities in</w:t>
            </w:r>
          </w:p>
        </w:tc>
      </w:tr>
      <w:tr>
        <w:trPr>
          <w:trHeight w:val="909"/>
        </w:trPr>
        <w:tc>
          <w:tcPr>
            <w:tcW w:w="460" w:type="dxa"/>
            <w:vAlign w:val="bottom"/>
            <w:gridSpan w:val="2"/>
            <w:textDirection w:val="btLr"/>
          </w:tcPr>
          <w:p>
            <w:pPr>
              <w:ind w:left="215"/>
              <w:spacing w:after="0"/>
              <w:rPr>
                <w:sz w:val="20"/>
                <w:szCs w:val="20"/>
                <w:color w:val="auto"/>
              </w:rPr>
            </w:pPr>
            <w:r>
              <w:rPr>
                <w:rFonts w:ascii="Arial" w:cs="Arial" w:eastAsia="Arial" w:hAnsi="Arial"/>
                <w:sz w:val="11"/>
                <w:szCs w:val="11"/>
                <w:b w:val="1"/>
                <w:bCs w:val="1"/>
                <w:color w:val="FC0014"/>
                <w:w w:val="70"/>
              </w:rPr>
              <w:t>sold until thetobuythese</w:t>
            </w:r>
          </w:p>
        </w:tc>
      </w:tr>
      <w:tr>
        <w:trPr>
          <w:trHeight w:val="1972"/>
        </w:trPr>
        <w:tc>
          <w:tcPr>
            <w:tcW w:w="460" w:type="dxa"/>
            <w:vAlign w:val="bottom"/>
            <w:gridSpan w:val="2"/>
            <w:textDirection w:val="btLr"/>
          </w:tcPr>
          <w:p>
            <w:pPr>
              <w:ind w:left="226"/>
              <w:spacing w:after="0"/>
              <w:rPr>
                <w:sz w:val="20"/>
                <w:szCs w:val="20"/>
                <w:color w:val="auto"/>
              </w:rPr>
            </w:pPr>
            <w:r>
              <w:rPr>
                <w:rFonts w:ascii="Arial" w:cs="Arial" w:eastAsia="Arial" w:hAnsi="Arial"/>
                <w:sz w:val="10"/>
                <w:szCs w:val="10"/>
                <w:b w:val="1"/>
                <w:bCs w:val="1"/>
                <w:color w:val="FC0014"/>
                <w:w w:val="76"/>
              </w:rPr>
              <w:t>These securities may not besellnordoesitseekanoffer</w:t>
            </w:r>
          </w:p>
        </w:tc>
      </w:tr>
      <w:tr>
        <w:trPr>
          <w:trHeight w:val="6361"/>
        </w:trPr>
        <w:tc>
          <w:tcPr>
            <w:tcW w:w="460" w:type="dxa"/>
            <w:vAlign w:val="bottom"/>
            <w:gridSpan w:val="2"/>
            <w:textDirection w:val="btLr"/>
          </w:tcPr>
          <w:p>
            <w:pPr>
              <w:ind w:left="357"/>
              <w:spacing w:after="0"/>
              <w:rPr>
                <w:sz w:val="20"/>
                <w:szCs w:val="20"/>
                <w:color w:val="auto"/>
              </w:rPr>
            </w:pPr>
            <w:r>
              <w:rPr>
                <w:rFonts w:ascii="Arial" w:cs="Arial" w:eastAsia="Arial" w:hAnsi="Arial"/>
                <w:sz w:val="9"/>
                <w:szCs w:val="9"/>
                <w:b w:val="1"/>
                <w:bCs w:val="1"/>
                <w:color w:val="FC0014"/>
                <w:w w:val="76"/>
              </w:rPr>
              <w:t>information in this preliminary prospectus supplement is not complete and may be changed.ExchangeCommissioniseffective.Thispreliminaryprospectussupplementisnotanoffertoisnotpermitted.</w:t>
            </w:r>
          </w:p>
        </w:tc>
      </w:tr>
      <w:tr>
        <w:trPr>
          <w:trHeight w:val="296"/>
        </w:trPr>
        <w:tc>
          <w:tcPr>
            <w:tcW w:w="460" w:type="dxa"/>
            <w:vAlign w:val="bottom"/>
            <w:gridSpan w:val="2"/>
            <w:textDirection w:val="btLr"/>
          </w:tcPr>
          <w:p>
            <w:pPr>
              <w:ind w:left="380"/>
              <w:spacing w:after="0"/>
              <w:rPr>
                <w:sz w:val="20"/>
                <w:szCs w:val="20"/>
                <w:color w:val="auto"/>
              </w:rPr>
            </w:pPr>
            <w:r>
              <w:rPr>
                <w:rFonts w:ascii="Arial" w:cs="Arial" w:eastAsia="Arial" w:hAnsi="Arial"/>
                <w:sz w:val="7"/>
                <w:szCs w:val="7"/>
                <w:b w:val="1"/>
                <w:bCs w:val="1"/>
                <w:color w:val="FC0014"/>
                <w:w w:val="72"/>
              </w:rPr>
              <w:t>Theandsale</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FC0014"/>
        </w:rPr>
        <w:t>Subject to Completion, dated March 19,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317500</wp:posOffset>
            </wp:positionV>
            <wp:extent cx="1688465" cy="651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168846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3140"/>
        <w:spacing w:after="0"/>
        <w:rPr>
          <w:sz w:val="20"/>
          <w:szCs w:val="20"/>
          <w:color w:val="auto"/>
        </w:rPr>
      </w:pPr>
      <w:r>
        <w:rPr>
          <w:rFonts w:ascii="Arial" w:cs="Arial" w:eastAsia="Arial" w:hAnsi="Arial"/>
          <w:sz w:val="25"/>
          <w:szCs w:val="25"/>
          <w:b w:val="1"/>
          <w:bCs w:val="1"/>
          <w:color w:val="auto"/>
        </w:rPr>
        <w:t>Up to $100,000,000</w:t>
      </w:r>
    </w:p>
    <w:p>
      <w:pPr>
        <w:spacing w:after="0" w:line="212" w:lineRule="exact"/>
        <w:rPr>
          <w:sz w:val="20"/>
          <w:szCs w:val="20"/>
          <w:color w:val="auto"/>
        </w:rPr>
      </w:pPr>
    </w:p>
    <w:p>
      <w:pPr>
        <w:ind w:left="3220"/>
        <w:spacing w:after="0"/>
        <w:rPr>
          <w:sz w:val="20"/>
          <w:szCs w:val="20"/>
          <w:color w:val="auto"/>
        </w:rPr>
      </w:pPr>
      <w:r>
        <w:rPr>
          <w:rFonts w:ascii="Arial" w:cs="Arial" w:eastAsia="Arial" w:hAnsi="Arial"/>
          <w:sz w:val="25"/>
          <w:szCs w:val="25"/>
          <w:b w:val="1"/>
          <w:bCs w:val="1"/>
          <w:color w:val="auto"/>
        </w:rPr>
        <w:t>Ordinary Shares</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(in the Form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217170</wp:posOffset>
            </wp:positionV>
            <wp:extent cx="12344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14" w:lineRule="exact"/>
        <w:rPr>
          <w:sz w:val="20"/>
          <w:szCs w:val="20"/>
          <w:color w:val="auto"/>
        </w:rPr>
      </w:pPr>
    </w:p>
    <w:p>
      <w:pPr>
        <w:ind w:right="239" w:firstLine="360"/>
        <w:spacing w:after="0" w:line="242" w:lineRule="auto"/>
        <w:rPr>
          <w:sz w:val="20"/>
          <w:szCs w:val="20"/>
          <w:color w:val="auto"/>
        </w:rPr>
      </w:pPr>
      <w:r>
        <w:rPr>
          <w:rFonts w:ascii="Arial" w:cs="Arial" w:eastAsia="Arial" w:hAnsi="Arial"/>
          <w:sz w:val="18"/>
          <w:szCs w:val="18"/>
          <w:color w:val="auto"/>
        </w:rPr>
        <w:t>We have entered into an Open Market Sale Agreement</w:t>
      </w:r>
      <w:r>
        <w:rPr>
          <w:rFonts w:ascii="Arial" w:cs="Arial" w:eastAsia="Arial" w:hAnsi="Arial"/>
          <w:sz w:val="26"/>
          <w:szCs w:val="26"/>
          <w:color w:val="auto"/>
          <w:vertAlign w:val="superscript"/>
        </w:rPr>
        <w:t>SM</w:t>
      </w:r>
      <w:r>
        <w:rPr>
          <w:rFonts w:ascii="Arial" w:cs="Arial" w:eastAsia="Arial" w:hAnsi="Arial"/>
          <w:sz w:val="18"/>
          <w:szCs w:val="18"/>
          <w:color w:val="auto"/>
        </w:rPr>
        <w:t>, or sales agreement, with Jefferies LLC, or Jefferies, dated March 19, 2021, relating to the sale of American Depositary Shares, or ADSs, each representing eight ordinary shares, nominal value £0.05, offered by this prospectus supplement. In accordance with the terms of the sales agreement, under this prospectus supplement we may offer and sell ADSs having an aggregate offering price of up to $100,000,000 from time to time through Jefferies, acting as our agent.</w:t>
      </w:r>
    </w:p>
    <w:p>
      <w:pPr>
        <w:spacing w:after="0" w:line="136" w:lineRule="exact"/>
        <w:rPr>
          <w:sz w:val="20"/>
          <w:szCs w:val="20"/>
          <w:color w:val="auto"/>
        </w:rPr>
      </w:pPr>
    </w:p>
    <w:p>
      <w:pPr>
        <w:ind w:right="119" w:firstLine="360"/>
        <w:spacing w:after="0" w:line="275" w:lineRule="auto"/>
        <w:rPr>
          <w:sz w:val="20"/>
          <w:szCs w:val="20"/>
          <w:color w:val="auto"/>
        </w:rPr>
      </w:pPr>
      <w:r>
        <w:rPr>
          <w:rFonts w:ascii="Arial" w:cs="Arial" w:eastAsia="Arial" w:hAnsi="Arial"/>
          <w:sz w:val="17"/>
          <w:szCs w:val="17"/>
          <w:color w:val="auto"/>
        </w:rPr>
        <w:t>Sales of our ADSs, if any, under this prospectus supplement will be made by any method permitted that is deemed an “at the market offering” as defined in Rule 415(a)(4) under the Securities Act of 1933, as amended, or the Securities Act. Jefferies is not required to sell any specific amount, but will act as our sales agent using commercially reasonable efforts consistent with its normal trading and sales practices. There is no arrangement for funds to be received in any escrow, trust or similar arrangement.</w:t>
      </w:r>
    </w:p>
    <w:p>
      <w:pPr>
        <w:spacing w:after="0" w:line="109" w:lineRule="exact"/>
        <w:rPr>
          <w:sz w:val="20"/>
          <w:szCs w:val="20"/>
          <w:color w:val="auto"/>
        </w:rPr>
      </w:pPr>
    </w:p>
    <w:p>
      <w:pPr>
        <w:ind w:right="159" w:firstLine="36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Jefferies will be entitled to compensation at a commission rate of up to 3.0% of the gross sales price per ADS sold under the sales agreement. See “Plan of Distribution” beginning on page </w:t>
      </w:r>
      <w:hyperlink w:anchor="page66">
        <w:r>
          <w:rPr>
            <w:rFonts w:ascii="Arial" w:cs="Arial" w:eastAsia="Arial" w:hAnsi="Arial"/>
            <w:sz w:val="18"/>
            <w:szCs w:val="18"/>
            <w:u w:val="single" w:color="auto"/>
            <w:color w:val="0000EE"/>
          </w:rPr>
          <w:t>S-12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 regarding the compensation to be paid to Jefferies. In connection with the sale of the ADSs on our behalf, Jefferies will be deemed to be an “underwriter” within the meaning of the Securities Act and the compensation of Jefferies will be deemed to be underwriting commissions or discounts. We have also agreed to provide indemnification and contribution to Jefferies with respect to certain liabilities, including liabilities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158115</wp:posOffset>
            </wp:positionV>
            <wp:extent cx="12344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ind w:right="279" w:firstLine="36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RISKS. SEE THE “</w:t>
      </w:r>
      <w:r>
        <w:rPr>
          <w:rFonts w:ascii="Arial" w:cs="Arial" w:eastAsia="Arial" w:hAnsi="Arial"/>
          <w:sz w:val="18"/>
          <w:szCs w:val="18"/>
          <w:b w:val="1"/>
          <w:bCs w:val="1"/>
          <w:u w:val="single" w:color="auto"/>
          <w:color w:val="auto"/>
        </w:rPr>
        <w:t>RISK FACTORS</w:t>
      </w:r>
      <w:r>
        <w:rPr>
          <w:rFonts w:ascii="Arial" w:cs="Arial" w:eastAsia="Arial" w:hAnsi="Arial"/>
          <w:sz w:val="18"/>
          <w:szCs w:val="18"/>
          <w:b w:val="1"/>
          <w:bCs w:val="1"/>
          <w:color w:val="auto"/>
        </w:rPr>
        <w:t xml:space="preserve">” ON PAGE </w:t>
      </w:r>
      <w:hyperlink w:anchor="page60">
        <w:r>
          <w:rPr>
            <w:rFonts w:ascii="Arial" w:cs="Arial" w:eastAsia="Arial" w:hAnsi="Arial"/>
            <w:sz w:val="18"/>
            <w:szCs w:val="18"/>
            <w:b w:val="1"/>
            <w:bCs w:val="1"/>
            <w:u w:val="single" w:color="auto"/>
            <w:color w:val="0000EE"/>
          </w:rPr>
          <w:t>S-6</w:t>
        </w:r>
      </w:hyperlink>
      <w:r>
        <w:rPr>
          <w:rFonts w:ascii="Arial" w:cs="Arial" w:eastAsia="Arial" w:hAnsi="Arial"/>
          <w:sz w:val="18"/>
          <w:szCs w:val="18"/>
          <w:b w:val="1"/>
          <w:bCs w:val="1"/>
          <w:color w:val="auto"/>
        </w:rPr>
        <w:t xml:space="preserve"> OF THIS PROSPECTUS SUPPLEMENT AND IN THE DOCUMENTS INCORPORATED BY REFERENCE IN THIS PROSPECTUS SUPPLEMENT CONCERNING FACTORS YOU SHOULD CONSIDER BEFORE INVESTING IN OUR SECURITIES.</w:t>
      </w:r>
    </w:p>
    <w:p>
      <w:pPr>
        <w:spacing w:after="0" w:line="116" w:lineRule="exact"/>
        <w:rPr>
          <w:sz w:val="20"/>
          <w:szCs w:val="20"/>
          <w:color w:val="auto"/>
        </w:rPr>
      </w:pPr>
    </w:p>
    <w:p>
      <w:pPr>
        <w:ind w:right="99" w:firstLine="360"/>
        <w:spacing w:after="0" w:line="277" w:lineRule="auto"/>
        <w:rPr>
          <w:sz w:val="20"/>
          <w:szCs w:val="20"/>
          <w:color w:val="auto"/>
        </w:rPr>
      </w:pPr>
      <w:r>
        <w:rPr>
          <w:rFonts w:ascii="Arial" w:cs="Arial" w:eastAsia="Arial" w:hAnsi="Arial"/>
          <w:sz w:val="18"/>
          <w:szCs w:val="18"/>
          <w:color w:val="auto"/>
        </w:rPr>
        <w:t>Our ADSs are listed on The Nasdaq Global Market under the symbol “VRNA.” On March 16, 2021, the last reported sale price of our ADSs on The Nasdaq Global Market was $8.60 per ADS.</w:t>
      </w:r>
    </w:p>
    <w:p>
      <w:pPr>
        <w:spacing w:after="0" w:line="99" w:lineRule="exact"/>
        <w:rPr>
          <w:sz w:val="20"/>
          <w:szCs w:val="20"/>
          <w:color w:val="auto"/>
        </w:rPr>
      </w:pPr>
    </w:p>
    <w:p>
      <w:pPr>
        <w:jc w:val="both"/>
        <w:ind w:right="379" w:firstLine="36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1991360</wp:posOffset>
            </wp:positionH>
            <wp:positionV relativeFrom="paragraph">
              <wp:posOffset>200660</wp:posOffset>
            </wp:positionV>
            <wp:extent cx="123444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Jefferies</w:t>
      </w:r>
    </w:p>
    <w:p>
      <w:pPr>
        <w:spacing w:after="0" w:line="200" w:lineRule="exact"/>
        <w:rPr>
          <w:sz w:val="20"/>
          <w:szCs w:val="20"/>
          <w:color w:val="auto"/>
        </w:rPr>
      </w:pPr>
    </w:p>
    <w:p>
      <w:pPr>
        <w:spacing w:after="0" w:line="238"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w w:val="93"/>
              </w:rPr>
              <w:t>The date of this prospectus supplement is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60325</wp:posOffset>
            </wp:positionV>
            <wp:extent cx="680656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2">
            <w:col w:w="1340" w:space="240"/>
            <w:col w:w="8299"/>
          </w:cols>
          <w:pgMar w:left="580" w:top="132" w:right="1440" w:bottom="1440" w:gutter="0" w:footer="0" w:header="0"/>
          <w:type w:val="continuous"/>
        </w:sectPr>
      </w:pPr>
    </w:p>
    <w:bookmarkStart w:id="54" w:name="page55"/>
    <w:bookmarkEnd w:id="54"/>
    <w:p>
      <w:pPr>
        <w:spacing w:after="0"/>
        <w:rPr>
          <w:rFonts w:ascii="Arial" w:cs="Arial" w:eastAsia="Arial" w:hAnsi="Arial"/>
          <w:sz w:val="14"/>
          <w:szCs w:val="14"/>
          <w:color w:val="003366"/>
        </w:rPr>
      </w:pPr>
      <w:hyperlink w:anchor="page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7400" w:type="dxa"/>
            <w:vAlign w:val="bottom"/>
          </w:tcPr>
          <w:p>
            <w:pPr>
              <w:ind w:left="318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r>
      <w:tr>
        <w:trPr>
          <w:trHeight w:val="175"/>
        </w:trPr>
        <w:tc>
          <w:tcPr>
            <w:tcW w:w="74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9"/>
        </w:trPr>
        <w:tc>
          <w:tcPr>
            <w:tcW w:w="7400" w:type="dxa"/>
            <w:vAlign w:val="bottom"/>
            <w:shd w:val="clear" w:color="auto" w:fill="CCEEFF"/>
          </w:tcPr>
          <w:p>
            <w:pPr>
              <w:spacing w:after="0" w:line="189" w:lineRule="exact"/>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ABOUT THIS PROSPECTUS SUPPLEMENT</w:t>
              </w:r>
            </w:hyperlink>
          </w:p>
        </w:tc>
        <w:tc>
          <w:tcPr>
            <w:tcW w:w="800" w:type="dxa"/>
            <w:vAlign w:val="bottom"/>
            <w:shd w:val="clear" w:color="auto" w:fill="CCEEFF"/>
          </w:tcPr>
          <w:p>
            <w:pPr>
              <w:jc w:val="right"/>
              <w:spacing w:after="0" w:line="189" w:lineRule="exact"/>
              <w:rPr>
                <w:rFonts w:ascii="Arial" w:cs="Arial" w:eastAsia="Arial" w:hAnsi="Arial"/>
                <w:sz w:val="18"/>
                <w:szCs w:val="18"/>
                <w:u w:val="single" w:color="auto"/>
                <w:color w:val="0000EE"/>
              </w:rPr>
            </w:pPr>
            <w:hyperlink w:anchor="page55">
              <w:r>
                <w:rPr>
                  <w:rFonts w:ascii="Arial" w:cs="Arial" w:eastAsia="Arial" w:hAnsi="Arial"/>
                  <w:sz w:val="18"/>
                  <w:szCs w:val="18"/>
                  <w:u w:val="single" w:color="auto"/>
                  <w:color w:val="0000EE"/>
                </w:rPr>
                <w:t>S-1</w:t>
              </w:r>
            </w:hyperlink>
          </w:p>
        </w:tc>
      </w:tr>
      <w:tr>
        <w:trPr>
          <w:trHeight w:val="256"/>
        </w:trPr>
        <w:tc>
          <w:tcPr>
            <w:tcW w:w="7400" w:type="dxa"/>
            <w:vAlign w:val="bottom"/>
          </w:tcPr>
          <w:p>
            <w:pPr>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WHERE YOU CAN FIND MORE INFORMATION; INCORPORATION BY REFERENCE</w:t>
              </w:r>
            </w:hyperlink>
          </w:p>
        </w:tc>
        <w:tc>
          <w:tcPr>
            <w:tcW w:w="800" w:type="dxa"/>
            <w:vAlign w:val="bottom"/>
          </w:tcPr>
          <w:p>
            <w:pPr>
              <w:jc w:val="right"/>
              <w:spacing w:after="0"/>
              <w:rPr>
                <w:rFonts w:ascii="Arial" w:cs="Arial" w:eastAsia="Arial" w:hAnsi="Arial"/>
                <w:sz w:val="18"/>
                <w:szCs w:val="18"/>
                <w:u w:val="single" w:color="auto"/>
                <w:color w:val="0000EE"/>
              </w:rPr>
            </w:pPr>
            <w:hyperlink w:anchor="page56">
              <w:r>
                <w:rPr>
                  <w:rFonts w:ascii="Arial" w:cs="Arial" w:eastAsia="Arial" w:hAnsi="Arial"/>
                  <w:sz w:val="18"/>
                  <w:szCs w:val="18"/>
                  <w:u w:val="single" w:color="auto"/>
                  <w:color w:val="0000EE"/>
                </w:rPr>
                <w:t>S-2</w:t>
              </w:r>
            </w:hyperlink>
          </w:p>
        </w:tc>
      </w:tr>
      <w:tr>
        <w:trPr>
          <w:trHeight w:val="270"/>
        </w:trPr>
        <w:tc>
          <w:tcPr>
            <w:tcW w:w="7400" w:type="dxa"/>
            <w:vAlign w:val="bottom"/>
            <w:shd w:val="clear" w:color="auto" w:fill="CCEEFF"/>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THE COMPANY</w:t>
              </w:r>
            </w:hyperlink>
          </w:p>
        </w:tc>
        <w:tc>
          <w:tcPr>
            <w:tcW w:w="800" w:type="dxa"/>
            <w:vAlign w:val="bottom"/>
            <w:shd w:val="clear" w:color="auto" w:fill="CCEEFF"/>
          </w:tcPr>
          <w:p>
            <w:pPr>
              <w:jc w:val="right"/>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S-4</w:t>
              </w:r>
            </w:hyperlink>
          </w:p>
        </w:tc>
      </w:tr>
      <w:tr>
        <w:trPr>
          <w:trHeight w:val="270"/>
        </w:trPr>
        <w:tc>
          <w:tcPr>
            <w:tcW w:w="7400" w:type="dxa"/>
            <w:vAlign w:val="bottom"/>
          </w:tcPr>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THE OFFERING</w:t>
              </w:r>
            </w:hyperlink>
          </w:p>
        </w:tc>
        <w:tc>
          <w:tcPr>
            <w:tcW w:w="800" w:type="dxa"/>
            <w:vAlign w:val="bottom"/>
          </w:tcPr>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S-5</w:t>
              </w:r>
            </w:hyperlink>
          </w:p>
        </w:tc>
      </w:tr>
      <w:tr>
        <w:trPr>
          <w:trHeight w:val="270"/>
        </w:trPr>
        <w:tc>
          <w:tcPr>
            <w:tcW w:w="7400" w:type="dxa"/>
            <w:vAlign w:val="bottom"/>
            <w:shd w:val="clear" w:color="auto" w:fill="CCEEFF"/>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RISK FACTORS</w:t>
              </w:r>
            </w:hyperlink>
          </w:p>
        </w:tc>
        <w:tc>
          <w:tcPr>
            <w:tcW w:w="800" w:type="dxa"/>
            <w:vAlign w:val="bottom"/>
            <w:shd w:val="clear" w:color="auto" w:fill="CCEEFF"/>
          </w:tcPr>
          <w:p>
            <w:pPr>
              <w:jc w:val="right"/>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S-6</w:t>
              </w:r>
            </w:hyperlink>
          </w:p>
        </w:tc>
      </w:tr>
      <w:tr>
        <w:trPr>
          <w:trHeight w:val="270"/>
        </w:trPr>
        <w:tc>
          <w:tcPr>
            <w:tcW w:w="7400" w:type="dxa"/>
            <w:vAlign w:val="bottom"/>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CAUTIONARY NOTE REGARDING FORWARD-LOOKING STATEMENTS</w:t>
              </w:r>
            </w:hyperlink>
          </w:p>
        </w:tc>
        <w:tc>
          <w:tcPr>
            <w:tcW w:w="800" w:type="dxa"/>
            <w:vAlign w:val="bottom"/>
          </w:tcPr>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S-8</w:t>
              </w:r>
            </w:hyperlink>
          </w:p>
        </w:tc>
      </w:tr>
      <w:tr>
        <w:trPr>
          <w:trHeight w:val="270"/>
        </w:trPr>
        <w:tc>
          <w:tcPr>
            <w:tcW w:w="7400" w:type="dxa"/>
            <w:vAlign w:val="bottom"/>
            <w:shd w:val="clear" w:color="auto" w:fill="CCEEFF"/>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USE OF PROCEEDS</w:t>
              </w:r>
            </w:hyperlink>
          </w:p>
        </w:tc>
        <w:tc>
          <w:tcPr>
            <w:tcW w:w="800" w:type="dxa"/>
            <w:vAlign w:val="bottom"/>
            <w:shd w:val="clear" w:color="auto" w:fill="CCEEFF"/>
          </w:tcPr>
          <w:p>
            <w:pPr>
              <w:jc w:val="right"/>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S-9</w:t>
              </w:r>
            </w:hyperlink>
          </w:p>
        </w:tc>
      </w:tr>
      <w:tr>
        <w:trPr>
          <w:trHeight w:val="270"/>
        </w:trPr>
        <w:tc>
          <w:tcPr>
            <w:tcW w:w="7400" w:type="dxa"/>
            <w:vAlign w:val="bottom"/>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DIVIDEND POLICY</w:t>
              </w:r>
            </w:hyperlink>
          </w:p>
        </w:tc>
        <w:tc>
          <w:tcPr>
            <w:tcW w:w="800" w:type="dxa"/>
            <w:vAlign w:val="bottom"/>
          </w:tcPr>
          <w:p>
            <w:pPr>
              <w:jc w:val="right"/>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S-10</w:t>
              </w:r>
            </w:hyperlink>
          </w:p>
        </w:tc>
      </w:tr>
      <w:tr>
        <w:trPr>
          <w:trHeight w:val="270"/>
        </w:trPr>
        <w:tc>
          <w:tcPr>
            <w:tcW w:w="7400" w:type="dxa"/>
            <w:vAlign w:val="bottom"/>
            <w:shd w:val="clear" w:color="auto" w:fill="CCEEFF"/>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DILUTION</w:t>
              </w:r>
            </w:hyperlink>
          </w:p>
        </w:tc>
        <w:tc>
          <w:tcPr>
            <w:tcW w:w="800" w:type="dxa"/>
            <w:vAlign w:val="bottom"/>
            <w:shd w:val="clear" w:color="auto" w:fill="CCEEFF"/>
          </w:tcPr>
          <w:p>
            <w:pPr>
              <w:jc w:val="right"/>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S-11</w:t>
              </w:r>
            </w:hyperlink>
          </w:p>
        </w:tc>
      </w:tr>
      <w:tr>
        <w:trPr>
          <w:trHeight w:val="270"/>
        </w:trPr>
        <w:tc>
          <w:tcPr>
            <w:tcW w:w="7400" w:type="dxa"/>
            <w:vAlign w:val="bottom"/>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PLAN OF DISTRIBUTION</w:t>
              </w:r>
            </w:hyperlink>
          </w:p>
        </w:tc>
        <w:tc>
          <w:tcPr>
            <w:tcW w:w="800" w:type="dxa"/>
            <w:vAlign w:val="bottom"/>
          </w:tcPr>
          <w:p>
            <w:pPr>
              <w:jc w:val="right"/>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S-12</w:t>
              </w:r>
            </w:hyperlink>
          </w:p>
        </w:tc>
      </w:tr>
      <w:tr>
        <w:trPr>
          <w:trHeight w:val="270"/>
        </w:trPr>
        <w:tc>
          <w:tcPr>
            <w:tcW w:w="7400" w:type="dxa"/>
            <w:vAlign w:val="bottom"/>
            <w:shd w:val="clear" w:color="auto" w:fill="CCEEFF"/>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LEGAL MATTERS</w:t>
              </w:r>
            </w:hyperlink>
          </w:p>
        </w:tc>
        <w:tc>
          <w:tcPr>
            <w:tcW w:w="800" w:type="dxa"/>
            <w:vAlign w:val="bottom"/>
            <w:shd w:val="clear" w:color="auto" w:fill="CCEEFF"/>
          </w:tcPr>
          <w:p>
            <w:pPr>
              <w:jc w:val="right"/>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S-13</w:t>
              </w:r>
            </w:hyperlink>
          </w:p>
        </w:tc>
      </w:tr>
      <w:tr>
        <w:trPr>
          <w:trHeight w:val="270"/>
        </w:trPr>
        <w:tc>
          <w:tcPr>
            <w:tcW w:w="740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EXPERTS</w:t>
              </w:r>
            </w:hyperlink>
          </w:p>
        </w:tc>
        <w:tc>
          <w:tcPr>
            <w:tcW w:w="800" w:type="dxa"/>
            <w:vAlign w:val="bottom"/>
          </w:tcPr>
          <w:p>
            <w:pPr>
              <w:jc w:val="right"/>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S-13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5" w:name="page56"/>
    <w:bookmarkEnd w:id="55"/>
    <w:p>
      <w:pPr>
        <w:spacing w:after="0"/>
        <w:rPr>
          <w:rFonts w:ascii="Arial" w:cs="Arial" w:eastAsia="Arial" w:hAnsi="Arial"/>
          <w:sz w:val="14"/>
          <w:szCs w:val="14"/>
          <w:color w:val="003366"/>
        </w:rPr>
      </w:pPr>
      <w:hyperlink w:anchor="page5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ABOUT THIS PROSPECTUS SUPPLEMENT</w:t>
      </w:r>
    </w:p>
    <w:p>
      <w:pPr>
        <w:spacing w:after="0" w:line="81" w:lineRule="exact"/>
        <w:rPr>
          <w:sz w:val="20"/>
          <w:szCs w:val="20"/>
          <w:color w:val="auto"/>
        </w:rPr>
      </w:pPr>
    </w:p>
    <w:p>
      <w:pPr>
        <w:ind w:left="1260" w:right="419" w:firstLine="360"/>
        <w:spacing w:after="0" w:line="257" w:lineRule="auto"/>
        <w:rPr>
          <w:sz w:val="20"/>
          <w:szCs w:val="20"/>
          <w:color w:val="auto"/>
        </w:rPr>
      </w:pPr>
      <w:r>
        <w:rPr>
          <w:rFonts w:ascii="Arial" w:cs="Arial" w:eastAsia="Arial" w:hAnsi="Arial"/>
          <w:sz w:val="17"/>
          <w:szCs w:val="17"/>
          <w:color w:val="auto"/>
        </w:rPr>
        <w:t>This prospectus supplement is part of a registration statement that we have with the U.S. Securities and Exchange Commission, or the SEC, using a “shelf” registration process, and relates to the offering of our ADSs, each representing eight ordinary shares. Before buying any of the ADSs that we are offering, we urge you to carefully read this prospectus supplement, the accompanying base prospectus and all of the information incorporated by reference herein and therein, as well as the additional information described under the heading “Where You Can Find More Information; Incorporation by Reference.”</w:t>
      </w:r>
    </w:p>
    <w:p>
      <w:pPr>
        <w:spacing w:after="0" w:line="27"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6"/>
          <w:szCs w:val="16"/>
          <w:color w:val="auto"/>
        </w:rPr>
        <w:t>We provide information to you about this offering of our ordinary shares, in the form of American Depositary Shares, in two separate documents that are bound together: (1) this prospectus supplement,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To the extent there is a conflict between the information contained in this prospectus supplement, on the one hand, and the information contained in any document incorporated by reference in this prospectus supplement, on the other hand, you should rely on the information in this prospectus supplement. If any statement in one of these documents is inconsistent with a statement in another document having a later date — for example, a document incorporated by reference in this prospectus supplement — the statement in the document having the later date modifies or supersedes the earlier statement.</w:t>
      </w:r>
    </w:p>
    <w:p>
      <w:pPr>
        <w:spacing w:after="0" w:line="36" w:lineRule="exact"/>
        <w:rPr>
          <w:sz w:val="20"/>
          <w:szCs w:val="20"/>
          <w:color w:val="auto"/>
        </w:rPr>
      </w:pPr>
    </w:p>
    <w:p>
      <w:pPr>
        <w:ind w:left="1260" w:right="419" w:firstLine="360"/>
        <w:spacing w:after="0" w:line="250" w:lineRule="auto"/>
        <w:rPr>
          <w:sz w:val="20"/>
          <w:szCs w:val="20"/>
          <w:color w:val="auto"/>
        </w:rPr>
      </w:pPr>
      <w:r>
        <w:rPr>
          <w:rFonts w:ascii="Arial" w:cs="Arial" w:eastAsia="Arial" w:hAnsi="Arial"/>
          <w:sz w:val="17"/>
          <w:szCs w:val="17"/>
          <w:color w:val="auto"/>
        </w:rPr>
        <w:t>You should rely only on the information contained in or incorporated by reference in this prospectus supplement, the accompanying base prospectus and any free writing prospectus that we may authorize for use in connection with this offering. We have not, and Jefferies has not, authorized anyone to provide you with different information. If anyone provides you with different or inconsistent information, you should not rely on it. We take no responsibility for, and can provide no assurance as to the reliability of, any other information that others may give you. We are not, and Jefferies is not, making an offer to sell these securities in any jurisdiction where the offer or sale is not permitted or in which the person making that offer or solicitation is not qualified to do so or to anyone to whom it is unlawful to make an offer or solicitation. You should assume that the information appearing in this prospectus supplement, the accompanying base prospectus, the documents incorporated by reference herein and therein and any free writing prospectus that we have authorized for use in connection with this offering, is accurate only as of the date of those respective documents. Our business, financial condition, results of operations and prospects may have changed since those dates. This prospectus supplement incorporates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In addition, the market and industry data and forecasts that may be included or incorporated by reference in this prospectus supplement or any applicable free writing prospectus may involve estimates, assumptions and other risks and uncertainties and are subject to change based on various factors, including those discussed under the heading “Risk Factors” contained in this prospectus supplement and any applicable free writing prospectus, and under similar headings in other documents that are incorporated by reference into this prospectus supplement. Accordingly, investors should not place undue reliance on this information. You should read this prospectus supplement, the accompanying base prospectus, the documents incorporated by reference herein and therein and any free writing prospectus that we have authorized for use in connection with this offering, in their entirety before making an investment decision.</w:t>
      </w:r>
    </w:p>
    <w:p>
      <w:pPr>
        <w:spacing w:after="0" w:line="40" w:lineRule="exact"/>
        <w:rPr>
          <w:sz w:val="20"/>
          <w:szCs w:val="20"/>
          <w:color w:val="auto"/>
        </w:rPr>
      </w:pPr>
    </w:p>
    <w:p>
      <w:pPr>
        <w:ind w:left="1260" w:right="639" w:firstLine="360"/>
        <w:spacing w:after="0" w:line="248" w:lineRule="auto"/>
        <w:rPr>
          <w:sz w:val="20"/>
          <w:szCs w:val="20"/>
          <w:color w:val="auto"/>
        </w:rPr>
      </w:pPr>
      <w:r>
        <w:rPr>
          <w:rFonts w:ascii="Arial" w:cs="Arial" w:eastAsia="Arial" w:hAnsi="Arial"/>
          <w:sz w:val="18"/>
          <w:szCs w:val="18"/>
          <w:color w:val="auto"/>
        </w:rPr>
        <w:t>When we refer to “Verona,” “we,” “our,” “us” and the “Company” in this prospectus supplement, we mean Verona Pharma plc and its consolidated subsidiaries, unless otherwise specified. When we refer to “you,” we mean the potential holders of the applicable series of securities.</w:t>
      </w:r>
    </w:p>
    <w:p>
      <w:pPr>
        <w:spacing w:after="0" w:line="17" w:lineRule="exact"/>
        <w:rPr>
          <w:sz w:val="20"/>
          <w:szCs w:val="20"/>
          <w:color w:val="auto"/>
        </w:rPr>
      </w:pPr>
    </w:p>
    <w:p>
      <w:pPr>
        <w:jc w:val="center"/>
        <w:ind w:right="-620"/>
        <w:spacing w:after="0"/>
        <w:rPr>
          <w:sz w:val="20"/>
          <w:szCs w:val="20"/>
          <w:color w:val="auto"/>
        </w:rPr>
      </w:pPr>
      <w:r>
        <w:rPr>
          <w:rFonts w:ascii="Arial" w:cs="Arial" w:eastAsia="Arial" w:hAnsi="Arial"/>
          <w:sz w:val="18"/>
          <w:szCs w:val="18"/>
          <w:color w:val="auto"/>
        </w:rPr>
        <w:t>Solely for convenience, any trademarks, service marks, logos and trade names referred to in this</w:t>
      </w:r>
    </w:p>
    <w:p>
      <w:pPr>
        <w:ind w:left="1260" w:right="419"/>
        <w:spacing w:after="0" w:line="229" w:lineRule="auto"/>
        <w:rPr>
          <w:sz w:val="20"/>
          <w:szCs w:val="20"/>
          <w:color w:val="auto"/>
        </w:rPr>
      </w:pPr>
      <w:r>
        <w:rPr>
          <w:rFonts w:ascii="Arial" w:cs="Arial" w:eastAsia="Arial" w:hAnsi="Arial"/>
          <w:sz w:val="18"/>
          <w:szCs w:val="18"/>
          <w:color w:val="auto"/>
        </w:rPr>
        <w:t xml:space="preserve">prospectus are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 symbols, but such references are not intended to indicate, in any way, that we will not assert, to the fullest extent under applicable law, our rights. This prospectus may contain additional trademarks, service marks and trade names of others, which are the property of their respective owners.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w:t>
      </w:r>
    </w:p>
    <w:p>
      <w:pPr>
        <w:spacing w:after="0" w:line="37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6" w:name="page57"/>
    <w:bookmarkEnd w:id="56"/>
    <w:p>
      <w:pPr>
        <w:spacing w:after="0"/>
        <w:rPr>
          <w:rFonts w:ascii="Arial" w:cs="Arial" w:eastAsia="Arial" w:hAnsi="Arial"/>
          <w:sz w:val="14"/>
          <w:szCs w:val="14"/>
          <w:color w:val="003366"/>
        </w:rPr>
      </w:pPr>
      <w:hyperlink w:anchor="page5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900"/>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Available Information</w:t>
      </w:r>
    </w:p>
    <w:p>
      <w:pPr>
        <w:spacing w:after="0" w:line="148" w:lineRule="exact"/>
        <w:rPr>
          <w:sz w:val="20"/>
          <w:szCs w:val="20"/>
          <w:color w:val="auto"/>
        </w:rPr>
      </w:pPr>
    </w:p>
    <w:p>
      <w:pPr>
        <w:ind w:left="1260" w:right="439" w:firstLine="360"/>
        <w:spacing w:after="0" w:line="263" w:lineRule="auto"/>
        <w:rPr>
          <w:sz w:val="20"/>
          <w:szCs w:val="20"/>
          <w:color w:val="auto"/>
        </w:rPr>
      </w:pPr>
      <w:r>
        <w:rPr>
          <w:rFonts w:ascii="Arial" w:cs="Arial" w:eastAsia="Arial" w:hAnsi="Arial"/>
          <w:sz w:val="18"/>
          <w:szCs w:val="18"/>
          <w:color w:val="auto"/>
        </w:rPr>
        <w:t xml:space="preserve">We file reports, proxy statements and other information with the SEC. The SEC maintains a web site that contains reports, proxy and information statements and other information about issuers, such as us, who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16" w:lineRule="exact"/>
        <w:rPr>
          <w:sz w:val="20"/>
          <w:szCs w:val="20"/>
          <w:color w:val="auto"/>
        </w:rPr>
      </w:pPr>
    </w:p>
    <w:p>
      <w:pPr>
        <w:ind w:left="1260" w:right="459" w:firstLine="360"/>
        <w:spacing w:after="0" w:line="277" w:lineRule="auto"/>
        <w:rPr>
          <w:sz w:val="20"/>
          <w:szCs w:val="20"/>
          <w:color w:val="auto"/>
        </w:rPr>
      </w:pPr>
      <w:r>
        <w:rPr>
          <w:rFonts w:ascii="Arial" w:cs="Arial" w:eastAsia="Arial" w:hAnsi="Arial"/>
          <w:sz w:val="18"/>
          <w:szCs w:val="18"/>
          <w:color w:val="auto"/>
        </w:rPr>
        <w:t xml:space="preserve">Our web site address is </w:t>
      </w:r>
      <w:r>
        <w:rPr>
          <w:rFonts w:ascii="Arial" w:cs="Arial" w:eastAsia="Arial" w:hAnsi="Arial"/>
          <w:sz w:val="18"/>
          <w:szCs w:val="18"/>
          <w:i w:val="1"/>
          <w:iCs w:val="1"/>
          <w:color w:val="auto"/>
        </w:rPr>
        <w:t>www.veronapharma.com</w:t>
      </w:r>
      <w:r>
        <w:rPr>
          <w:rFonts w:ascii="Arial" w:cs="Arial" w:eastAsia="Arial" w:hAnsi="Arial"/>
          <w:sz w:val="18"/>
          <w:szCs w:val="18"/>
          <w:color w:val="auto"/>
        </w:rPr>
        <w:t>. The information on our web site, however, is not, and should not be deemed to be, a part of this prospectus supplement.</w:t>
      </w:r>
    </w:p>
    <w:p>
      <w:pPr>
        <w:spacing w:after="0" w:line="103" w:lineRule="exact"/>
        <w:rPr>
          <w:sz w:val="20"/>
          <w:szCs w:val="20"/>
          <w:color w:val="auto"/>
        </w:rPr>
      </w:pPr>
    </w:p>
    <w:p>
      <w:pPr>
        <w:ind w:left="1260" w:right="419" w:firstLine="360"/>
        <w:spacing w:after="0" w:line="271" w:lineRule="auto"/>
        <w:rPr>
          <w:sz w:val="20"/>
          <w:szCs w:val="20"/>
          <w:color w:val="auto"/>
        </w:rPr>
      </w:pPr>
      <w:r>
        <w:rPr>
          <w:rFonts w:ascii="Arial" w:cs="Arial" w:eastAsia="Arial" w:hAnsi="Arial"/>
          <w:sz w:val="17"/>
          <w:szCs w:val="17"/>
          <w:color w:val="auto"/>
        </w:rPr>
        <w:t>This prospectus supplement and the accompanying base prospectus are part of a registration statement that we filed with the SEC and do not contain all of the information in the registration statement. The full registration statement may be obtained from the SEC or us, as provided below. Documents establishing the terms of the offered securities are or may be filed as exhibits to the registration statement. Statements in this prospectus supplement or the accompanying base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74"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Incorporation by Reference</w:t>
      </w:r>
    </w:p>
    <w:p>
      <w:pPr>
        <w:spacing w:after="0" w:line="148" w:lineRule="exact"/>
        <w:rPr>
          <w:sz w:val="20"/>
          <w:szCs w:val="20"/>
          <w:color w:val="auto"/>
        </w:rPr>
      </w:pPr>
    </w:p>
    <w:p>
      <w:pPr>
        <w:ind w:left="1260" w:right="539" w:firstLine="360"/>
        <w:spacing w:after="0" w:line="271" w:lineRule="auto"/>
        <w:rPr>
          <w:sz w:val="20"/>
          <w:szCs w:val="20"/>
          <w:color w:val="auto"/>
        </w:rPr>
      </w:pPr>
      <w:r>
        <w:rPr>
          <w:rFonts w:ascii="Arial" w:cs="Arial" w:eastAsia="Arial" w:hAnsi="Arial"/>
          <w:sz w:val="17"/>
          <w:szCs w:val="17"/>
          <w:color w:val="auto"/>
        </w:rPr>
        <w:t>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subsequent information that we file with the SEC will automatically update and supersede that information. Any statement contained in this prospectus supplement or a previously filed document incorporated by reference will be deemed to be modified or superseded for purposes of this prospectus supplement to the extent that a statement contained in this prospectus supplement or a subsequently filed document incorporated by reference modifies or replaces that statement.</w:t>
      </w:r>
    </w:p>
    <w:p>
      <w:pPr>
        <w:spacing w:after="0" w:line="111" w:lineRule="exact"/>
        <w:rPr>
          <w:sz w:val="20"/>
          <w:szCs w:val="20"/>
          <w:color w:val="auto"/>
        </w:rPr>
      </w:pPr>
    </w:p>
    <w:p>
      <w:pPr>
        <w:ind w:left="1260" w:right="1139" w:firstLine="360"/>
        <w:spacing w:after="0" w:line="277" w:lineRule="auto"/>
        <w:rPr>
          <w:sz w:val="20"/>
          <w:szCs w:val="20"/>
          <w:color w:val="auto"/>
        </w:rPr>
      </w:pPr>
      <w:r>
        <w:rPr>
          <w:rFonts w:ascii="Arial" w:cs="Arial" w:eastAsia="Arial" w:hAnsi="Arial"/>
          <w:sz w:val="18"/>
          <w:szCs w:val="18"/>
          <w:color w:val="auto"/>
        </w:rPr>
        <w:t>This prospectus supplement incorporates by reference the documents set forth below that have previously been filed with the SEC:</w:t>
      </w:r>
    </w:p>
    <w:p>
      <w:pPr>
        <w:spacing w:after="0" w:line="62" w:lineRule="exact"/>
        <w:rPr>
          <w:sz w:val="20"/>
          <w:szCs w:val="20"/>
          <w:color w:val="auto"/>
        </w:rPr>
      </w:pPr>
    </w:p>
    <w:p>
      <w:pPr>
        <w:ind w:left="1800" w:right="839" w:hanging="180"/>
        <w:spacing w:after="0" w:line="277" w:lineRule="auto"/>
        <w:tabs>
          <w:tab w:leader="none" w:pos="1800" w:val="left"/>
        </w:tabs>
        <w:numPr>
          <w:ilvl w:val="0"/>
          <w:numId w:val="45"/>
        </w:numPr>
        <w:rPr>
          <w:rFonts w:ascii="Arial" w:cs="Arial" w:eastAsia="Arial" w:hAnsi="Arial"/>
          <w:sz w:val="18"/>
          <w:szCs w:val="18"/>
          <w:u w:val="single" w:color="auto"/>
          <w:color w:val="0000EE"/>
        </w:rPr>
      </w:pPr>
      <w:hyperlink r:id="rId22">
        <w:r>
          <w:rPr>
            <w:rFonts w:ascii="Arial" w:cs="Arial" w:eastAsia="Arial" w:hAnsi="Arial"/>
            <w:sz w:val="18"/>
            <w:szCs w:val="18"/>
            <w:u w:val="single" w:color="auto"/>
            <w:color w:val="0000EE"/>
          </w:rPr>
          <w:t>Our Annual Report on Form 10-K for the year ended December 31, 2020, filed with the SEC on</w:t>
        </w:r>
      </w:hyperlink>
      <w:r>
        <w:rPr>
          <w:rFonts w:ascii="Arial" w:cs="Arial" w:eastAsia="Arial" w:hAnsi="Arial"/>
          <w:sz w:val="18"/>
          <w:szCs w:val="18"/>
          <w:u w:val="single" w:color="auto"/>
          <w:color w:val="0000EE"/>
        </w:rPr>
        <w:t xml:space="preserve"> </w:t>
      </w:r>
      <w:hyperlink r:id="rId22">
        <w:r>
          <w:rPr>
            <w:rFonts w:ascii="Arial" w:cs="Arial" w:eastAsia="Arial" w:hAnsi="Arial"/>
            <w:sz w:val="18"/>
            <w:szCs w:val="18"/>
            <w:u w:val="single" w:color="auto"/>
            <w:color w:val="0000EE"/>
          </w:rPr>
          <w:t>February 25, 2021.</w:t>
        </w:r>
      </w:hyperlink>
    </w:p>
    <w:p>
      <w:pPr>
        <w:spacing w:after="0" w:line="62" w:lineRule="exact"/>
        <w:rPr>
          <w:rFonts w:ascii="Arial" w:cs="Arial" w:eastAsia="Arial" w:hAnsi="Arial"/>
          <w:sz w:val="18"/>
          <w:szCs w:val="18"/>
          <w:u w:val="single" w:color="auto"/>
          <w:color w:val="0000EE"/>
        </w:rPr>
      </w:pPr>
    </w:p>
    <w:p>
      <w:pPr>
        <w:ind w:left="1800" w:right="619" w:hanging="180"/>
        <w:spacing w:after="0" w:line="277" w:lineRule="auto"/>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from our Definitive Proxy Statement on Schedule 14A, filed with the SEC on March 19, 2021.</w:t>
      </w:r>
    </w:p>
    <w:p>
      <w:pPr>
        <w:spacing w:after="0" w:line="62" w:lineRule="exact"/>
        <w:rPr>
          <w:rFonts w:ascii="Arial" w:cs="Arial" w:eastAsia="Arial" w:hAnsi="Arial"/>
          <w:sz w:val="18"/>
          <w:szCs w:val="18"/>
          <w:color w:val="auto"/>
        </w:rPr>
      </w:pPr>
    </w:p>
    <w:p>
      <w:pPr>
        <w:ind w:left="1800" w:hanging="180"/>
        <w:spacing w:after="0"/>
        <w:tabs>
          <w:tab w:leader="none" w:pos="1800" w:val="left"/>
        </w:tabs>
        <w:numPr>
          <w:ilvl w:val="0"/>
          <w:numId w:val="45"/>
        </w:numPr>
        <w:rPr>
          <w:rFonts w:ascii="Arial" w:cs="Arial" w:eastAsia="Arial" w:hAnsi="Arial"/>
          <w:sz w:val="18"/>
          <w:szCs w:val="18"/>
          <w:u w:val="single" w:color="auto"/>
          <w:color w:val="0000EE"/>
        </w:rPr>
      </w:pPr>
      <w:hyperlink r:id="rId24">
        <w:r>
          <w:rPr>
            <w:rFonts w:ascii="Arial" w:cs="Arial" w:eastAsia="Arial" w:hAnsi="Arial"/>
            <w:sz w:val="18"/>
            <w:szCs w:val="18"/>
            <w:u w:val="single" w:color="auto"/>
            <w:color w:val="0000EE"/>
          </w:rPr>
          <w:t>Our Current Report on Form 8-K filed with the SEC on March 2, 2021.</w:t>
        </w:r>
      </w:hyperlink>
    </w:p>
    <w:p>
      <w:pPr>
        <w:spacing w:after="0" w:line="117" w:lineRule="exact"/>
        <w:rPr>
          <w:rFonts w:ascii="Arial" w:cs="Arial" w:eastAsia="Arial" w:hAnsi="Arial"/>
          <w:sz w:val="18"/>
          <w:szCs w:val="18"/>
          <w:u w:val="single" w:color="auto"/>
          <w:color w:val="0000EE"/>
        </w:rPr>
      </w:pPr>
    </w:p>
    <w:p>
      <w:pPr>
        <w:ind w:left="1800" w:right="419" w:hanging="180"/>
        <w:spacing w:after="0" w:line="263" w:lineRule="auto"/>
        <w:tabs>
          <w:tab w:leader="none" w:pos="1800" w:val="left"/>
        </w:tabs>
        <w:numPr>
          <w:ilvl w:val="0"/>
          <w:numId w:val="45"/>
        </w:numPr>
        <w:rPr>
          <w:rFonts w:ascii="Arial" w:cs="Arial" w:eastAsia="Arial" w:hAnsi="Arial"/>
          <w:sz w:val="18"/>
          <w:szCs w:val="18"/>
          <w:u w:val="single" w:color="auto"/>
          <w:color w:val="0000EE"/>
        </w:rPr>
      </w:pPr>
      <w:hyperlink r:id="rId25">
        <w:r>
          <w:rPr>
            <w:rFonts w:ascii="Arial" w:cs="Arial" w:eastAsia="Arial" w:hAnsi="Arial"/>
            <w:sz w:val="18"/>
            <w:szCs w:val="18"/>
            <w:u w:val="single" w:color="auto"/>
            <w:color w:val="0000EE"/>
          </w:rPr>
          <w:t>The description of our ordinary shares contained in our registration statement on Form 8-A filed with</w:t>
        </w:r>
      </w:hyperlink>
      <w:r>
        <w:rPr>
          <w:rFonts w:ascii="Arial" w:cs="Arial" w:eastAsia="Arial" w:hAnsi="Arial"/>
          <w:sz w:val="18"/>
          <w:szCs w:val="18"/>
          <w:u w:val="single" w:color="auto"/>
          <w:color w:val="0000EE"/>
        </w:rPr>
        <w:t xml:space="preserve"> </w:t>
      </w:r>
      <w:hyperlink r:id="rId25">
        <w:r>
          <w:rPr>
            <w:rFonts w:ascii="Arial" w:cs="Arial" w:eastAsia="Arial" w:hAnsi="Arial"/>
            <w:sz w:val="18"/>
            <w:szCs w:val="18"/>
            <w:u w:val="single" w:color="auto"/>
            <w:color w:val="0000EE"/>
          </w:rPr>
          <w:t>the SEC on April 19, 2017, including any amendments or reports filed for the purpose of updating</w:t>
        </w:r>
      </w:hyperlink>
      <w:r>
        <w:rPr>
          <w:rFonts w:ascii="Arial" w:cs="Arial" w:eastAsia="Arial" w:hAnsi="Arial"/>
          <w:sz w:val="18"/>
          <w:szCs w:val="18"/>
          <w:u w:val="single" w:color="auto"/>
          <w:color w:val="0000EE"/>
        </w:rPr>
        <w:t xml:space="preserve"> </w:t>
      </w:r>
      <w:hyperlink r:id="rId25">
        <w:r>
          <w:rPr>
            <w:rFonts w:ascii="Arial" w:cs="Arial" w:eastAsia="Arial" w:hAnsi="Arial"/>
            <w:sz w:val="18"/>
            <w:szCs w:val="18"/>
            <w:u w:val="single" w:color="auto"/>
            <w:color w:val="0000EE"/>
          </w:rPr>
          <w:t>such description.</w:t>
        </w:r>
      </w:hyperlink>
    </w:p>
    <w:p>
      <w:pPr>
        <w:spacing w:after="0" w:line="116" w:lineRule="exact"/>
        <w:rPr>
          <w:rFonts w:ascii="Arial" w:cs="Arial" w:eastAsia="Arial" w:hAnsi="Arial"/>
          <w:sz w:val="18"/>
          <w:szCs w:val="18"/>
          <w:u w:val="single" w:color="auto"/>
          <w:color w:val="0000EE"/>
        </w:rPr>
      </w:pPr>
    </w:p>
    <w:p>
      <w:pPr>
        <w:ind w:left="1260" w:right="639" w:firstLine="360"/>
        <w:spacing w:after="0" w:line="255" w:lineRule="auto"/>
        <w:rPr>
          <w:sz w:val="20"/>
          <w:szCs w:val="20"/>
          <w:color w:val="auto"/>
        </w:rPr>
      </w:pPr>
      <w:r>
        <w:rPr>
          <w:rFonts w:ascii="Arial" w:cs="Arial" w:eastAsia="Arial" w:hAnsi="Arial"/>
          <w:sz w:val="18"/>
          <w:szCs w:val="18"/>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 this prospectus supplement and deemed to be part of this prospectus supplement from the date of the filing of such reports and documents.</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18" w:lineRule="exact"/>
        <w:rPr>
          <w:rFonts w:ascii="Arial" w:cs="Arial" w:eastAsia="Arial" w:hAnsi="Arial"/>
          <w:sz w:val="18"/>
          <w:szCs w:val="18"/>
          <w:u w:val="single" w:color="auto"/>
          <w:color w:val="0000EE"/>
        </w:rPr>
      </w:pPr>
    </w:p>
    <w:p>
      <w:pPr>
        <w:ind w:left="5220"/>
        <w:spacing w:after="0"/>
        <w:rPr>
          <w:sz w:val="20"/>
          <w:szCs w:val="20"/>
          <w:color w:val="auto"/>
        </w:rPr>
      </w:pPr>
      <w:r>
        <w:rPr>
          <w:rFonts w:ascii="Arial" w:cs="Arial" w:eastAsia="Arial" w:hAnsi="Arial"/>
          <w:sz w:val="18"/>
          <w:szCs w:val="18"/>
          <w:color w:val="auto"/>
        </w:rPr>
        <w:t>S-2</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7" w:name="page58"/>
    <w:bookmarkEnd w:id="57"/>
    <w:p>
      <w:pPr>
        <w:spacing w:after="0"/>
        <w:rPr>
          <w:rFonts w:ascii="Arial" w:cs="Arial" w:eastAsia="Arial" w:hAnsi="Arial"/>
          <w:sz w:val="14"/>
          <w:szCs w:val="14"/>
          <w:color w:val="003366"/>
        </w:rPr>
      </w:pPr>
      <w:hyperlink w:anchor="page5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879" w:firstLine="360"/>
        <w:spacing w:after="0" w:line="277" w:lineRule="auto"/>
        <w:rPr>
          <w:sz w:val="20"/>
          <w:szCs w:val="20"/>
          <w:color w:val="auto"/>
        </w:rPr>
      </w:pPr>
      <w:r>
        <w:rPr>
          <w:rFonts w:ascii="Arial" w:cs="Arial" w:eastAsia="Arial" w:hAnsi="Arial"/>
          <w:sz w:val="18"/>
          <w:szCs w:val="18"/>
          <w:color w:val="auto"/>
        </w:rPr>
        <w:t>You may request a free copy of any of the documents incorporated by reference in this prospectus supplement by writing or telephoning us at the following address:</w:t>
      </w:r>
    </w:p>
    <w:p>
      <w:pPr>
        <w:spacing w:after="0" w:line="8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Verona Pharma plc</w:t>
      </w:r>
    </w:p>
    <w:p>
      <w:pPr>
        <w:spacing w:after="0" w:line="23"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3 More London Riverside</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London SE1 2RE</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jc w:val="center"/>
        <w:ind w:right="-800"/>
        <w:spacing w:after="0"/>
        <w:rPr>
          <w:sz w:val="20"/>
          <w:szCs w:val="20"/>
          <w:color w:val="auto"/>
        </w:rPr>
      </w:pPr>
      <w:r>
        <w:rPr>
          <w:rFonts w:ascii="Arial" w:cs="Arial" w:eastAsia="Arial" w:hAnsi="Arial"/>
          <w:sz w:val="18"/>
          <w:szCs w:val="18"/>
          <w:color w:val="auto"/>
        </w:rPr>
        <w:t>+44 203 283 4200</w:t>
      </w:r>
    </w:p>
    <w:p>
      <w:pPr>
        <w:spacing w:after="0" w:line="9" w:lineRule="exact"/>
        <w:rPr>
          <w:sz w:val="20"/>
          <w:szCs w:val="20"/>
          <w:color w:val="auto"/>
        </w:rPr>
      </w:pPr>
    </w:p>
    <w:p>
      <w:pPr>
        <w:jc w:val="center"/>
        <w:ind w:right="-840"/>
        <w:spacing w:after="0"/>
        <w:rPr>
          <w:sz w:val="20"/>
          <w:szCs w:val="20"/>
          <w:color w:val="auto"/>
        </w:rPr>
      </w:pPr>
      <w:r>
        <w:rPr>
          <w:rFonts w:ascii="Arial" w:cs="Arial" w:eastAsia="Arial" w:hAnsi="Arial"/>
          <w:sz w:val="18"/>
          <w:szCs w:val="18"/>
          <w:color w:val="auto"/>
        </w:rPr>
        <w:t>info@veronapharma.com</w:t>
      </w:r>
    </w:p>
    <w:p>
      <w:pPr>
        <w:spacing w:after="0" w:line="143" w:lineRule="exact"/>
        <w:rPr>
          <w:sz w:val="20"/>
          <w:szCs w:val="20"/>
          <w:color w:val="auto"/>
        </w:rPr>
      </w:pPr>
    </w:p>
    <w:p>
      <w:pPr>
        <w:ind w:left="1260" w:right="1299" w:firstLine="360"/>
        <w:spacing w:after="0" w:line="277"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supplement.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8" w:name="page59"/>
    <w:bookmarkEnd w:id="58"/>
    <w:p>
      <w:pPr>
        <w:spacing w:after="0"/>
        <w:rPr>
          <w:rFonts w:ascii="Arial" w:cs="Arial" w:eastAsia="Arial" w:hAnsi="Arial"/>
          <w:sz w:val="14"/>
          <w:szCs w:val="14"/>
          <w:color w:val="003366"/>
        </w:rPr>
      </w:pPr>
      <w:hyperlink w:anchor="page5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THE COMPANY</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Overview</w:t>
      </w:r>
    </w:p>
    <w:p>
      <w:pPr>
        <w:spacing w:after="0" w:line="148"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We are a clinical-stage biopharmaceutical company focused on developing and commercializing innovative therapeutics for the treatment of respiratory diseases with significant unmet medical needs. Our product candidate, ensifentrine, is a first-in-class, inhaled, dual inhibitor of the phosphodiesterase 3 and PDE4 enzymes. We are developing ensifentrine in three formulations for the most widely used inhalation devices: nebulizer, dry powder inhaler and pressurized metered-dose inhaler. Initially, we are targeting chronic obstructive pulmonary disease (“COPD”), a common, chronic, progressive, and life-threatening respiratory disease without a cure. If successfully developed, ensifentrine would be the first therapeutic with a novel mode of action for COPD in a decade. In 2020, we commenced a Phase 3 clinical trial of ensifentrine for the treatment of COPD.</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Corporate Information</w:t>
      </w:r>
    </w:p>
    <w:p>
      <w:pPr>
        <w:spacing w:after="0" w:line="162" w:lineRule="exact"/>
        <w:rPr>
          <w:sz w:val="20"/>
          <w:szCs w:val="20"/>
          <w:color w:val="auto"/>
        </w:rPr>
      </w:pPr>
    </w:p>
    <w:p>
      <w:pPr>
        <w:ind w:left="1260" w:right="659" w:firstLine="360"/>
        <w:spacing w:after="0" w:line="277" w:lineRule="auto"/>
        <w:rPr>
          <w:sz w:val="20"/>
          <w:szCs w:val="20"/>
          <w:color w:val="auto"/>
        </w:rPr>
      </w:pPr>
      <w:r>
        <w:rPr>
          <w:rFonts w:ascii="Arial" w:cs="Arial" w:eastAsia="Arial" w:hAnsi="Arial"/>
          <w:sz w:val="18"/>
          <w:szCs w:val="18"/>
          <w:color w:val="auto"/>
        </w:rPr>
        <w:t>Our principal office is located at 3 More London Riverside, London SE1 2RE, United Kingdom, and our telephone number is +(44) 203 283 4200.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59" w:name="page60"/>
    <w:bookmarkEnd w:id="59"/>
    <w:p>
      <w:pPr>
        <w:spacing w:after="0"/>
        <w:rPr>
          <w:rFonts w:ascii="Arial" w:cs="Arial" w:eastAsia="Arial" w:hAnsi="Arial"/>
          <w:sz w:val="14"/>
          <w:szCs w:val="14"/>
          <w:color w:val="003366"/>
        </w:rPr>
      </w:pPr>
      <w:hyperlink w:anchor="page5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700"/>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9879"/>
          </w:cols>
          <w:pgMar w:left="580" w:top="132" w:right="1440" w:bottom="1440" w:gutter="0" w:footer="0" w:header="0"/>
        </w:sectPr>
      </w:pPr>
    </w:p>
    <w:p>
      <w:pPr>
        <w:spacing w:after="0" w:line="133"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ADSs offered by us</w:t>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ind w:right="479"/>
        <w:spacing w:after="0" w:line="277" w:lineRule="auto"/>
        <w:rPr>
          <w:sz w:val="20"/>
          <w:szCs w:val="20"/>
          <w:color w:val="auto"/>
        </w:rPr>
      </w:pPr>
      <w:r>
        <w:rPr>
          <w:rFonts w:ascii="Arial" w:cs="Arial" w:eastAsia="Arial" w:hAnsi="Arial"/>
          <w:sz w:val="18"/>
          <w:szCs w:val="18"/>
          <w:color w:val="auto"/>
        </w:rPr>
        <w:t>ADSs, each representing eight ordinary shares, having an aggregate offering price of up to $100,000,000.</w:t>
      </w:r>
    </w:p>
    <w:p>
      <w:pPr>
        <w:spacing w:after="0" w:line="62" w:lineRule="exact"/>
        <w:rPr>
          <w:sz w:val="20"/>
          <w:szCs w:val="20"/>
          <w:color w:val="auto"/>
        </w:rPr>
      </w:pPr>
    </w:p>
    <w:p>
      <w:pPr>
        <w:sectPr>
          <w:pgSz w:w="11900" w:h="16838" w:orient="portrait"/>
          <w:cols w:equalWidth="0" w:num="2">
            <w:col w:w="3560" w:space="720"/>
            <w:col w:w="5599"/>
          </w:cols>
          <w:pgMar w:left="580" w:top="132" w:right="1440" w:bottom="1440" w:gutter="0" w:footer="0" w:header="0"/>
          <w:type w:val="continuous"/>
        </w:sectPr>
      </w:pPr>
    </w:p>
    <w:p>
      <w:pPr>
        <w:ind w:left="1260"/>
        <w:spacing w:after="0"/>
        <w:rPr>
          <w:sz w:val="20"/>
          <w:szCs w:val="20"/>
          <w:color w:val="auto"/>
        </w:rPr>
      </w:pPr>
      <w:r>
        <w:rPr>
          <w:rFonts w:ascii="Arial" w:cs="Arial" w:eastAsia="Arial" w:hAnsi="Arial"/>
          <w:sz w:val="17"/>
          <w:szCs w:val="17"/>
          <w:color w:val="auto"/>
        </w:rPr>
        <w:t>Plan of Distribution</w:t>
      </w:r>
    </w:p>
    <w:p>
      <w:pPr>
        <w:spacing w:after="0" w:line="20" w:lineRule="exact"/>
        <w:rPr>
          <w:sz w:val="20"/>
          <w:szCs w:val="20"/>
          <w:color w:val="auto"/>
        </w:rPr>
      </w:pPr>
      <w:r>
        <w:rPr>
          <w:sz w:val="20"/>
          <w:szCs w:val="20"/>
          <w:color w:val="auto"/>
        </w:rPr>
        <w:br w:type="column"/>
      </w:r>
    </w:p>
    <w:p>
      <w:pPr>
        <w:ind w:right="519"/>
        <w:spacing w:after="0" w:line="279" w:lineRule="auto"/>
        <w:rPr>
          <w:sz w:val="20"/>
          <w:szCs w:val="20"/>
          <w:color w:val="auto"/>
        </w:rPr>
      </w:pPr>
      <w:r>
        <w:rPr>
          <w:rFonts w:ascii="Arial" w:cs="Arial" w:eastAsia="Arial" w:hAnsi="Arial"/>
          <w:sz w:val="17"/>
          <w:szCs w:val="17"/>
          <w:color w:val="auto"/>
        </w:rPr>
        <w:t>“At the market offering” that may be made from time to time on The Nasdaq Global Market or other existing trading market for our securities through our agent, Jefferies LLC. See the section entitled “Plan of Distribution” on page S-12 of this prospectus supplement.</w:t>
      </w:r>
    </w:p>
    <w:p>
      <w:pPr>
        <w:spacing w:after="0" w:line="63" w:lineRule="exact"/>
        <w:rPr>
          <w:sz w:val="20"/>
          <w:szCs w:val="20"/>
          <w:color w:val="auto"/>
        </w:rPr>
      </w:pPr>
    </w:p>
    <w:p>
      <w:pPr>
        <w:sectPr>
          <w:pgSz w:w="11900" w:h="16838" w:orient="portrait"/>
          <w:cols w:equalWidth="0" w:num="2">
            <w:col w:w="3560" w:space="720"/>
            <w:col w:w="5599"/>
          </w:cols>
          <w:pgMar w:left="580" w:top="132" w:right="1440" w:bottom="1440" w:gutter="0" w:footer="0" w:header="0"/>
          <w:type w:val="continuous"/>
        </w:sectPr>
      </w:pPr>
    </w:p>
    <w:p>
      <w:pPr>
        <w:ind w:left="1260"/>
        <w:spacing w:after="0"/>
        <w:rPr>
          <w:sz w:val="20"/>
          <w:szCs w:val="20"/>
          <w:color w:val="auto"/>
        </w:rPr>
      </w:pPr>
      <w:r>
        <w:rPr>
          <w:rFonts w:ascii="Arial" w:cs="Arial" w:eastAsia="Arial" w:hAnsi="Arial"/>
          <w:sz w:val="16"/>
          <w:szCs w:val="16"/>
          <w:color w:val="auto"/>
        </w:rPr>
        <w:t>Use of Proceeds</w:t>
      </w:r>
    </w:p>
    <w:p>
      <w:pPr>
        <w:spacing w:after="0" w:line="20" w:lineRule="exact"/>
        <w:rPr>
          <w:sz w:val="20"/>
          <w:szCs w:val="20"/>
          <w:color w:val="auto"/>
        </w:rPr>
      </w:pPr>
      <w:r>
        <w:rPr>
          <w:sz w:val="20"/>
          <w:szCs w:val="20"/>
          <w:color w:val="auto"/>
        </w:rPr>
        <w:br w:type="column"/>
      </w:r>
    </w:p>
    <w:p>
      <w:pPr>
        <w:ind w:right="619"/>
        <w:spacing w:after="0" w:line="257" w:lineRule="auto"/>
        <w:rPr>
          <w:sz w:val="20"/>
          <w:szCs w:val="20"/>
          <w:color w:val="auto"/>
        </w:rPr>
      </w:pPr>
      <w:r>
        <w:rPr>
          <w:rFonts w:ascii="Arial" w:cs="Arial" w:eastAsia="Arial" w:hAnsi="Arial"/>
          <w:sz w:val="18"/>
          <w:szCs w:val="18"/>
          <w:color w:val="auto"/>
        </w:rPr>
        <w:t>We intend to use the net proceeds of this offering to advance the development of ensifentrine and any other product candidates and for working capital and other general corporate purposes. See the section entitled “Use of Proceeds” on page S-9 of this prospectus supplement.</w:t>
      </w:r>
    </w:p>
    <w:p>
      <w:pPr>
        <w:spacing w:after="0" w:line="80" w:lineRule="exact"/>
        <w:rPr>
          <w:sz w:val="20"/>
          <w:szCs w:val="20"/>
          <w:color w:val="auto"/>
        </w:rPr>
      </w:pPr>
    </w:p>
    <w:p>
      <w:pPr>
        <w:sectPr>
          <w:pgSz w:w="11900" w:h="16838" w:orient="portrait"/>
          <w:cols w:equalWidth="0" w:num="2">
            <w:col w:w="3560" w:space="720"/>
            <w:col w:w="5599"/>
          </w:cols>
          <w:pgMar w:left="580" w:top="132" w:right="1440" w:bottom="1440" w:gutter="0" w:footer="0" w:header="0"/>
          <w:type w:val="continuous"/>
        </w:sectPr>
      </w:pPr>
    </w:p>
    <w:p>
      <w:pPr>
        <w:ind w:left="126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ind w:right="619"/>
        <w:spacing w:after="0" w:line="257" w:lineRule="auto"/>
        <w:rPr>
          <w:sz w:val="20"/>
          <w:szCs w:val="20"/>
          <w:color w:val="auto"/>
        </w:rPr>
      </w:pPr>
      <w:r>
        <w:rPr>
          <w:rFonts w:ascii="Arial" w:cs="Arial" w:eastAsia="Arial" w:hAnsi="Arial"/>
          <w:sz w:val="18"/>
          <w:szCs w:val="18"/>
          <w:color w:val="auto"/>
        </w:rPr>
        <w:t>See “Risk Factors” beginning on page S-6 of this prospectus supplement and the other information included in, or incorporated by reference into, this prospectus supplement for a discussion of certain factors you should carefully consider before deciding to invest in our ADSs.</w:t>
      </w:r>
    </w:p>
    <w:p>
      <w:pPr>
        <w:spacing w:after="0" w:line="80" w:lineRule="exact"/>
        <w:rPr>
          <w:sz w:val="20"/>
          <w:szCs w:val="20"/>
          <w:color w:val="auto"/>
        </w:rPr>
      </w:pPr>
    </w:p>
    <w:p>
      <w:pPr>
        <w:sectPr>
          <w:pgSz w:w="11900" w:h="16838" w:orient="portrait"/>
          <w:cols w:equalWidth="0" w:num="2">
            <w:col w:w="3560" w:space="720"/>
            <w:col w:w="5599"/>
          </w:cols>
          <w:pgMar w:left="580" w:top="132" w:right="1440" w:bottom="1440" w:gutter="0" w:footer="0" w:header="0"/>
          <w:type w:val="continuous"/>
        </w:sectPr>
      </w:pPr>
    </w:p>
    <w:p>
      <w:pPr>
        <w:ind w:left="1260"/>
        <w:spacing w:after="0"/>
        <w:rPr>
          <w:sz w:val="20"/>
          <w:szCs w:val="20"/>
          <w:color w:val="auto"/>
        </w:rPr>
      </w:pPr>
      <w:r>
        <w:rPr>
          <w:rFonts w:ascii="Arial" w:cs="Arial" w:eastAsia="Arial" w:hAnsi="Arial"/>
          <w:sz w:val="17"/>
          <w:szCs w:val="17"/>
          <w:color w:val="auto"/>
        </w:rPr>
        <w:t>Nasdaq Global Market</w:t>
      </w:r>
    </w:p>
    <w:p>
      <w:pPr>
        <w:spacing w:after="0" w:line="3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symbol</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VRNA</w:t>
      </w:r>
    </w:p>
    <w:p>
      <w:pPr>
        <w:spacing w:after="0" w:line="214" w:lineRule="exact"/>
        <w:rPr>
          <w:sz w:val="20"/>
          <w:szCs w:val="20"/>
          <w:color w:val="auto"/>
        </w:rPr>
      </w:pPr>
    </w:p>
    <w:p>
      <w:pPr>
        <w:sectPr>
          <w:pgSz w:w="11900" w:h="16838" w:orient="portrait"/>
          <w:cols w:equalWidth="0" w:num="2">
            <w:col w:w="3560" w:space="720"/>
            <w:col w:w="5599"/>
          </w:cols>
          <w:pgMar w:left="58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285115</wp:posOffset>
            </wp:positionV>
            <wp:extent cx="680656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0" w:name="page61"/>
    <w:bookmarkEnd w:id="60"/>
    <w:p>
      <w:pPr>
        <w:spacing w:after="0"/>
        <w:rPr>
          <w:rFonts w:ascii="Arial" w:cs="Arial" w:eastAsia="Arial" w:hAnsi="Arial"/>
          <w:sz w:val="14"/>
          <w:szCs w:val="14"/>
          <w:color w:val="003366"/>
        </w:rPr>
      </w:pPr>
      <w:hyperlink w:anchor="page5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RISK FACTORS</w:t>
      </w:r>
    </w:p>
    <w:p>
      <w:pPr>
        <w:spacing w:after="0" w:line="148" w:lineRule="exact"/>
        <w:rPr>
          <w:sz w:val="20"/>
          <w:szCs w:val="20"/>
          <w:color w:val="auto"/>
        </w:rPr>
      </w:pPr>
    </w:p>
    <w:p>
      <w:pPr>
        <w:ind w:left="1260" w:right="459" w:firstLine="360"/>
        <w:spacing w:after="0" w:line="271" w:lineRule="auto"/>
        <w:rPr>
          <w:rFonts w:ascii="Arial" w:cs="Arial" w:eastAsia="Arial" w:hAnsi="Arial"/>
          <w:sz w:val="17"/>
          <w:szCs w:val="17"/>
          <w:color w:val="0000EE"/>
        </w:rPr>
      </w:pPr>
      <w:r>
        <w:rPr>
          <w:rFonts w:ascii="Arial" w:cs="Arial" w:eastAsia="Arial" w:hAnsi="Arial"/>
          <w:sz w:val="17"/>
          <w:szCs w:val="17"/>
          <w:color w:val="auto"/>
        </w:rPr>
        <w:t xml:space="preserve">Investment in any securities offered pursuant to this prospectus supplement and the accompanying base </w:t>
      </w:r>
      <w:hyperlink r:id="rId22">
        <w:r>
          <w:rPr>
            <w:rFonts w:ascii="Arial" w:cs="Arial" w:eastAsia="Arial" w:hAnsi="Arial"/>
            <w:sz w:val="17"/>
            <w:szCs w:val="17"/>
            <w:color w:val="auto"/>
          </w:rPr>
          <w:t xml:space="preserve">prospectus involves risks. You should carefully consider the risk factors described below and in our </w:t>
        </w:r>
        <w:r>
          <w:rPr>
            <w:rFonts w:ascii="Arial" w:cs="Arial" w:eastAsia="Arial" w:hAnsi="Arial"/>
            <w:sz w:val="17"/>
            <w:szCs w:val="17"/>
            <w:u w:val="single" w:color="auto"/>
            <w:color w:val="0000EE"/>
          </w:rPr>
          <w:t>Annual</w:t>
        </w:r>
      </w:hyperlink>
      <w:r>
        <w:rPr>
          <w:rFonts w:ascii="Arial" w:cs="Arial" w:eastAsia="Arial" w:hAnsi="Arial"/>
          <w:sz w:val="17"/>
          <w:szCs w:val="17"/>
          <w:color w:val="auto"/>
        </w:rPr>
        <w:t xml:space="preserve"> </w:t>
      </w:r>
      <w:hyperlink r:id="rId22">
        <w:r>
          <w:rPr>
            <w:rFonts w:ascii="Arial" w:cs="Arial" w:eastAsia="Arial" w:hAnsi="Arial"/>
            <w:sz w:val="17"/>
            <w:szCs w:val="17"/>
            <w:u w:val="single" w:color="auto"/>
            <w:color w:val="0000EE"/>
          </w:rPr>
          <w:t>Report on Form 10-K for the fiscal year ended December 31, 2020</w:t>
        </w:r>
        <w:r>
          <w:rPr>
            <w:rFonts w:ascii="Arial" w:cs="Arial" w:eastAsia="Arial" w:hAnsi="Arial"/>
            <w:sz w:val="17"/>
            <w:szCs w:val="17"/>
            <w:color w:val="0000EE"/>
          </w:rPr>
          <w:t xml:space="preserve"> </w:t>
        </w:r>
        <w:r>
          <w:rPr>
            <w:rFonts w:ascii="Arial" w:cs="Arial" w:eastAsia="Arial" w:hAnsi="Arial"/>
            <w:sz w:val="17"/>
            <w:szCs w:val="17"/>
            <w:color w:val="000000"/>
          </w:rPr>
          <w:t>incorporated by reference in this</w:t>
        </w:r>
      </w:hyperlink>
      <w:r>
        <w:rPr>
          <w:rFonts w:ascii="Arial" w:cs="Arial" w:eastAsia="Arial" w:hAnsi="Arial"/>
          <w:sz w:val="17"/>
          <w:szCs w:val="17"/>
          <w:color w:val="0000EE"/>
        </w:rPr>
        <w:t xml:space="preserve"> </w:t>
      </w:r>
      <w:r>
        <w:rPr>
          <w:rFonts w:ascii="Arial" w:cs="Arial" w:eastAsia="Arial" w:hAnsi="Arial"/>
          <w:sz w:val="17"/>
          <w:szCs w:val="17"/>
          <w:color w:val="000000"/>
        </w:rPr>
        <w:t>prospectus supplement, any amendment or update thereto reflected in subsequent filings with the SEC, including in our Annual Reports on Form 10-K and Quarterly Reports on Form 10-Q, and all other information contained or incorporated by reference in this prospectus supplement, as updated by our subsequent filings under the Exchange Act. The occurrence of any of these risks might cause you to lose all or part of your investment in the offered securities.</w:t>
      </w:r>
    </w:p>
    <w:p>
      <w:pPr>
        <w:spacing w:after="0" w:line="174"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Risks Relating to this Offering</w:t>
      </w:r>
    </w:p>
    <w:p>
      <w:pPr>
        <w:spacing w:after="0" w:line="229" w:lineRule="exact"/>
        <w:rPr>
          <w:sz w:val="20"/>
          <w:szCs w:val="20"/>
          <w:color w:val="auto"/>
        </w:rPr>
      </w:pPr>
    </w:p>
    <w:p>
      <w:pPr>
        <w:ind w:left="1260" w:right="639"/>
        <w:spacing w:after="0" w:line="286" w:lineRule="auto"/>
        <w:rPr>
          <w:sz w:val="20"/>
          <w:szCs w:val="20"/>
          <w:color w:val="auto"/>
        </w:rPr>
      </w:pPr>
      <w:r>
        <w:rPr>
          <w:rFonts w:ascii="Arial" w:cs="Arial" w:eastAsia="Arial" w:hAnsi="Arial"/>
          <w:sz w:val="17"/>
          <w:szCs w:val="17"/>
          <w:b w:val="1"/>
          <w:bCs w:val="1"/>
          <w:i w:val="1"/>
          <w:iCs w:val="1"/>
          <w:color w:val="auto"/>
        </w:rPr>
        <w:t>If you purchase ADSs sold in this offering, you will experience immediate and substantial dilution in the net tangible book value of your ADSs. In addition, we may issue additional equity or convertible debt securities in the future, which may result in additional dilution to you.</w:t>
      </w:r>
    </w:p>
    <w:p>
      <w:pPr>
        <w:spacing w:after="0" w:line="98" w:lineRule="exact"/>
        <w:rPr>
          <w:sz w:val="20"/>
          <w:szCs w:val="20"/>
          <w:color w:val="auto"/>
        </w:rPr>
      </w:pPr>
    </w:p>
    <w:p>
      <w:pPr>
        <w:ind w:left="1260" w:right="419" w:firstLine="360"/>
        <w:spacing w:after="0" w:line="269" w:lineRule="auto"/>
        <w:rPr>
          <w:sz w:val="20"/>
          <w:szCs w:val="20"/>
          <w:color w:val="auto"/>
        </w:rPr>
      </w:pPr>
      <w:r>
        <w:rPr>
          <w:rFonts w:ascii="Arial" w:cs="Arial" w:eastAsia="Arial" w:hAnsi="Arial"/>
          <w:sz w:val="17"/>
          <w:szCs w:val="17"/>
          <w:color w:val="auto"/>
        </w:rPr>
        <w:t>The price per ADS being offered may be higher than the net tangible book value per ADS prior to this offering. Assuming that an aggregate of 11,627,906 ADSs are sold at a price of $8.60 per ADS, the last reported sale price of our ADSs on The Nasdaq Global Market on March 16, 2021, for aggregate gross proceeds of approximately $100 million, and after deducting commissions and estimated offering expenses payable by us, new investors in this offering will incur immediate dilution of $4.56 per ADS. For a more detailed discussion of the foregoing, see the section entitled “Dilution” below. To the extent outstanding share options or warrants are exercised, there will be further dilution to new investors. In addition, to the extent we need to raise additional capital in the future and we issue additional ADSs or securities convertible or exchangeable for our ordinary shares or ADSs, our then existing shareholders may experience dilution and the new securities may have rights senior to those of our ADSs offered in this offering.</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We have broad discretion in the use of the net proceeds from this offering and may not use them effectively.</w:t>
      </w:r>
    </w:p>
    <w:p>
      <w:pPr>
        <w:spacing w:after="0" w:line="192" w:lineRule="exact"/>
        <w:rPr>
          <w:sz w:val="20"/>
          <w:szCs w:val="20"/>
          <w:color w:val="auto"/>
        </w:rPr>
      </w:pPr>
    </w:p>
    <w:p>
      <w:pPr>
        <w:ind w:left="1260" w:right="439" w:firstLine="360"/>
        <w:spacing w:after="0" w:line="268" w:lineRule="auto"/>
        <w:rPr>
          <w:sz w:val="20"/>
          <w:szCs w:val="20"/>
          <w:color w:val="auto"/>
        </w:rPr>
      </w:pPr>
      <w:r>
        <w:rPr>
          <w:rFonts w:ascii="Arial" w:cs="Arial" w:eastAsia="Arial" w:hAnsi="Arial"/>
          <w:sz w:val="17"/>
          <w:szCs w:val="17"/>
          <w:color w:val="auto"/>
        </w:rPr>
        <w:t>Our management will have broad discretion in the application of the net proceeds from this offering,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Our management might not apply our net proceeds in ways that ultimately increase the value of your investment. We expect to use the net proceeds from this offering to advance the development of ensifentrine and any other product candidates and for working capital and other general corporate purposes. The failure by our management to apply these funds effectively could harm our business. Pending their use, we plan to invest the net proceeds from this offering in short- and intermediate-term, interest-bearing obligations, investment-grade instruments, certificates of deposit or direct or guaranteed obligations of the U.S. government. These investments may not yield a favorable return to our shareholders. If we do not invest or apply the net proceeds from this offering in ways that enhance shareholder value, we may fail to achieve expected financial results, which could cause our share price to decline.</w:t>
      </w:r>
    </w:p>
    <w:p>
      <w:pPr>
        <w:spacing w:after="0" w:line="184" w:lineRule="exact"/>
        <w:rPr>
          <w:sz w:val="20"/>
          <w:szCs w:val="20"/>
          <w:color w:val="auto"/>
        </w:rPr>
      </w:pPr>
    </w:p>
    <w:p>
      <w:pPr>
        <w:ind w:left="1260" w:right="839"/>
        <w:spacing w:after="0" w:line="277" w:lineRule="auto"/>
        <w:rPr>
          <w:sz w:val="20"/>
          <w:szCs w:val="20"/>
          <w:color w:val="auto"/>
        </w:rPr>
      </w:pPr>
      <w:r>
        <w:rPr>
          <w:rFonts w:ascii="Arial" w:cs="Arial" w:eastAsia="Arial" w:hAnsi="Arial"/>
          <w:sz w:val="18"/>
          <w:szCs w:val="18"/>
          <w:b w:val="1"/>
          <w:bCs w:val="1"/>
          <w:i w:val="1"/>
          <w:iCs w:val="1"/>
          <w:color w:val="auto"/>
        </w:rPr>
        <w:t>Future sales or issuances of our ADSs in the public markets, or the perception of such sales, could depress the trading price of our ADSs.</w:t>
      </w:r>
    </w:p>
    <w:p>
      <w:pPr>
        <w:spacing w:after="0" w:line="89" w:lineRule="exact"/>
        <w:rPr>
          <w:sz w:val="20"/>
          <w:szCs w:val="20"/>
          <w:color w:val="auto"/>
        </w:rPr>
      </w:pPr>
    </w:p>
    <w:p>
      <w:pPr>
        <w:ind w:left="1260" w:right="419" w:firstLine="360"/>
        <w:spacing w:after="0" w:line="255" w:lineRule="auto"/>
        <w:rPr>
          <w:sz w:val="20"/>
          <w:szCs w:val="20"/>
          <w:color w:val="auto"/>
        </w:rPr>
      </w:pPr>
      <w:r>
        <w:rPr>
          <w:rFonts w:ascii="Arial" w:cs="Arial" w:eastAsia="Arial" w:hAnsi="Arial"/>
          <w:sz w:val="18"/>
          <w:szCs w:val="18"/>
          <w:color w:val="auto"/>
        </w:rPr>
        <w:t>The sale of a substantial number of our ADSs or other equity-related securities in the public markets, or the perception that such sales could occur, could depress the market price of our ADSs and impair our ability to raise capital through the sale of additional equity securities. We may sell large quantities of our ADSs at any time pursuant to this prospectus supplement or in one or more separate offerings. We cannot predict the effect that future sales of ADSs or other equity-related securities would have on the market price of our ADSs.</w:t>
      </w:r>
    </w:p>
    <w:p>
      <w:pPr>
        <w:spacing w:after="0" w:line="38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1" w:name="page62"/>
    <w:bookmarkEnd w:id="61"/>
    <w:p>
      <w:pPr>
        <w:spacing w:after="0"/>
        <w:rPr>
          <w:rFonts w:ascii="Arial" w:cs="Arial" w:eastAsia="Arial" w:hAnsi="Arial"/>
          <w:sz w:val="14"/>
          <w:szCs w:val="14"/>
          <w:color w:val="003366"/>
        </w:rPr>
      </w:pPr>
      <w:hyperlink w:anchor="page5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spacing w:after="0"/>
        <w:rPr>
          <w:sz w:val="20"/>
          <w:szCs w:val="20"/>
          <w:color w:val="auto"/>
        </w:rPr>
      </w:pPr>
      <w:r>
        <w:rPr>
          <w:rFonts w:ascii="Arial" w:cs="Arial" w:eastAsia="Arial" w:hAnsi="Arial"/>
          <w:sz w:val="15"/>
          <w:szCs w:val="15"/>
          <w:b w:val="1"/>
          <w:bCs w:val="1"/>
          <w:i w:val="1"/>
          <w:iCs w:val="1"/>
          <w:color w:val="auto"/>
        </w:rPr>
        <w:t>The actual number of ADSs we will issue under the sales agreement, at any one time or in total, is uncertain.</w:t>
      </w:r>
    </w:p>
    <w:p>
      <w:pPr>
        <w:spacing w:after="0" w:line="179" w:lineRule="exact"/>
        <w:rPr>
          <w:sz w:val="20"/>
          <w:szCs w:val="20"/>
          <w:color w:val="auto"/>
        </w:rPr>
      </w:pPr>
    </w:p>
    <w:p>
      <w:pPr>
        <w:ind w:left="1260" w:right="479" w:firstLine="360"/>
        <w:spacing w:after="0" w:line="273" w:lineRule="auto"/>
        <w:rPr>
          <w:sz w:val="20"/>
          <w:szCs w:val="20"/>
          <w:color w:val="auto"/>
        </w:rPr>
      </w:pPr>
      <w:r>
        <w:rPr>
          <w:rFonts w:ascii="Arial" w:cs="Arial" w:eastAsia="Arial" w:hAnsi="Arial"/>
          <w:sz w:val="17"/>
          <w:szCs w:val="17"/>
          <w:color w:val="auto"/>
        </w:rPr>
        <w:t>Subject to certain limitations in the sales agreement and compliance with applicable law, we have the discretion to deliver a placement notice to the agent at any time throughout the term of the sales agreement. The number of ADSs that are sold by the agent after delivering a placement notice will fluctuate based on the market price of our ADSs during the sales period and limits we set with the agent. Because the price per ADS of each ADS sold will fluctuate based on the market price of our ADSs during the sales period, it is not possible at this stage to predict the number of ADSs that will be ultimately issued.</w:t>
      </w:r>
    </w:p>
    <w:p>
      <w:pPr>
        <w:spacing w:after="0" w:line="178" w:lineRule="exact"/>
        <w:rPr>
          <w:sz w:val="20"/>
          <w:szCs w:val="20"/>
          <w:color w:val="auto"/>
        </w:rPr>
      </w:pPr>
    </w:p>
    <w:p>
      <w:pPr>
        <w:ind w:left="1260" w:right="659"/>
        <w:spacing w:after="0" w:line="277" w:lineRule="auto"/>
        <w:rPr>
          <w:sz w:val="20"/>
          <w:szCs w:val="20"/>
          <w:color w:val="auto"/>
        </w:rPr>
      </w:pPr>
      <w:r>
        <w:rPr>
          <w:rFonts w:ascii="Arial" w:cs="Arial" w:eastAsia="Arial" w:hAnsi="Arial"/>
          <w:sz w:val="18"/>
          <w:szCs w:val="18"/>
          <w:b w:val="1"/>
          <w:bCs w:val="1"/>
          <w:i w:val="1"/>
          <w:iCs w:val="1"/>
          <w:color w:val="auto"/>
        </w:rPr>
        <w:t>The ADSs offered hereby will be sold in “at the market offerings,” and investors who buy ADSs at different times will likely pay different prices.</w:t>
      </w:r>
    </w:p>
    <w:p>
      <w:pPr>
        <w:spacing w:after="0" w:line="103" w:lineRule="exact"/>
        <w:rPr>
          <w:sz w:val="20"/>
          <w:szCs w:val="20"/>
          <w:color w:val="auto"/>
        </w:rPr>
      </w:pPr>
    </w:p>
    <w:p>
      <w:pPr>
        <w:ind w:left="1260" w:right="479" w:firstLine="360"/>
        <w:spacing w:after="0" w:line="257" w:lineRule="auto"/>
        <w:rPr>
          <w:sz w:val="20"/>
          <w:szCs w:val="20"/>
          <w:color w:val="auto"/>
        </w:rPr>
      </w:pPr>
      <w:r>
        <w:rPr>
          <w:rFonts w:ascii="Arial" w:cs="Arial" w:eastAsia="Arial" w:hAnsi="Arial"/>
          <w:sz w:val="18"/>
          <w:szCs w:val="18"/>
          <w:color w:val="auto"/>
        </w:rPr>
        <w:t>Investors who purchase ADSs in this offering at different times will likely pay different prices, and so may experience different outcomes in their investment results. We will have discretion, subject to market demand, to vary the timing, prices, and numbers of ADSs sold, and there is no minimum or maximum sales price. Investors may experience a decline in the value of their ADSs as a result of ADS sales made at prices lower than the prices they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2" w:name="page63"/>
    <w:bookmarkEnd w:id="62"/>
    <w:p>
      <w:pPr>
        <w:spacing w:after="0"/>
        <w:rPr>
          <w:rFonts w:ascii="Arial" w:cs="Arial" w:eastAsia="Arial" w:hAnsi="Arial"/>
          <w:sz w:val="14"/>
          <w:szCs w:val="14"/>
          <w:color w:val="003366"/>
        </w:rPr>
      </w:pPr>
      <w:hyperlink w:anchor="page5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left="1260" w:right="419" w:firstLine="360"/>
        <w:spacing w:after="0" w:line="268" w:lineRule="auto"/>
        <w:rPr>
          <w:sz w:val="20"/>
          <w:szCs w:val="20"/>
          <w:color w:val="auto"/>
        </w:rPr>
      </w:pPr>
      <w:r>
        <w:rPr>
          <w:rFonts w:ascii="Arial" w:cs="Arial" w:eastAsia="Arial" w:hAnsi="Arial"/>
          <w:sz w:val="17"/>
          <w:szCs w:val="17"/>
          <w:color w:val="auto"/>
        </w:rPr>
        <w:t>This prospectus supplement, the accompanying base prospectus and the documents incorporated by reference herein and therein and any free writing prospectus that we have authorized for use in connection with this offering may contain forward-looking statements. All statements other than statements of historical facts contained in this prospectus supplement, the accompanying base prospectus and the documents incorporated by reference herein and therein and any free writing prospectus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This prospectus supplement, the accompanying base prospectus and the documents incorporated by reference herein and therein and any free writing prospectus may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14" w:lineRule="exact"/>
        <w:rPr>
          <w:sz w:val="20"/>
          <w:szCs w:val="20"/>
          <w:color w:val="auto"/>
        </w:rPr>
      </w:pPr>
    </w:p>
    <w:p>
      <w:pPr>
        <w:ind w:left="1260" w:right="419" w:firstLine="360"/>
        <w:spacing w:after="0" w:line="267" w:lineRule="auto"/>
        <w:rPr>
          <w:sz w:val="20"/>
          <w:szCs w:val="20"/>
          <w:color w:val="auto"/>
        </w:rPr>
      </w:pPr>
      <w:r>
        <w:rPr>
          <w:rFonts w:ascii="Arial" w:cs="Arial" w:eastAsia="Arial" w:hAnsi="Arial"/>
          <w:sz w:val="17"/>
          <w:szCs w:val="17"/>
          <w:color w:val="auto"/>
        </w:rPr>
        <w:t>In some cases, you can identify forward-looking statements by terms such as “may,” “will,” “should,” “expect,” “plan,” “anticipate,” “could,” “intend,” “target,” “project,” “contemplates,” “believes,” “estimates,” “predicts,” “potential” or “continue” or the negative of these terms or other similar expressions. The forward-looking statements in this prospectus supplement, the accompanying base prospectus and the documents incorporated by reference herein and therein and any free writing prospectus are only predictions. We have based these forward-looking statements largely on our current expectations and projections about future events and financial trends that we believe may affect our business, financial condition and results of operations. These forward- looking statements speak only as of the respective dates of this prospectus supplement, the accompanying base prospectus and the documents incorporated by reference herein and therein and any free writing prospectus, as applicable, and are subject to a number of risks, uncertainties and assumptions, including those described under “Risk Factors” and elsewhere in this prospectus supplement.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in this prospectus supplement, the accompanying base prospectus and the documents incorporated by reference herein and therein and any free writing prospectus, whether as a result of any new information, future events, changed circumstances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3" w:name="page64"/>
    <w:bookmarkEnd w:id="63"/>
    <w:p>
      <w:pPr>
        <w:spacing w:after="0"/>
        <w:rPr>
          <w:rFonts w:ascii="Arial" w:cs="Arial" w:eastAsia="Arial" w:hAnsi="Arial"/>
          <w:sz w:val="14"/>
          <w:szCs w:val="14"/>
          <w:color w:val="003366"/>
        </w:rPr>
      </w:pPr>
      <w:hyperlink w:anchor="page5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USE OF PROCEEDS</w:t>
      </w:r>
    </w:p>
    <w:p>
      <w:pPr>
        <w:spacing w:after="0" w:line="148" w:lineRule="exact"/>
        <w:rPr>
          <w:sz w:val="20"/>
          <w:szCs w:val="20"/>
          <w:color w:val="auto"/>
        </w:rPr>
      </w:pPr>
    </w:p>
    <w:p>
      <w:pPr>
        <w:ind w:left="1260" w:right="479" w:firstLine="360"/>
        <w:spacing w:after="0" w:line="286" w:lineRule="auto"/>
        <w:rPr>
          <w:sz w:val="20"/>
          <w:szCs w:val="20"/>
          <w:color w:val="auto"/>
        </w:rPr>
      </w:pPr>
      <w:r>
        <w:rPr>
          <w:rFonts w:ascii="Arial" w:cs="Arial" w:eastAsia="Arial" w:hAnsi="Arial"/>
          <w:sz w:val="17"/>
          <w:szCs w:val="17"/>
          <w:color w:val="auto"/>
        </w:rPr>
        <w:t>We may issue and sell our ADSs having aggregate sales proceeds of up to $100,000,000 from time to time. Because there is no minimum offering amount required as a condition to close this offering, the actual total public offering amount, commissions and proceeds to us, if any, are not determinable at this time.</w:t>
      </w:r>
    </w:p>
    <w:p>
      <w:pPr>
        <w:spacing w:after="0" w:line="98" w:lineRule="exact"/>
        <w:rPr>
          <w:sz w:val="20"/>
          <w:szCs w:val="20"/>
          <w:color w:val="auto"/>
        </w:rPr>
      </w:pPr>
    </w:p>
    <w:p>
      <w:pPr>
        <w:ind w:left="1260" w:right="599" w:firstLine="360"/>
        <w:spacing w:after="0" w:line="277" w:lineRule="auto"/>
        <w:rPr>
          <w:sz w:val="20"/>
          <w:szCs w:val="20"/>
          <w:color w:val="auto"/>
        </w:rPr>
      </w:pPr>
      <w:r>
        <w:rPr>
          <w:rFonts w:ascii="Arial" w:cs="Arial" w:eastAsia="Arial" w:hAnsi="Arial"/>
          <w:sz w:val="18"/>
          <w:szCs w:val="18"/>
          <w:color w:val="auto"/>
        </w:rPr>
        <w:t>We intend to use the net proceeds of this offering to advance the development of ensifentrine and any other product candidates and for working capital and other general corporate purposes.</w:t>
      </w:r>
    </w:p>
    <w:p>
      <w:pPr>
        <w:spacing w:after="0" w:line="103" w:lineRule="exact"/>
        <w:rPr>
          <w:sz w:val="20"/>
          <w:szCs w:val="20"/>
          <w:color w:val="auto"/>
        </w:rPr>
      </w:pPr>
    </w:p>
    <w:p>
      <w:pPr>
        <w:ind w:left="1260" w:right="539" w:firstLine="360"/>
        <w:spacing w:after="0" w:line="271" w:lineRule="auto"/>
        <w:rPr>
          <w:sz w:val="20"/>
          <w:szCs w:val="20"/>
          <w:color w:val="auto"/>
        </w:rPr>
      </w:pPr>
      <w:r>
        <w:rPr>
          <w:rFonts w:ascii="Arial" w:cs="Arial" w:eastAsia="Arial" w:hAnsi="Arial"/>
          <w:sz w:val="17"/>
          <w:szCs w:val="17"/>
          <w:color w:val="auto"/>
        </w:rPr>
        <w:t>The amounts and timing of our actual expenditures will depend on numerous factors, including the progress of our clinical trials and other development efforts and other factors described under “Risk Factors” in this prospectus supplement, the accompanying base prospectus and the documents incorporated by reference herein and therein, as well as the amount of cash used in our operations. We may find it necessary or advisable to use the net proceeds for other purposes, and we will have broad discretion in the application of the net proceeds. Pending the uses described above, we plan to invest the net proceeds from this offering in short- and intermediate-term, interest-bearing obligations, investment-grade instruments, certificates of deposit or direct or guaranteed obligations of the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4" w:name="page65"/>
    <w:bookmarkEnd w:id="64"/>
    <w:p>
      <w:pPr>
        <w:spacing w:after="0"/>
        <w:rPr>
          <w:rFonts w:ascii="Arial" w:cs="Arial" w:eastAsia="Arial" w:hAnsi="Arial"/>
          <w:sz w:val="14"/>
          <w:szCs w:val="14"/>
          <w:color w:val="003366"/>
        </w:rPr>
      </w:pPr>
      <w:hyperlink w:anchor="page5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DIVIDEND POLICY</w:t>
      </w:r>
    </w:p>
    <w:p>
      <w:pPr>
        <w:spacing w:after="0" w:line="148"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We have never paid or declared any cash dividends on our ordinary shares or ADSs, and we do not anticipate paying any cash dividends on our ordinary shares or ADSs in the foreseeable future. We intend to retain all available funds and any future earnings to fund the development and expansion of our business. Under English law, among other things, we may only pay dividends if we have sufficient distributable reserves (on a non-consolidated basis), which are our accumulated realized profits that have not been previously distributed or capitalized less our accumulated realized losses, so far as such losses have not been previously written off in a reduction or reorganization of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5" w:name="page66"/>
    <w:bookmarkEnd w:id="65"/>
    <w:p>
      <w:pPr>
        <w:spacing w:after="0"/>
        <w:rPr>
          <w:rFonts w:ascii="Arial" w:cs="Arial" w:eastAsia="Arial" w:hAnsi="Arial"/>
          <w:sz w:val="14"/>
          <w:szCs w:val="14"/>
          <w:color w:val="003366"/>
        </w:rPr>
      </w:pPr>
      <w:hyperlink w:anchor="page5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DILUTION</w:t>
      </w:r>
    </w:p>
    <w:p>
      <w:pPr>
        <w:spacing w:after="0" w:line="148" w:lineRule="exact"/>
        <w:rPr>
          <w:sz w:val="20"/>
          <w:szCs w:val="20"/>
          <w:color w:val="auto"/>
        </w:rPr>
      </w:pPr>
    </w:p>
    <w:p>
      <w:pPr>
        <w:ind w:left="1260" w:right="459" w:firstLine="360"/>
        <w:spacing w:after="0" w:line="273" w:lineRule="auto"/>
        <w:rPr>
          <w:sz w:val="20"/>
          <w:szCs w:val="20"/>
          <w:color w:val="auto"/>
        </w:rPr>
      </w:pPr>
      <w:r>
        <w:rPr>
          <w:rFonts w:ascii="Arial" w:cs="Arial" w:eastAsia="Arial" w:hAnsi="Arial"/>
          <w:sz w:val="17"/>
          <w:szCs w:val="17"/>
          <w:color w:val="auto"/>
        </w:rPr>
        <w:t>If you invest in our ADSs, your interest will be diluted to the extent of the difference between the price per ADS you pay in this offering and the net tangible book value per ADS immediately after this offering. Our net tangible book value as of December 31, 2020 was $184.3 million, or approximately $3.18 per ADS based upon 463,304,446 ordinary shares outstanding. Net tangible book value per ADS is equal to our total tangible assets, less our total liabilities, divided by the total number of our ordinary shares outstanding as of December 31, 2020, multiplied by eight, which is the number of ordinary shares represented by one ADS.</w:t>
      </w:r>
    </w:p>
    <w:p>
      <w:pPr>
        <w:spacing w:after="0" w:line="110" w:lineRule="exact"/>
        <w:rPr>
          <w:sz w:val="20"/>
          <w:szCs w:val="20"/>
          <w:color w:val="auto"/>
        </w:rPr>
      </w:pPr>
    </w:p>
    <w:p>
      <w:pPr>
        <w:ind w:left="1260" w:right="439" w:firstLine="360"/>
        <w:spacing w:after="0" w:line="254" w:lineRule="auto"/>
        <w:rPr>
          <w:sz w:val="20"/>
          <w:szCs w:val="20"/>
          <w:color w:val="auto"/>
        </w:rPr>
      </w:pPr>
      <w:r>
        <w:rPr>
          <w:rFonts w:ascii="Arial" w:cs="Arial" w:eastAsia="Arial" w:hAnsi="Arial"/>
          <w:sz w:val="18"/>
          <w:szCs w:val="18"/>
          <w:color w:val="auto"/>
        </w:rPr>
        <w:t>After giving effect to the sale of our ADSs in the aggregate amount of $100 million at an assumed offering price of $8.60 per ADS, the last reported sale price of our ADSs on The Nasdaq Global Market on March 16, 2021, and after deducting commissions and estimated offering expenses payable by us, our as adjusted net tangible book value as of December 31, 2020 would have been $280.7 million, or $4.04 per ADS. This represents an immediate increase in net tangible book value of $0.86 per ADS to our existing shareholders and an immediate dilution in net tangible book value of $4.56 per ADS to new investors in this offering.</w:t>
      </w:r>
    </w:p>
    <w:p>
      <w:pPr>
        <w:spacing w:after="0" w:line="127" w:lineRule="exact"/>
        <w:rPr>
          <w:sz w:val="20"/>
          <w:szCs w:val="20"/>
          <w:color w:val="auto"/>
        </w:rPr>
      </w:pPr>
    </w:p>
    <w:p>
      <w:pPr>
        <w:ind w:left="1260" w:right="459" w:firstLine="360"/>
        <w:spacing w:after="0" w:line="254" w:lineRule="auto"/>
        <w:rPr>
          <w:sz w:val="20"/>
          <w:szCs w:val="20"/>
          <w:color w:val="auto"/>
        </w:rPr>
      </w:pPr>
      <w:r>
        <w:rPr>
          <w:rFonts w:ascii="Arial" w:cs="Arial" w:eastAsia="Arial" w:hAnsi="Arial"/>
          <w:sz w:val="18"/>
          <w:szCs w:val="18"/>
          <w:color w:val="auto"/>
        </w:rPr>
        <w:t>The following table illustrates this calculation on a per ADS basis. The as adjusted information is illustrative only and will adjust based on the actual price to the public, the actual number of ADSs sold and other terms of the offering determined at the time ADSs are sold pursuant to this prospectus supplement. The as adjusted information assumes that all of our ADSs in the aggregate amount of $100 million is sold at the assumed offering price of $8.60 per ADS, the last reported sale price of our ADSs on The Nasdaq Global Market on March 16, 2021. The ADSs sold in this offering, if any, will be sold from time to time at various prices.</w:t>
      </w:r>
    </w:p>
    <w:p>
      <w:pPr>
        <w:spacing w:after="0" w:line="150"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Assumed public offering price per ADS</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57"/>
        </w:trPr>
        <w:tc>
          <w:tcPr>
            <w:tcW w:w="7160" w:type="dxa"/>
            <w:vAlign w:val="bottom"/>
          </w:tcPr>
          <w:p>
            <w:pPr>
              <w:ind w:left="180"/>
              <w:spacing w:after="0"/>
              <w:rPr>
                <w:sz w:val="20"/>
                <w:szCs w:val="20"/>
                <w:color w:val="auto"/>
              </w:rPr>
            </w:pPr>
            <w:r>
              <w:rPr>
                <w:rFonts w:ascii="Arial" w:cs="Arial" w:eastAsia="Arial" w:hAnsi="Arial"/>
                <w:sz w:val="18"/>
                <w:szCs w:val="18"/>
                <w:color w:val="auto"/>
              </w:rPr>
              <w:t>Net tangible book value per ADS as of December 31, 2020</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$3.18</w:t>
            </w:r>
          </w:p>
        </w:tc>
        <w:tc>
          <w:tcPr>
            <w:tcW w:w="420" w:type="dxa"/>
            <w:vAlign w:val="bottom"/>
          </w:tcPr>
          <w:p>
            <w:pPr>
              <w:spacing w:after="0"/>
              <w:rPr>
                <w:sz w:val="22"/>
                <w:szCs w:val="22"/>
                <w:color w:val="auto"/>
              </w:rPr>
            </w:pPr>
          </w:p>
        </w:tc>
      </w:tr>
      <w:tr>
        <w:trPr>
          <w:trHeight w:val="263"/>
        </w:trPr>
        <w:tc>
          <w:tcPr>
            <w:tcW w:w="7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Increase in net tangible book value per ADS attributable to the offering</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2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r>
      <w:tr>
        <w:trPr>
          <w:trHeight w:val="263"/>
        </w:trPr>
        <w:tc>
          <w:tcPr>
            <w:tcW w:w="7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As adjusted net tangible book value per ADS after giving effect to the offering</w:t>
            </w:r>
          </w:p>
        </w:tc>
        <w:tc>
          <w:tcPr>
            <w:tcW w:w="620" w:type="dxa"/>
            <w:vAlign w:val="bottom"/>
            <w:tcBorders>
              <w:bottom w:val="single" w:sz="8" w:color="CCEEFF"/>
            </w:tcBorders>
            <w:gridSpan w:val="2"/>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r>
      <w:tr>
        <w:trPr>
          <w:trHeight w:val="277"/>
        </w:trPr>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Dilution per ADS to new investors participating in the offering</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4.56</w:t>
            </w:r>
          </w:p>
        </w:tc>
      </w:tr>
      <w:tr>
        <w:trPr>
          <w:trHeight w:val="20"/>
        </w:trPr>
        <w:tc>
          <w:tcPr>
            <w:tcW w:w="71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-205105</wp:posOffset>
            </wp:positionV>
            <wp:extent cx="494601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spacing w:after="0" w:line="195" w:lineRule="exact"/>
        <w:rPr>
          <w:sz w:val="20"/>
          <w:szCs w:val="20"/>
          <w:color w:val="auto"/>
        </w:rPr>
      </w:pPr>
    </w:p>
    <w:p>
      <w:pPr>
        <w:ind w:left="1260" w:right="699" w:firstLine="360"/>
        <w:spacing w:after="0" w:line="308" w:lineRule="auto"/>
        <w:rPr>
          <w:sz w:val="20"/>
          <w:szCs w:val="20"/>
          <w:color w:val="auto"/>
        </w:rPr>
      </w:pPr>
      <w:r>
        <w:rPr>
          <w:rFonts w:ascii="Arial" w:cs="Arial" w:eastAsia="Arial" w:hAnsi="Arial"/>
          <w:sz w:val="17"/>
          <w:szCs w:val="17"/>
          <w:color w:val="auto"/>
        </w:rPr>
        <w:t>The foregoing tables and calculations (other than historical net tangible book value calculations) are based on 463,304,446 ordinary shares outstanding as of December 31, 2020, and excludes:</w:t>
      </w:r>
    </w:p>
    <w:p>
      <w:pPr>
        <w:spacing w:after="0" w:line="38" w:lineRule="exact"/>
        <w:rPr>
          <w:sz w:val="20"/>
          <w:szCs w:val="20"/>
          <w:color w:val="auto"/>
        </w:rPr>
      </w:pPr>
    </w:p>
    <w:p>
      <w:pPr>
        <w:ind w:left="1800" w:right="1419" w:hanging="180"/>
        <w:spacing w:after="0" w:line="342" w:lineRule="auto"/>
        <w:tabs>
          <w:tab w:leader="none" w:pos="18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13,125,672 ordinary shares issuable upon the exercise of share options outstanding as of December 31, 2020, at a weighted average exercise price of $1.41 per ordinary share;</w:t>
      </w:r>
    </w:p>
    <w:p>
      <w:pPr>
        <w:spacing w:after="0" w:line="15" w:lineRule="exact"/>
        <w:rPr>
          <w:rFonts w:ascii="Arial" w:cs="Arial" w:eastAsia="Arial" w:hAnsi="Arial"/>
          <w:sz w:val="16"/>
          <w:szCs w:val="16"/>
          <w:color w:val="auto"/>
        </w:rPr>
      </w:pPr>
    </w:p>
    <w:p>
      <w:pPr>
        <w:ind w:left="1800" w:right="1199" w:hanging="180"/>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61,992,360 ordinary shares issuable upon vesting of restricted share units outstanding as of December 31, 2020;</w:t>
      </w:r>
    </w:p>
    <w:p>
      <w:pPr>
        <w:spacing w:after="0" w:line="62" w:lineRule="exact"/>
        <w:rPr>
          <w:rFonts w:ascii="Arial" w:cs="Arial" w:eastAsia="Arial" w:hAnsi="Arial"/>
          <w:sz w:val="18"/>
          <w:szCs w:val="18"/>
          <w:color w:val="auto"/>
        </w:rPr>
      </w:pPr>
    </w:p>
    <w:p>
      <w:pPr>
        <w:ind w:left="1800" w:right="579" w:hanging="180"/>
        <w:spacing w:after="0" w:line="311" w:lineRule="auto"/>
        <w:tabs>
          <w:tab w:leader="none" w:pos="18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8,834,256 ordinary shares reserved for future issuance under our 2017 Incentive Award Plan, or the 2017 Plan, as of December 31, 2020, and ordinary shares that may become available pursuant to provisions in the 2017 Plan that automatically increase the share reserve under the 2017 Plan; and</w:t>
      </w:r>
    </w:p>
    <w:p>
      <w:pPr>
        <w:spacing w:after="0" w:line="40" w:lineRule="exact"/>
        <w:rPr>
          <w:rFonts w:ascii="Arial" w:cs="Arial" w:eastAsia="Arial" w:hAnsi="Arial"/>
          <w:sz w:val="16"/>
          <w:szCs w:val="16"/>
          <w:color w:val="auto"/>
        </w:rPr>
      </w:pPr>
    </w:p>
    <w:p>
      <w:pPr>
        <w:ind w:left="1800" w:right="479" w:hanging="180"/>
        <w:spacing w:after="0" w:line="277" w:lineRule="auto"/>
        <w:tabs>
          <w:tab w:leader="none" w:pos="1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12,401,262 ordinary shares issuable upon exercise of warrants outstanding as of December 31, 2020, at a weighted average exercise price of $2.36 per ordinary share.</w:t>
      </w:r>
    </w:p>
    <w:p>
      <w:pPr>
        <w:spacing w:after="0" w:line="103" w:lineRule="exact"/>
        <w:rPr>
          <w:sz w:val="20"/>
          <w:szCs w:val="20"/>
          <w:color w:val="auto"/>
        </w:rPr>
      </w:pPr>
    </w:p>
    <w:p>
      <w:pPr>
        <w:ind w:left="1260" w:right="659" w:firstLine="360"/>
        <w:spacing w:after="0" w:line="263" w:lineRule="auto"/>
        <w:rPr>
          <w:sz w:val="20"/>
          <w:szCs w:val="20"/>
          <w:color w:val="auto"/>
        </w:rPr>
      </w:pPr>
      <w:r>
        <w:rPr>
          <w:rFonts w:ascii="Arial" w:cs="Arial" w:eastAsia="Arial" w:hAnsi="Arial"/>
          <w:sz w:val="18"/>
          <w:szCs w:val="18"/>
          <w:color w:val="auto"/>
        </w:rPr>
        <w:t>The foregoing table does not give effect to the exercise of any outstanding options or warrants or the vesting of any restricted share units. To the extent options and warrants are exercised, or restricted share units vest, there may be further dilution to new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6" w:name="page67"/>
    <w:bookmarkEnd w:id="66"/>
    <w:p>
      <w:pPr>
        <w:spacing w:after="0"/>
        <w:rPr>
          <w:rFonts w:ascii="Arial" w:cs="Arial" w:eastAsia="Arial" w:hAnsi="Arial"/>
          <w:sz w:val="14"/>
          <w:szCs w:val="14"/>
          <w:color w:val="003366"/>
        </w:rPr>
      </w:pPr>
      <w:hyperlink w:anchor="page5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PLAN OF DISTRIBUTION</w:t>
      </w:r>
    </w:p>
    <w:p>
      <w:pPr>
        <w:spacing w:after="0" w:line="148" w:lineRule="exact"/>
        <w:rPr>
          <w:sz w:val="20"/>
          <w:szCs w:val="20"/>
          <w:color w:val="auto"/>
        </w:rPr>
      </w:pPr>
    </w:p>
    <w:p>
      <w:pPr>
        <w:ind w:left="1260" w:right="659" w:firstLine="360"/>
        <w:spacing w:after="0" w:line="279" w:lineRule="auto"/>
        <w:rPr>
          <w:sz w:val="20"/>
          <w:szCs w:val="20"/>
          <w:color w:val="auto"/>
        </w:rPr>
      </w:pPr>
      <w:r>
        <w:rPr>
          <w:rFonts w:ascii="Arial" w:cs="Arial" w:eastAsia="Arial" w:hAnsi="Arial"/>
          <w:sz w:val="17"/>
          <w:szCs w:val="17"/>
          <w:color w:val="auto"/>
        </w:rPr>
        <w:t>We have entered into a sales agreement with Jefferies, under which we may offer and sell up to $100,000,000 of our ADSs from time to time through Jefferies acting as agent. Sales of our ADSs, if any, under this prospectus supplement and the accompanying prospectus will be made by any method that is deemed to be an “at the market offering” as defined in Rule 415(a)(4) under the Securities Act.</w:t>
      </w:r>
    </w:p>
    <w:p>
      <w:pPr>
        <w:spacing w:after="0" w:line="104" w:lineRule="exact"/>
        <w:rPr>
          <w:sz w:val="20"/>
          <w:szCs w:val="20"/>
          <w:color w:val="auto"/>
        </w:rPr>
      </w:pPr>
    </w:p>
    <w:p>
      <w:pPr>
        <w:ind w:left="1260" w:right="479" w:firstLine="360"/>
        <w:spacing w:after="0" w:line="272" w:lineRule="auto"/>
        <w:rPr>
          <w:sz w:val="20"/>
          <w:szCs w:val="20"/>
          <w:color w:val="auto"/>
        </w:rPr>
      </w:pPr>
      <w:r>
        <w:rPr>
          <w:rFonts w:ascii="Arial" w:cs="Arial" w:eastAsia="Arial" w:hAnsi="Arial"/>
          <w:sz w:val="17"/>
          <w:szCs w:val="17"/>
          <w:color w:val="auto"/>
        </w:rPr>
        <w:t>Each time we wish to issue and sell ADSs under the sales agreement, we will notify Jefferies of the number of ADSs to be issued, the dates on which such sales are anticipated to be made, any limitation on the number of ADSs to be sold in any one day and any minimum price below which sales may not be made. Once we have so instructed Jefferies, unless Jefferies declines to accept the terms of such notice, Jefferies has agreed to use its commercially reasonable efforts consistent with its normal trading and sales practices to sell such ADSs up to the amount specified on such terms. The obligations of Jefferies under the sales agreement to sell our ADSs are subject to a number of conditions that we must meet.</w:t>
      </w:r>
    </w:p>
    <w:p>
      <w:pPr>
        <w:spacing w:after="0" w:line="110" w:lineRule="exact"/>
        <w:rPr>
          <w:sz w:val="20"/>
          <w:szCs w:val="20"/>
          <w:color w:val="auto"/>
        </w:rPr>
      </w:pPr>
    </w:p>
    <w:p>
      <w:pPr>
        <w:ind w:left="1260" w:right="619" w:firstLine="360"/>
        <w:spacing w:after="0" w:line="257" w:lineRule="auto"/>
        <w:rPr>
          <w:sz w:val="20"/>
          <w:szCs w:val="20"/>
          <w:color w:val="auto"/>
        </w:rPr>
      </w:pPr>
      <w:r>
        <w:rPr>
          <w:rFonts w:ascii="Arial" w:cs="Arial" w:eastAsia="Arial" w:hAnsi="Arial"/>
          <w:sz w:val="18"/>
          <w:szCs w:val="18"/>
          <w:color w:val="auto"/>
        </w:rPr>
        <w:t>The settlement of sales of ADSs between us and Jefferies is generally anticipated to occur on the second trading day following the date on which the sale was made. Sales of our ADSs as contemplated in this prospectus supplement will be settled through the facilities of The Depository Trust Company or by such other means as we and Jefferies may agree upon. There is no arrangement for funds to be received in an escrow, trust or similar arrangement.</w:t>
      </w:r>
    </w:p>
    <w:p>
      <w:pPr>
        <w:spacing w:after="0" w:line="107" w:lineRule="exact"/>
        <w:rPr>
          <w:sz w:val="20"/>
          <w:szCs w:val="20"/>
          <w:color w:val="auto"/>
        </w:rPr>
      </w:pPr>
    </w:p>
    <w:p>
      <w:pPr>
        <w:ind w:left="1260" w:right="419" w:firstLine="360"/>
        <w:spacing w:after="0" w:line="253" w:lineRule="auto"/>
        <w:rPr>
          <w:sz w:val="20"/>
          <w:szCs w:val="20"/>
          <w:color w:val="auto"/>
        </w:rPr>
      </w:pPr>
      <w:r>
        <w:rPr>
          <w:rFonts w:ascii="Arial" w:cs="Arial" w:eastAsia="Arial" w:hAnsi="Arial"/>
          <w:sz w:val="18"/>
          <w:szCs w:val="18"/>
          <w:color w:val="auto"/>
        </w:rPr>
        <w:t>We will pay Jefferies a commission of up to 3.0% of the aggregate gross proceeds we receive from each sale of our ADSs. Because there is no minimum offering amount required as a condition to close this offering, the actual total public offering amount, commissions and proceeds to us, if any, are not determinable at this time. In addition, we have agreed to reimburse Jefferies for the fees and disbursements of its counsel, payable upon execution of the sales agreement, in an amount not to exceed $100,000, in addition to certain ongoing disbursements of its legal counsel, unless we and Jefferies otherwise agree. We estimate that the total expenses for the offering, excluding any commissions or expense reimbursement payable to Jefferies under the terms of the sales agreement, will be approximately $525,000. The remaining sale proceeds, after deducting any other transaction fees, will equal our net proceeds from the sale of such ADSs.</w:t>
      </w:r>
    </w:p>
    <w:p>
      <w:pPr>
        <w:spacing w:after="0" w:line="127" w:lineRule="exact"/>
        <w:rPr>
          <w:sz w:val="20"/>
          <w:szCs w:val="20"/>
          <w:color w:val="auto"/>
        </w:rPr>
      </w:pPr>
    </w:p>
    <w:p>
      <w:pPr>
        <w:jc w:val="both"/>
        <w:ind w:left="1260" w:right="539" w:firstLine="360"/>
        <w:spacing w:after="0" w:line="286" w:lineRule="auto"/>
        <w:rPr>
          <w:sz w:val="20"/>
          <w:szCs w:val="20"/>
          <w:color w:val="auto"/>
        </w:rPr>
      </w:pPr>
      <w:r>
        <w:rPr>
          <w:rFonts w:ascii="Arial" w:cs="Arial" w:eastAsia="Arial" w:hAnsi="Arial"/>
          <w:sz w:val="17"/>
          <w:szCs w:val="17"/>
          <w:color w:val="auto"/>
        </w:rPr>
        <w:t>Jefferies will provide written confirmation to us before the open on The Nasdaq Global Market on the day following each day on which ADSs are sold under the sales agreement. Each confirmation will include the number of ADSs sold on that day, the aggregate gross proceeds of such sales and the proceeds to us.</w:t>
      </w:r>
    </w:p>
    <w:p>
      <w:pPr>
        <w:spacing w:after="0" w:line="98" w:lineRule="exact"/>
        <w:rPr>
          <w:sz w:val="20"/>
          <w:szCs w:val="20"/>
          <w:color w:val="auto"/>
        </w:rPr>
      </w:pPr>
    </w:p>
    <w:p>
      <w:pPr>
        <w:ind w:left="1260" w:right="519" w:firstLine="360"/>
        <w:spacing w:after="0" w:line="257" w:lineRule="auto"/>
        <w:rPr>
          <w:sz w:val="20"/>
          <w:szCs w:val="20"/>
          <w:color w:val="auto"/>
        </w:rPr>
      </w:pPr>
      <w:r>
        <w:rPr>
          <w:rFonts w:ascii="Arial" w:cs="Arial" w:eastAsia="Arial" w:hAnsi="Arial"/>
          <w:sz w:val="18"/>
          <w:szCs w:val="18"/>
          <w:color w:val="auto"/>
        </w:rPr>
        <w:t>In connection with the sale of the ADSs on our behalf, Jefferies will be deemed to be an “underwriter” within the meaning of the Securities Act, and the compensation of Jefferies will be deemed to be underwriting commissions or discounts. We have agreed to indemnify Jefferies against certain civil liabilities, including liabilities under the Securities Act. We have also agreed to contribute to payments Jefferies may be required to make in respect of such liabilities.</w:t>
      </w:r>
    </w:p>
    <w:p>
      <w:pPr>
        <w:spacing w:after="0" w:line="107"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The offering of our ADSs pursuant to the sales agreement will terminate upon the earlier of (i) the sale of all ADSs subject to the sales agreement and (ii) the termination of the sales agreement as permitted therein.</w:t>
      </w:r>
    </w:p>
    <w:p>
      <w:pPr>
        <w:spacing w:after="0" w:line="116" w:lineRule="exact"/>
        <w:rPr>
          <w:sz w:val="20"/>
          <w:szCs w:val="20"/>
          <w:color w:val="auto"/>
        </w:rPr>
      </w:pPr>
    </w:p>
    <w:p>
      <w:pPr>
        <w:ind w:left="1260" w:right="499" w:firstLine="360"/>
        <w:spacing w:after="0" w:line="263" w:lineRule="auto"/>
        <w:rPr>
          <w:sz w:val="20"/>
          <w:szCs w:val="20"/>
          <w:color w:val="auto"/>
        </w:rPr>
      </w:pPr>
      <w:r>
        <w:rPr>
          <w:rFonts w:ascii="Arial" w:cs="Arial" w:eastAsia="Arial" w:hAnsi="Arial"/>
          <w:sz w:val="18"/>
          <w:szCs w:val="18"/>
          <w:color w:val="auto"/>
        </w:rPr>
        <w:t>This summary of the material provisions of the sales agreement does not purport to be a complete statement of its terms and conditions. A copy of the sales agreement is filed as an exhibit to the registration statement of which this prospectus supplement forms a part.</w:t>
      </w:r>
    </w:p>
    <w:p>
      <w:pPr>
        <w:spacing w:after="0" w:line="116" w:lineRule="exact"/>
        <w:rPr>
          <w:sz w:val="20"/>
          <w:szCs w:val="20"/>
          <w:color w:val="auto"/>
        </w:rPr>
      </w:pPr>
    </w:p>
    <w:p>
      <w:pPr>
        <w:ind w:left="1260" w:right="459" w:firstLine="360"/>
        <w:spacing w:after="0" w:line="257" w:lineRule="auto"/>
        <w:rPr>
          <w:sz w:val="20"/>
          <w:szCs w:val="20"/>
          <w:color w:val="auto"/>
        </w:rPr>
      </w:pPr>
      <w:r>
        <w:rPr>
          <w:rFonts w:ascii="Arial" w:cs="Arial" w:eastAsia="Arial" w:hAnsi="Arial"/>
          <w:sz w:val="18"/>
          <w:szCs w:val="18"/>
          <w:color w:val="auto"/>
        </w:rPr>
        <w:t>Jefferies and its affiliates may in the future provide various investment banking, commercial banking, financial advisory and other financial services for us and our affiliates, for which services they may in the future receive customary fees. In the course of its business, Jefferies may actively trade our securities for its own account or for the accounts of customers, and, accordingly, Jefferies may at any time hold long or short positions in such securities.</w:t>
      </w:r>
    </w:p>
    <w:p>
      <w:pPr>
        <w:spacing w:after="0" w:line="107" w:lineRule="exact"/>
        <w:rPr>
          <w:sz w:val="20"/>
          <w:szCs w:val="20"/>
          <w:color w:val="auto"/>
        </w:rPr>
      </w:pPr>
    </w:p>
    <w:p>
      <w:pPr>
        <w:ind w:left="1260" w:right="459" w:firstLine="360"/>
        <w:spacing w:after="0" w:line="263" w:lineRule="auto"/>
        <w:rPr>
          <w:sz w:val="20"/>
          <w:szCs w:val="20"/>
          <w:color w:val="auto"/>
        </w:rPr>
      </w:pPr>
      <w:r>
        <w:rPr>
          <w:rFonts w:ascii="Arial" w:cs="Arial" w:eastAsia="Arial" w:hAnsi="Arial"/>
          <w:sz w:val="18"/>
          <w:szCs w:val="18"/>
          <w:color w:val="auto"/>
        </w:rPr>
        <w:t>A prospectus supplement and the accompanying prospectus in electronic format may be made available on a website maintained by Jefferies, and Jefferies may distribute the prospectus supplement and the accompanying prospectus electronically.</w:t>
      </w:r>
    </w:p>
    <w:p>
      <w:pPr>
        <w:sectPr>
          <w:pgSz w:w="11900" w:h="16838" w:orient="portrait"/>
          <w:cols w:equalWidth="0" w:num="1">
            <w:col w:w="9879"/>
          </w:cols>
          <w:pgMar w:left="580" w:top="132" w:right="1440" w:bottom="1440" w:gutter="0" w:footer="0" w:header="0"/>
        </w:sectPr>
      </w:pP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7"/>
          <w:szCs w:val="17"/>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270510</wp:posOffset>
            </wp:positionV>
            <wp:extent cx="68065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7" w:name="page68"/>
    <w:bookmarkEnd w:id="67"/>
    <w:p>
      <w:pPr>
        <w:spacing w:after="0"/>
        <w:rPr>
          <w:rFonts w:ascii="Arial" w:cs="Arial" w:eastAsia="Arial" w:hAnsi="Arial"/>
          <w:sz w:val="14"/>
          <w:szCs w:val="14"/>
          <w:color w:val="003366"/>
        </w:rPr>
      </w:pPr>
      <w:hyperlink w:anchor="page5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LEGAL MATTERS</w:t>
      </w:r>
    </w:p>
    <w:p>
      <w:pPr>
        <w:spacing w:after="0" w:line="148" w:lineRule="exact"/>
        <w:rPr>
          <w:sz w:val="20"/>
          <w:szCs w:val="20"/>
          <w:color w:val="auto"/>
        </w:rPr>
      </w:pPr>
    </w:p>
    <w:p>
      <w:pPr>
        <w:ind w:left="1260" w:right="559" w:firstLine="360"/>
        <w:spacing w:after="0" w:line="263" w:lineRule="auto"/>
        <w:rPr>
          <w:sz w:val="20"/>
          <w:szCs w:val="20"/>
          <w:color w:val="auto"/>
        </w:rPr>
      </w:pPr>
      <w:r>
        <w:rPr>
          <w:rFonts w:ascii="Arial" w:cs="Arial" w:eastAsia="Arial" w:hAnsi="Arial"/>
          <w:sz w:val="18"/>
          <w:szCs w:val="18"/>
          <w:color w:val="auto"/>
        </w:rPr>
        <w:t>Latham &amp; Watkins LLP will pass upon certain legal matters relating to the issuance and sale of the securities offered hereby on behalf of Verona Pharma plc. Jefferies LLC is being represented in connection with this offering by Cooley LLP, New York, New York.</w:t>
      </w:r>
    </w:p>
    <w:p>
      <w:pPr>
        <w:spacing w:after="0" w:line="180" w:lineRule="exact"/>
        <w:rPr>
          <w:sz w:val="20"/>
          <w:szCs w:val="20"/>
          <w:color w:val="auto"/>
        </w:rPr>
      </w:pPr>
    </w:p>
    <w:p>
      <w:pPr>
        <w:jc w:val="center"/>
        <w:ind w:right="-840"/>
        <w:spacing w:after="0"/>
        <w:rPr>
          <w:sz w:val="20"/>
          <w:szCs w:val="20"/>
          <w:color w:val="auto"/>
        </w:rPr>
      </w:pPr>
      <w:r>
        <w:rPr>
          <w:rFonts w:ascii="Arial" w:cs="Arial" w:eastAsia="Arial" w:hAnsi="Arial"/>
          <w:sz w:val="18"/>
          <w:szCs w:val="18"/>
          <w:b w:val="1"/>
          <w:bCs w:val="1"/>
          <w:color w:val="auto"/>
        </w:rPr>
        <w:t>EXPERTS</w:t>
      </w:r>
    </w:p>
    <w:p>
      <w:pPr>
        <w:spacing w:after="0" w:line="162" w:lineRule="exact"/>
        <w:rPr>
          <w:sz w:val="20"/>
          <w:szCs w:val="20"/>
          <w:color w:val="auto"/>
        </w:rPr>
      </w:pPr>
    </w:p>
    <w:p>
      <w:pPr>
        <w:ind w:left="1260" w:right="519" w:firstLine="360"/>
        <w:spacing w:after="0" w:line="259" w:lineRule="auto"/>
        <w:rPr>
          <w:rFonts w:ascii="Arial" w:cs="Arial" w:eastAsia="Arial" w:hAnsi="Arial"/>
          <w:sz w:val="18"/>
          <w:szCs w:val="18"/>
          <w:color w:val="0000EE"/>
        </w:rPr>
      </w:pPr>
      <w:hyperlink r:id="rId22">
        <w:r>
          <w:rPr>
            <w:rFonts w:ascii="Arial" w:cs="Arial" w:eastAsia="Arial" w:hAnsi="Arial"/>
            <w:sz w:val="18"/>
            <w:szCs w:val="18"/>
            <w:color w:val="auto"/>
          </w:rPr>
          <w:t xml:space="preserve">The financial statements incorporated in this prospectus supplement by reference to the </w:t>
        </w:r>
        <w:r>
          <w:rPr>
            <w:rFonts w:ascii="Arial" w:cs="Arial" w:eastAsia="Arial" w:hAnsi="Arial"/>
            <w:sz w:val="18"/>
            <w:szCs w:val="18"/>
            <w:u w:val="single" w:color="auto"/>
            <w:color w:val="0000EE"/>
          </w:rPr>
          <w:t>Annual Report</w:t>
        </w:r>
      </w:hyperlink>
      <w:r>
        <w:rPr>
          <w:rFonts w:ascii="Arial" w:cs="Arial" w:eastAsia="Arial" w:hAnsi="Arial"/>
          <w:sz w:val="18"/>
          <w:szCs w:val="18"/>
          <w:color w:val="auto"/>
        </w:rPr>
        <w:t xml:space="preserve"> </w:t>
      </w:r>
      <w:hyperlink r:id="rId22">
        <w:r>
          <w:rPr>
            <w:rFonts w:ascii="Arial" w:cs="Arial" w:eastAsia="Arial" w:hAnsi="Arial"/>
            <w:sz w:val="18"/>
            <w:szCs w:val="18"/>
            <w:u w:val="single" w:color="auto"/>
            <w:color w:val="0000EE"/>
          </w:rPr>
          <w:t>on Form 10-K for the year ended December 31, 2020</w:t>
        </w:r>
        <w:r>
          <w:rPr>
            <w:rFonts w:ascii="Arial" w:cs="Arial" w:eastAsia="Arial" w:hAnsi="Arial"/>
            <w:sz w:val="18"/>
            <w:szCs w:val="18"/>
            <w:color w:val="0000EE"/>
          </w:rPr>
          <w:t xml:space="preserve"> </w:t>
        </w:r>
        <w:r>
          <w:rPr>
            <w:rFonts w:ascii="Arial" w:cs="Arial" w:eastAsia="Arial" w:hAnsi="Arial"/>
            <w:sz w:val="18"/>
            <w:szCs w:val="18"/>
            <w:color w:val="000000"/>
          </w:rPr>
          <w:t>have been so incorporated in reliance on the report of</w:t>
        </w:r>
      </w:hyperlink>
      <w:r>
        <w:rPr>
          <w:rFonts w:ascii="Arial" w:cs="Arial" w:eastAsia="Arial" w:hAnsi="Arial"/>
          <w:sz w:val="18"/>
          <w:szCs w:val="18"/>
          <w:color w:val="0000EE"/>
        </w:rPr>
        <w:t xml:space="preserve"> </w:t>
      </w:r>
      <w:r>
        <w:rPr>
          <w:rFonts w:ascii="Arial" w:cs="Arial" w:eastAsia="Arial" w:hAnsi="Arial"/>
          <w:sz w:val="18"/>
          <w:szCs w:val="18"/>
          <w:color w:val="000000"/>
        </w:rPr>
        <w:t>PricewaterhouseCoopers LLP, an independent registered public accounting firm, given on the authority of said firm as experts in auditing and accounting.</w:t>
      </w:r>
    </w:p>
    <w:p>
      <w:pPr>
        <w:spacing w:after="0" w:line="119" w:lineRule="exact"/>
        <w:rPr>
          <w:sz w:val="20"/>
          <w:szCs w:val="20"/>
          <w:color w:val="auto"/>
        </w:rPr>
      </w:pPr>
    </w:p>
    <w:p>
      <w:pPr>
        <w:ind w:left="1260" w:right="839" w:firstLine="360"/>
        <w:spacing w:after="0" w:line="277" w:lineRule="auto"/>
        <w:rPr>
          <w:sz w:val="20"/>
          <w:szCs w:val="20"/>
          <w:color w:val="auto"/>
        </w:rPr>
      </w:pPr>
      <w:r>
        <w:rPr>
          <w:rFonts w:ascii="Arial" w:cs="Arial" w:eastAsia="Arial" w:hAnsi="Arial"/>
          <w:sz w:val="18"/>
          <w:szCs w:val="18"/>
          <w:color w:val="auto"/>
        </w:rPr>
        <w:t>The registered business address of PricewaterhouseCoopers LLP is 1 Embankment Place, London, WC2N 6RH,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68" w:name="page69"/>
    <w:bookmarkEnd w:id="68"/>
    <w:p>
      <w:pPr>
        <w:spacing w:after="0"/>
        <w:rPr>
          <w:rFonts w:ascii="Arial" w:cs="Arial" w:eastAsia="Arial" w:hAnsi="Arial"/>
          <w:sz w:val="14"/>
          <w:szCs w:val="14"/>
          <w:color w:val="003366"/>
        </w:rPr>
      </w:pPr>
      <w:hyperlink w:anchor="page54">
        <w:r>
          <w:rPr>
            <w:rFonts w:ascii="Arial" w:cs="Arial" w:eastAsia="Arial" w:hAnsi="Arial"/>
            <w:sz w:val="14"/>
            <w:szCs w:val="14"/>
            <w:color w:val="003366"/>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306070</wp:posOffset>
            </wp:positionV>
            <wp:extent cx="521208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365760</wp:posOffset>
            </wp:positionV>
            <wp:extent cx="52120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5212080" cy="8255"/>
                    </a:xfrm>
                    <a:prstGeom prst="rect">
                      <a:avLst/>
                    </a:prstGeom>
                    <a:noFill/>
                  </pic:spPr>
                </pic:pic>
              </a:graphicData>
            </a:graphic>
          </wp:anchor>
        </w:drawing>
        <w:drawing>
          <wp:anchor simplePos="0" relativeHeight="251657728" behindDoc="1" locked="0" layoutInCell="0" allowOverlap="1">
            <wp:simplePos x="0" y="0"/>
            <wp:positionH relativeFrom="column">
              <wp:posOffset>2566035</wp:posOffset>
            </wp:positionH>
            <wp:positionV relativeFrom="paragraph">
              <wp:posOffset>1223010</wp:posOffset>
            </wp:positionV>
            <wp:extent cx="1688465" cy="651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1688465" cy="651510"/>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4380"/>
        <w:spacing w:after="0"/>
        <w:rPr>
          <w:sz w:val="20"/>
          <w:szCs w:val="20"/>
          <w:color w:val="auto"/>
        </w:rPr>
      </w:pPr>
      <w:r>
        <w:rPr>
          <w:rFonts w:ascii="Arial" w:cs="Arial" w:eastAsia="Arial" w:hAnsi="Arial"/>
          <w:sz w:val="25"/>
          <w:szCs w:val="25"/>
          <w:b w:val="1"/>
          <w:bCs w:val="1"/>
          <w:color w:val="auto"/>
        </w:rPr>
        <w:t>Up to $100,000,000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820"/>
        <w:spacing w:after="0"/>
        <w:rPr>
          <w:sz w:val="20"/>
          <w:szCs w:val="20"/>
          <w:color w:val="auto"/>
        </w:rPr>
      </w:pPr>
      <w:r>
        <w:rPr>
          <w:rFonts w:ascii="Arial" w:cs="Arial" w:eastAsia="Arial" w:hAnsi="Arial"/>
          <w:sz w:val="22"/>
          <w:szCs w:val="22"/>
          <w:b w:val="1"/>
          <w:bCs w:val="1"/>
          <w:color w:val="auto"/>
        </w:rPr>
        <w:t>Ordinary Shares</w:t>
      </w:r>
    </w:p>
    <w:p>
      <w:pPr>
        <w:spacing w:after="0" w:line="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 the Form of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247650</wp:posOffset>
            </wp:positionV>
            <wp:extent cx="123444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39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276860</wp:posOffset>
            </wp:positionV>
            <wp:extent cx="123444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800"/>
        <w:spacing w:after="0"/>
        <w:rPr>
          <w:sz w:val="20"/>
          <w:szCs w:val="20"/>
          <w:color w:val="auto"/>
        </w:rPr>
      </w:pPr>
      <w:r>
        <w:rPr>
          <w:rFonts w:ascii="Arial" w:cs="Arial" w:eastAsia="Arial" w:hAnsi="Arial"/>
          <w:sz w:val="32"/>
          <w:szCs w:val="32"/>
          <w:b w:val="1"/>
          <w:bCs w:val="1"/>
          <w:color w:val="auto"/>
        </w:rPr>
        <w:t>Jefferies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238125</wp:posOffset>
            </wp:positionV>
            <wp:extent cx="123444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1140460</wp:posOffset>
            </wp:positionV>
            <wp:extent cx="52120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521208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1183005</wp:posOffset>
            </wp:positionV>
            <wp:extent cx="521208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5212080" cy="260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2503170</wp:posOffset>
            </wp:positionV>
            <wp:extent cx="68065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69" w:name="page70"/>
    <w:bookmarkEnd w:id="69"/>
    <w:p>
      <w:pPr>
        <w:spacing w:after="0"/>
        <w:rPr>
          <w:rFonts w:ascii="Arial" w:cs="Arial" w:eastAsia="Arial" w:hAnsi="Arial"/>
          <w:sz w:val="14"/>
          <w:szCs w:val="14"/>
          <w:color w:val="003366"/>
        </w:rPr>
      </w:pPr>
      <w:hyperlink w:anchor="page5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PART II</w:t>
      </w:r>
    </w:p>
    <w:p>
      <w:pPr>
        <w:spacing w:after="0" w:line="16"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92"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Other Expenses of Issuance and Distribution</w:t>
      </w:r>
    </w:p>
    <w:p>
      <w:pPr>
        <w:spacing w:after="0" w:line="148" w:lineRule="exact"/>
        <w:rPr>
          <w:sz w:val="20"/>
          <w:szCs w:val="20"/>
          <w:color w:val="auto"/>
        </w:rPr>
      </w:pPr>
    </w:p>
    <w:p>
      <w:pPr>
        <w:ind w:left="1260" w:right="459" w:firstLine="360"/>
        <w:spacing w:after="0" w:line="248" w:lineRule="auto"/>
        <w:rPr>
          <w:sz w:val="20"/>
          <w:szCs w:val="20"/>
          <w:color w:val="auto"/>
        </w:rPr>
      </w:pPr>
      <w:r>
        <w:rPr>
          <w:rFonts w:ascii="Arial" w:cs="Arial" w:eastAsia="Arial" w:hAnsi="Arial"/>
          <w:sz w:val="18"/>
          <w:szCs w:val="18"/>
          <w:color w:val="auto"/>
        </w:rPr>
        <w:t>The following is an estimate, other than with respect to the SEC registration fee, of the expenses (all of which are to be paid by the registrant) that we may incur in connection with the securities being registered hereby.</w:t>
      </w:r>
    </w:p>
    <w:p>
      <w:pPr>
        <w:spacing w:after="0" w:line="151"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360" w:type="dxa"/>
            <w:vAlign w:val="bottom"/>
          </w:tcPr>
          <w:p>
            <w:pPr>
              <w:spacing w:after="0"/>
              <w:rPr>
                <w:sz w:val="17"/>
                <w:szCs w:val="17"/>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w w:val="89"/>
              </w:rPr>
              <w:t>$27,275</w:t>
            </w: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162"/>
        </w:trPr>
        <w:tc>
          <w:tcPr>
            <w:tcW w:w="7240" w:type="dxa"/>
            <w:vAlign w:val="bottom"/>
            <w:gridSpan w:val="3"/>
            <w:vMerge w:val="restart"/>
          </w:tcPr>
          <w:p>
            <w:pPr>
              <w:ind w:left="360"/>
              <w:spacing w:after="0"/>
              <w:rPr>
                <w:sz w:val="20"/>
                <w:szCs w:val="20"/>
                <w:color w:val="auto"/>
              </w:rPr>
            </w:pPr>
            <w:r>
              <w:rPr>
                <w:rFonts w:ascii="Arial" w:cs="Arial" w:eastAsia="Arial" w:hAnsi="Arial"/>
                <w:sz w:val="18"/>
                <w:szCs w:val="18"/>
                <w:color w:val="auto"/>
              </w:rPr>
              <w:t>FINRA filing fee</w:t>
            </w:r>
          </w:p>
        </w:tc>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7240" w:type="dxa"/>
            <w:vAlign w:val="bottom"/>
            <w:gridSpan w:val="3"/>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8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Printing expenses</w:t>
            </w:r>
          </w:p>
        </w:tc>
        <w:tc>
          <w:tcPr>
            <w:tcW w:w="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6880" w:type="dxa"/>
            <w:vAlign w:val="bottom"/>
            <w:gridSpan w:val="2"/>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162"/>
        </w:trPr>
        <w:tc>
          <w:tcPr>
            <w:tcW w:w="7240" w:type="dxa"/>
            <w:vAlign w:val="bottom"/>
            <w:gridSpan w:val="3"/>
            <w:vMerge w:val="restart"/>
          </w:tcPr>
          <w:p>
            <w:pPr>
              <w:ind w:left="360"/>
              <w:spacing w:after="0"/>
              <w:rPr>
                <w:sz w:val="20"/>
                <w:szCs w:val="20"/>
                <w:color w:val="auto"/>
              </w:rPr>
            </w:pPr>
            <w:r>
              <w:rPr>
                <w:rFonts w:ascii="Arial" w:cs="Arial" w:eastAsia="Arial" w:hAnsi="Arial"/>
                <w:sz w:val="18"/>
                <w:szCs w:val="18"/>
                <w:color w:val="auto"/>
              </w:rPr>
              <w:t>Legal fees and expenses</w:t>
            </w:r>
          </w:p>
        </w:tc>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7240" w:type="dxa"/>
            <w:vAlign w:val="bottom"/>
            <w:gridSpan w:val="3"/>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8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6880" w:type="dxa"/>
            <w:vAlign w:val="bottom"/>
            <w:gridSpan w:val="2"/>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161"/>
        </w:trPr>
        <w:tc>
          <w:tcPr>
            <w:tcW w:w="7240" w:type="dxa"/>
            <w:vAlign w:val="bottom"/>
            <w:gridSpan w:val="3"/>
            <w:vMerge w:val="restart"/>
          </w:tcPr>
          <w:p>
            <w:pPr>
              <w:ind w:left="360"/>
              <w:spacing w:after="0"/>
              <w:rPr>
                <w:sz w:val="20"/>
                <w:szCs w:val="20"/>
                <w:color w:val="auto"/>
              </w:rPr>
            </w:pPr>
            <w:r>
              <w:rPr>
                <w:rFonts w:ascii="Arial" w:cs="Arial" w:eastAsia="Arial" w:hAnsi="Arial"/>
                <w:sz w:val="18"/>
                <w:szCs w:val="18"/>
                <w:color w:val="auto"/>
              </w:rPr>
              <w:t>Blue Sky, qualification fees and expenses</w:t>
            </w:r>
          </w:p>
        </w:tc>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7240" w:type="dxa"/>
            <w:vAlign w:val="bottom"/>
            <w:gridSpan w:val="3"/>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162"/>
        </w:trPr>
        <w:tc>
          <w:tcPr>
            <w:tcW w:w="360" w:type="dxa"/>
            <w:vAlign w:val="bottom"/>
          </w:tcPr>
          <w:p>
            <w:pPr>
              <w:spacing w:after="0"/>
              <w:rPr>
                <w:sz w:val="14"/>
                <w:szCs w:val="14"/>
                <w:color w:val="auto"/>
              </w:rPr>
            </w:pPr>
          </w:p>
        </w:tc>
        <w:tc>
          <w:tcPr>
            <w:tcW w:w="68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Depositary fees and expenses</w:t>
            </w:r>
          </w:p>
        </w:tc>
        <w:tc>
          <w:tcPr>
            <w:tcW w:w="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6880" w:type="dxa"/>
            <w:vAlign w:val="bottom"/>
            <w:gridSpan w:val="2"/>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60" w:type="dxa"/>
            <w:vAlign w:val="bottom"/>
            <w:vMerge w:val="restart"/>
          </w:tcPr>
          <w:p>
            <w:pPr>
              <w:jc w:val="right"/>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162"/>
        </w:trPr>
        <w:tc>
          <w:tcPr>
            <w:tcW w:w="7240" w:type="dxa"/>
            <w:vAlign w:val="bottom"/>
            <w:gridSpan w:val="3"/>
            <w:vMerge w:val="restart"/>
          </w:tcPr>
          <w:p>
            <w:pPr>
              <w:ind w:left="360"/>
              <w:spacing w:after="0"/>
              <w:rPr>
                <w:sz w:val="20"/>
                <w:szCs w:val="20"/>
                <w:color w:val="auto"/>
              </w:rPr>
            </w:pPr>
            <w:r>
              <w:rPr>
                <w:rFonts w:ascii="Arial" w:cs="Arial" w:eastAsia="Arial" w:hAnsi="Arial"/>
                <w:sz w:val="18"/>
                <w:szCs w:val="18"/>
                <w:color w:val="auto"/>
              </w:rPr>
              <w:t>Trustee fees and expenses</w:t>
            </w:r>
          </w:p>
        </w:tc>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7240" w:type="dxa"/>
            <w:vAlign w:val="bottom"/>
            <w:gridSpan w:val="3"/>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8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Warrant agent fees and expenses</w:t>
            </w:r>
          </w:p>
        </w:tc>
        <w:tc>
          <w:tcPr>
            <w:tcW w:w="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95"/>
        </w:trPr>
        <w:tc>
          <w:tcPr>
            <w:tcW w:w="360" w:type="dxa"/>
            <w:vAlign w:val="bottom"/>
          </w:tcPr>
          <w:p>
            <w:pPr>
              <w:spacing w:after="0"/>
              <w:rPr>
                <w:sz w:val="8"/>
                <w:szCs w:val="8"/>
                <w:color w:val="auto"/>
              </w:rPr>
            </w:pPr>
          </w:p>
        </w:tc>
        <w:tc>
          <w:tcPr>
            <w:tcW w:w="6880" w:type="dxa"/>
            <w:vAlign w:val="bottom"/>
            <w:gridSpan w:val="2"/>
            <w:vMerge w:val="continue"/>
            <w:shd w:val="clear" w:color="auto" w:fill="CCEEFF"/>
          </w:tcPr>
          <w:p>
            <w:pPr>
              <w:spacing w:after="0"/>
              <w:rPr>
                <w:sz w:val="8"/>
                <w:szCs w:val="8"/>
                <w:color w:val="auto"/>
              </w:rPr>
            </w:pPr>
          </w:p>
        </w:tc>
        <w:tc>
          <w:tcPr>
            <w:tcW w:w="600" w:type="dxa"/>
            <w:vAlign w:val="bottom"/>
            <w:vMerge w:val="continue"/>
            <w:shd w:val="clear" w:color="auto" w:fill="CCEEFF"/>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7240" w:type="dxa"/>
            <w:vAlign w:val="bottom"/>
            <w:gridSpan w:val="3"/>
            <w:vMerge w:val="restart"/>
          </w:tcPr>
          <w:p>
            <w:pPr>
              <w:ind w:left="360"/>
              <w:spacing w:after="0"/>
              <w:rPr>
                <w:sz w:val="20"/>
                <w:szCs w:val="20"/>
                <w:color w:val="auto"/>
              </w:rPr>
            </w:pPr>
            <w:r>
              <w:rPr>
                <w:rFonts w:ascii="Arial" w:cs="Arial" w:eastAsia="Arial" w:hAnsi="Arial"/>
                <w:sz w:val="18"/>
                <w:szCs w:val="18"/>
                <w:color w:val="auto"/>
              </w:rPr>
              <w:t>Miscellaneous</w:t>
            </w:r>
          </w:p>
        </w:tc>
        <w:tc>
          <w:tcPr>
            <w:tcW w:w="600" w:type="dxa"/>
            <w:vAlign w:val="bottom"/>
            <w:vMerge w:val="restart"/>
          </w:tcPr>
          <w:p>
            <w:pPr>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102"/>
        </w:trPr>
        <w:tc>
          <w:tcPr>
            <w:tcW w:w="7240" w:type="dxa"/>
            <w:vAlign w:val="bottom"/>
            <w:gridSpan w:val="3"/>
            <w:vMerge w:val="continue"/>
          </w:tcPr>
          <w:p>
            <w:pPr>
              <w:spacing w:after="0"/>
              <w:rPr>
                <w:sz w:val="8"/>
                <w:szCs w:val="8"/>
                <w:color w:val="auto"/>
              </w:rPr>
            </w:pPr>
          </w:p>
        </w:tc>
        <w:tc>
          <w:tcPr>
            <w:tcW w:w="6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360" w:type="dxa"/>
            <w:vAlign w:val="bottom"/>
          </w:tcPr>
          <w:p>
            <w:pPr>
              <w:spacing w:after="0"/>
              <w:rPr>
                <w:sz w:val="15"/>
                <w:szCs w:val="15"/>
                <w:color w:val="auto"/>
              </w:rPr>
            </w:pPr>
          </w:p>
        </w:tc>
        <w:tc>
          <w:tcPr>
            <w:tcW w:w="6880" w:type="dxa"/>
            <w:vAlign w:val="bottom"/>
            <w:tcBorders>
              <w:top w:val="single" w:sz="8" w:color="CCEEFF"/>
            </w:tcBorders>
            <w:gridSpan w:val="2"/>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w w:val="87"/>
              </w:rPr>
              <w:t>(1)</w:t>
            </w:r>
          </w:p>
        </w:tc>
        <w:tc>
          <w:tcPr>
            <w:tcW w:w="0" w:type="dxa"/>
            <w:vAlign w:val="bottom"/>
          </w:tcPr>
          <w:p>
            <w:pPr>
              <w:spacing w:after="0"/>
              <w:rPr>
                <w:sz w:val="1"/>
                <w:szCs w:val="1"/>
                <w:color w:val="auto"/>
              </w:rPr>
            </w:pPr>
          </w:p>
        </w:tc>
      </w:tr>
      <w:tr>
        <w:trPr>
          <w:trHeight w:val="128"/>
        </w:trPr>
        <w:tc>
          <w:tcPr>
            <w:tcW w:w="360" w:type="dxa"/>
            <w:vAlign w:val="bottom"/>
          </w:tcPr>
          <w:p>
            <w:pPr>
              <w:spacing w:after="0"/>
              <w:rPr>
                <w:sz w:val="11"/>
                <w:szCs w:val="11"/>
                <w:color w:val="auto"/>
              </w:rPr>
            </w:pPr>
          </w:p>
        </w:tc>
        <w:tc>
          <w:tcPr>
            <w:tcW w:w="6880" w:type="dxa"/>
            <w:vAlign w:val="bottom"/>
            <w:tcBorders>
              <w:bottom w:val="single" w:sz="8" w:color="CCEEFF"/>
            </w:tcBorders>
            <w:gridSpan w:val="2"/>
            <w:vMerge w:val="continue"/>
            <w:shd w:val="clear" w:color="auto" w:fill="CCEEFF"/>
          </w:tcPr>
          <w:p>
            <w:pPr>
              <w:spacing w:after="0"/>
              <w:rPr>
                <w:sz w:val="11"/>
                <w:szCs w:val="11"/>
                <w:color w:val="auto"/>
              </w:rPr>
            </w:pPr>
          </w:p>
        </w:tc>
        <w:tc>
          <w:tcPr>
            <w:tcW w:w="600" w:type="dxa"/>
            <w:vAlign w:val="bottom"/>
            <w:tcBorders>
              <w:bottom w:val="single" w:sz="8" w:color="auto"/>
            </w:tcBorders>
            <w:vMerge w:val="continue"/>
            <w:shd w:val="clear" w:color="auto" w:fill="CCEEFF"/>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5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
        </w:trPr>
        <w:tc>
          <w:tcPr>
            <w:tcW w:w="360" w:type="dxa"/>
            <w:vAlign w:val="bottom"/>
            <w:tcBorders>
              <w:bottom w:val="single" w:sz="8" w:color="auto"/>
            </w:tcBorders>
          </w:tcPr>
          <w:p>
            <w:pPr>
              <w:spacing w:after="0"/>
              <w:rPr>
                <w:sz w:val="5"/>
                <w:szCs w:val="5"/>
                <w:color w:val="auto"/>
              </w:rPr>
            </w:pPr>
          </w:p>
        </w:tc>
        <w:tc>
          <w:tcPr>
            <w:tcW w:w="1580" w:type="dxa"/>
            <w:vAlign w:val="bottom"/>
            <w:tcBorders>
              <w:bottom w:val="single" w:sz="8" w:color="auto"/>
            </w:tcBorders>
          </w:tcPr>
          <w:p>
            <w:pPr>
              <w:spacing w:after="0"/>
              <w:rPr>
                <w:sz w:val="5"/>
                <w:szCs w:val="5"/>
                <w:color w:val="auto"/>
              </w:rPr>
            </w:pPr>
          </w:p>
        </w:tc>
        <w:tc>
          <w:tcPr>
            <w:tcW w:w="5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-290830</wp:posOffset>
            </wp:positionV>
            <wp:extent cx="437197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4371975" cy="8255"/>
                    </a:xfrm>
                    <a:prstGeom prst="rect">
                      <a:avLst/>
                    </a:prstGeom>
                    <a:noFill/>
                  </pic:spPr>
                </pic:pic>
              </a:graphicData>
            </a:graphic>
          </wp:anchor>
        </w:drawing>
      </w:r>
    </w:p>
    <w:p>
      <w:pPr>
        <w:spacing w:after="0" w:line="114" w:lineRule="exact"/>
        <w:rPr>
          <w:sz w:val="20"/>
          <w:szCs w:val="20"/>
          <w:color w:val="auto"/>
        </w:rPr>
      </w:pPr>
    </w:p>
    <w:p>
      <w:pPr>
        <w:ind w:left="1620" w:right="579" w:hanging="360"/>
        <w:spacing w:after="0" w:line="277" w:lineRule="auto"/>
        <w:tabs>
          <w:tab w:leader="none" w:pos="16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These fees are calculated based on the securities offered and the number of issuances and accordingly cannot be estimated at this time.</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Indemnification of Directors and Officers</w:t>
      </w:r>
    </w:p>
    <w:p>
      <w:pPr>
        <w:spacing w:after="0" w:line="148" w:lineRule="exact"/>
        <w:rPr>
          <w:sz w:val="20"/>
          <w:szCs w:val="20"/>
          <w:color w:val="auto"/>
        </w:rPr>
      </w:pPr>
    </w:p>
    <w:p>
      <w:pPr>
        <w:ind w:left="1260" w:right="1099" w:firstLine="360"/>
        <w:spacing w:after="0" w:line="261" w:lineRule="auto"/>
        <w:rPr>
          <w:sz w:val="20"/>
          <w:szCs w:val="20"/>
          <w:color w:val="auto"/>
        </w:rPr>
      </w:pPr>
      <w:r>
        <w:rPr>
          <w:rFonts w:ascii="Arial" w:cs="Arial" w:eastAsia="Arial" w:hAnsi="Arial"/>
          <w:sz w:val="18"/>
          <w:szCs w:val="18"/>
          <w:color w:val="auto"/>
        </w:rPr>
        <w:t>Members of the registrant’s board of directors and its officers have the benefit of the following indemnification provisions in the registrant’s articles of association:</w:t>
      </w:r>
    </w:p>
    <w:p>
      <w:pPr>
        <w:spacing w:after="0" w:line="10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Current and former members of the registrant’s board of directors or officers shall be reimbursed for:</w:t>
      </w:r>
    </w:p>
    <w:p>
      <w:pPr>
        <w:spacing w:after="0" w:line="169" w:lineRule="exact"/>
        <w:rPr>
          <w:sz w:val="20"/>
          <w:szCs w:val="20"/>
          <w:color w:val="auto"/>
        </w:rPr>
      </w:pPr>
    </w:p>
    <w:p>
      <w:pPr>
        <w:ind w:left="1980" w:right="799" w:hanging="360"/>
        <w:spacing w:after="0" w:line="263" w:lineRule="auto"/>
        <w:tabs>
          <w:tab w:leader="none" w:pos="1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costs, charges, losses, expenses and liabilities sustained or incurred in relation to his or her actual or purported execution of his or her duties in relation to the registrant, including any liability incurred in defending any criminal or civil proceedings; and</w:t>
      </w:r>
    </w:p>
    <w:p>
      <w:pPr>
        <w:spacing w:after="0" w:line="102" w:lineRule="exact"/>
        <w:rPr>
          <w:rFonts w:ascii="Arial" w:cs="Arial" w:eastAsia="Arial" w:hAnsi="Arial"/>
          <w:sz w:val="18"/>
          <w:szCs w:val="18"/>
          <w:color w:val="auto"/>
        </w:rPr>
      </w:pPr>
    </w:p>
    <w:p>
      <w:pPr>
        <w:ind w:left="1980" w:right="419" w:hanging="360"/>
        <w:spacing w:after="0" w:line="273" w:lineRule="auto"/>
        <w:tabs>
          <w:tab w:leader="none" w:pos="19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expenses incurred or to be incurred in defending any criminal or civil proceedings, in an investigation by a regulatory authority or against a proposed action to be taken by a regulatory authority, or in connection with any application for relief under the statutes of the United Kingdom and any other statutes that concern and affect the registrant as a company, or collectively the Statutes, arising in relation to the registrant or an associated company, by virtue of the actual or purposed execution of the duties of his or her office or the exercise of his or her powers.</w:t>
      </w:r>
    </w:p>
    <w:p>
      <w:pPr>
        <w:spacing w:after="0" w:line="110" w:lineRule="exact"/>
        <w:rPr>
          <w:sz w:val="20"/>
          <w:szCs w:val="20"/>
          <w:color w:val="auto"/>
        </w:rPr>
      </w:pPr>
    </w:p>
    <w:p>
      <w:pPr>
        <w:ind w:left="1260" w:right="419" w:firstLine="360"/>
        <w:spacing w:after="0" w:line="254" w:lineRule="auto"/>
        <w:rPr>
          <w:sz w:val="20"/>
          <w:szCs w:val="20"/>
          <w:color w:val="auto"/>
        </w:rPr>
      </w:pPr>
      <w:r>
        <w:rPr>
          <w:rFonts w:ascii="Arial" w:cs="Arial" w:eastAsia="Arial" w:hAnsi="Arial"/>
          <w:sz w:val="18"/>
          <w:szCs w:val="18"/>
          <w:color w:val="auto"/>
        </w:rPr>
        <w:t>Furthermore, Section 40 of the Articles of Association, adopted by Special Resolution on December 18, 2020 and filed as Exhibit 1 to the Company’s Form 6-K filed on December 30, 2020, provides that the Company may, from time to time and at its discretion, indemnify every director or other officer for any loss, cost, expense or liability incurred in connection with any negligence, default, breach of duty or breach of trust by such person in relation to the Company or such person’s execution of Company duties. This provision also allows the Company to indemnify a director or officer for any liability incurred as the result of defending any actual or threatened criminal, regulatory, or civil proceeding (except, however, that indemnity shall not apply if liability is incurred).</w:t>
      </w:r>
    </w:p>
    <w:p>
      <w:pPr>
        <w:spacing w:after="0" w:line="111" w:lineRule="exact"/>
        <w:rPr>
          <w:sz w:val="20"/>
          <w:szCs w:val="20"/>
          <w:color w:val="auto"/>
        </w:rPr>
      </w:pPr>
    </w:p>
    <w:p>
      <w:pPr>
        <w:ind w:left="1260" w:right="519" w:firstLine="360"/>
        <w:spacing w:after="0" w:line="279" w:lineRule="auto"/>
        <w:rPr>
          <w:sz w:val="20"/>
          <w:szCs w:val="20"/>
          <w:color w:val="auto"/>
        </w:rPr>
      </w:pPr>
      <w:r>
        <w:rPr>
          <w:rFonts w:ascii="Arial" w:cs="Arial" w:eastAsia="Arial" w:hAnsi="Arial"/>
          <w:sz w:val="17"/>
          <w:szCs w:val="17"/>
          <w:color w:val="auto"/>
        </w:rPr>
        <w:t>In the case of current or former members of the registrant’s board of directors, there shall be no entitlement to reimbursement as referred to above for (i) any liability incurred to the registrant or any associated company, (ii) the payment of a fine imposed in any criminal proceeding or a penalty imposed by a regulatory authority for non-compliance with any requirement of a regulatory nature, (iii) the defense of</w:t>
      </w:r>
    </w:p>
    <w:p>
      <w:pPr>
        <w:sectPr>
          <w:pgSz w:w="11900" w:h="16838" w:orient="portrait"/>
          <w:cols w:equalWidth="0" w:num="1">
            <w:col w:w="9879"/>
          </w:cols>
          <w:pgMar w:left="580" w:top="132" w:right="1440" w:bottom="1440" w:gutter="0" w:footer="0" w:header="0"/>
        </w:sectPr>
      </w:pPr>
    </w:p>
    <w:p>
      <w:pPr>
        <w:spacing w:after="0" w:line="360"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0" w:name="page71"/>
    <w:bookmarkEnd w:id="70"/>
    <w:p>
      <w:pPr>
        <w:spacing w:after="0"/>
        <w:rPr>
          <w:rFonts w:ascii="Arial" w:cs="Arial" w:eastAsia="Arial" w:hAnsi="Arial"/>
          <w:sz w:val="14"/>
          <w:szCs w:val="14"/>
          <w:color w:val="003366"/>
        </w:rPr>
      </w:pPr>
      <w:hyperlink w:anchor="page5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60" w:right="540"/>
        <w:spacing w:after="0" w:line="257" w:lineRule="auto"/>
        <w:rPr>
          <w:sz w:val="20"/>
          <w:szCs w:val="20"/>
          <w:color w:val="auto"/>
        </w:rPr>
      </w:pPr>
      <w:r>
        <w:rPr>
          <w:rFonts w:ascii="Arial" w:cs="Arial" w:eastAsia="Arial" w:hAnsi="Arial"/>
          <w:sz w:val="18"/>
          <w:szCs w:val="18"/>
          <w:color w:val="auto"/>
        </w:rPr>
        <w:t>any criminal proceeding if the member of the registrant’s board of directors is convicted, (iv) the defense of any civil proceeding brought by the registrant or an associated company in which judgment is given against the director, and (v) any application for relief under the statutes of the United Kingdom and any other statutes that concern and affect the registrant as a company in which the court refuses to grant relief to the director.</w:t>
      </w:r>
    </w:p>
    <w:p>
      <w:pPr>
        <w:spacing w:after="0" w:line="107" w:lineRule="exact"/>
        <w:rPr>
          <w:sz w:val="20"/>
          <w:szCs w:val="20"/>
          <w:color w:val="auto"/>
        </w:rPr>
      </w:pPr>
    </w:p>
    <w:p>
      <w:pPr>
        <w:ind w:left="1260" w:right="620" w:firstLine="360"/>
        <w:spacing w:after="0" w:line="259" w:lineRule="auto"/>
        <w:rPr>
          <w:sz w:val="20"/>
          <w:szCs w:val="20"/>
          <w:color w:val="auto"/>
        </w:rPr>
      </w:pPr>
      <w:r>
        <w:rPr>
          <w:rFonts w:ascii="Arial" w:cs="Arial" w:eastAsia="Arial" w:hAnsi="Arial"/>
          <w:sz w:val="18"/>
          <w:szCs w:val="18"/>
          <w:color w:val="auto"/>
        </w:rPr>
        <w:t>In addition, members of the registrant’s board of directors and its officers who have received payment from the registrant under these indemnification provisions must repay the amount they received in accordance with the Statutes or in any other circumstances that the registrant may prescribe or where the registrant has reserved the right to require repayment.</w:t>
      </w:r>
    </w:p>
    <w:p>
      <w:pPr>
        <w:spacing w:after="0" w:line="119" w:lineRule="exact"/>
        <w:rPr>
          <w:sz w:val="20"/>
          <w:szCs w:val="20"/>
          <w:color w:val="auto"/>
        </w:rPr>
      </w:pPr>
    </w:p>
    <w:p>
      <w:pPr>
        <w:ind w:left="1260" w:right="520" w:firstLine="360"/>
        <w:spacing w:after="0" w:line="272" w:lineRule="auto"/>
        <w:rPr>
          <w:sz w:val="20"/>
          <w:szCs w:val="20"/>
          <w:color w:val="auto"/>
        </w:rPr>
      </w:pPr>
      <w:r>
        <w:rPr>
          <w:rFonts w:ascii="Arial" w:cs="Arial" w:eastAsia="Arial" w:hAnsi="Arial"/>
          <w:sz w:val="17"/>
          <w:szCs w:val="17"/>
          <w:color w:val="auto"/>
        </w:rPr>
        <w:t>The registrant has also entered into indemnification agreements with each member of its board of directors and its executive officers. These indemnification agreements require the registrant, among other things, to indemnify its directors and executive officers with respect to any claims, actions and proceedings, whether civil, criminal or regulatory, or, collectively the Claims, and any losses, damages, penalties, liabilities, compensation or other awards arising in connection with an such Claims, arising out of, or in connection with, his or her service as a director or executive officer, subject to certain limitations. The registrant also maintains liability insurance for its directors and executive officers.</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w w:val="95"/>
              </w:rPr>
              <w:t>Item 16.</w:t>
            </w:r>
          </w:p>
        </w:tc>
        <w:tc>
          <w:tcPr>
            <w:tcW w:w="8020" w:type="dxa"/>
            <w:vAlign w:val="bottom"/>
            <w:gridSpan w:val="15"/>
          </w:tcPr>
          <w:p>
            <w:pPr>
              <w:ind w:left="60"/>
              <w:spacing w:after="0"/>
              <w:rPr>
                <w:sz w:val="20"/>
                <w:szCs w:val="20"/>
                <w:color w:val="auto"/>
              </w:rPr>
            </w:pPr>
            <w:r>
              <w:rPr>
                <w:rFonts w:ascii="Arial" w:cs="Arial" w:eastAsia="Arial" w:hAnsi="Arial"/>
                <w:sz w:val="18"/>
                <w:szCs w:val="18"/>
                <w:b w:val="1"/>
                <w:bCs w:val="1"/>
                <w:i w:val="1"/>
                <w:iCs w:val="1"/>
                <w:color w:val="auto"/>
              </w:rPr>
              <w:t>Exhibits</w:t>
            </w:r>
          </w:p>
        </w:tc>
      </w:tr>
      <w:tr>
        <w:trPr>
          <w:trHeight w:val="315"/>
        </w:trPr>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6"/>
        </w:trPr>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800" w:type="dxa"/>
            <w:vAlign w:val="bottom"/>
            <w:gridSpan w:val="11"/>
          </w:tcPr>
          <w:p>
            <w:pPr>
              <w:ind w:left="48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239"/>
        </w:trPr>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960" w:type="dxa"/>
            <w:vAlign w:val="bottom"/>
            <w:gridSpan w:val="14"/>
          </w:tcPr>
          <w:p>
            <w:pPr>
              <w:spacing w:after="0"/>
              <w:rPr>
                <w:sz w:val="20"/>
                <w:szCs w:val="20"/>
                <w:color w:val="auto"/>
              </w:rPr>
            </w:pPr>
            <w:r>
              <w:rPr>
                <w:rFonts w:ascii="Arial" w:cs="Arial" w:eastAsia="Arial" w:hAnsi="Arial"/>
                <w:sz w:val="18"/>
                <w:szCs w:val="18"/>
                <w:color w:val="auto"/>
              </w:rPr>
              <w:t>Form of Underwriting Agreement.</w:t>
            </w:r>
          </w:p>
        </w:tc>
      </w:tr>
      <w:tr>
        <w:trPr>
          <w:trHeight w:val="213"/>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960" w:type="dxa"/>
            <w:vAlign w:val="bottom"/>
            <w:gridSpan w:val="14"/>
          </w:tcPr>
          <w:p>
            <w:pPr>
              <w:spacing w:after="0" w:line="213" w:lineRule="exact"/>
              <w:rPr>
                <w:rFonts w:ascii="Arial" w:cs="Arial" w:eastAsia="Arial" w:hAnsi="Arial"/>
                <w:sz w:val="17"/>
                <w:szCs w:val="17"/>
                <w:color w:val="0000EE"/>
              </w:rPr>
            </w:pPr>
            <w:hyperlink w:anchor="page77">
              <w:r>
                <w:rPr>
                  <w:rFonts w:ascii="Arial" w:cs="Arial" w:eastAsia="Arial" w:hAnsi="Arial"/>
                  <w:sz w:val="17"/>
                  <w:szCs w:val="17"/>
                  <w:u w:val="single" w:color="auto"/>
                  <w:color w:val="0000EE"/>
                </w:rPr>
                <w:t>Open Market Sale Agreement</w:t>
              </w:r>
              <w:r>
                <w:rPr>
                  <w:rFonts w:ascii="Arial" w:cs="Arial" w:eastAsia="Arial" w:hAnsi="Arial"/>
                  <w:sz w:val="24"/>
                  <w:szCs w:val="24"/>
                  <w:u w:val="single" w:color="auto"/>
                  <w:color w:val="0000EE"/>
                  <w:vertAlign w:val="superscript"/>
                </w:rPr>
                <w:t>SM</w:t>
              </w:r>
              <w:r>
                <w:rPr>
                  <w:rFonts w:ascii="Arial" w:cs="Arial" w:eastAsia="Arial" w:hAnsi="Arial"/>
                  <w:sz w:val="17"/>
                  <w:szCs w:val="17"/>
                  <w:color w:val="0000EE"/>
                </w:rPr>
                <w:t>, dated as of March 19, 2021, between Verona Pharma plc and Jefferies</w:t>
              </w:r>
            </w:hyperlink>
          </w:p>
        </w:tc>
      </w:tr>
      <w:tr>
        <w:trPr>
          <w:trHeight w:val="209"/>
        </w:trPr>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60" w:type="dxa"/>
            <w:vAlign w:val="bottom"/>
            <w:gridSpan w:val="2"/>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LLC.</w:t>
              </w:r>
            </w:hyperlink>
          </w:p>
        </w:tc>
        <w:tc>
          <w:tcPr>
            <w:tcW w:w="5360" w:type="dxa"/>
            <w:vAlign w:val="bottom"/>
            <w:tcBorders>
              <w:top w:val="single" w:sz="8" w:color="0000EE"/>
            </w:tcBorders>
            <w:gridSpan w:val="9"/>
          </w:tcPr>
          <w:p>
            <w:pPr>
              <w:spacing w:after="0"/>
              <w:rPr>
                <w:sz w:val="18"/>
                <w:szCs w:val="18"/>
                <w:color w:val="auto"/>
              </w:rPr>
            </w:pPr>
          </w:p>
        </w:tc>
        <w:tc>
          <w:tcPr>
            <w:tcW w:w="140" w:type="dxa"/>
            <w:vAlign w:val="bottom"/>
            <w:gridSpan w:val="3"/>
          </w:tcPr>
          <w:p>
            <w:pPr>
              <w:spacing w:after="0"/>
              <w:rPr>
                <w:sz w:val="18"/>
                <w:szCs w:val="18"/>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76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880" w:type="dxa"/>
            <w:vAlign w:val="bottom"/>
            <w:tcBorders>
              <w:bottom w:val="single" w:sz="8" w:color="0000EE"/>
            </w:tcBorders>
            <w:gridSpan w:val="12"/>
          </w:tcPr>
          <w:p>
            <w:pPr>
              <w:spacing w:after="0"/>
              <w:rPr>
                <w:rFonts w:ascii="Arial" w:cs="Arial" w:eastAsia="Arial" w:hAnsi="Arial"/>
                <w:sz w:val="18"/>
                <w:szCs w:val="18"/>
                <w:color w:val="0000EE"/>
                <w:w w:val="95"/>
              </w:rPr>
            </w:pPr>
            <w:hyperlink r:id="rId115">
              <w:r>
                <w:rPr>
                  <w:rFonts w:ascii="Arial" w:cs="Arial" w:eastAsia="Arial" w:hAnsi="Arial"/>
                  <w:sz w:val="18"/>
                  <w:szCs w:val="18"/>
                  <w:color w:val="0000EE"/>
                  <w:w w:val="95"/>
                </w:rPr>
                <w:t>Articles of Association of Verona Pharma plc, as amended (incorporated by reference to Exhibit 1 to the</w:t>
              </w:r>
            </w:hyperlink>
          </w:p>
        </w:tc>
        <w:tc>
          <w:tcPr>
            <w:tcW w:w="80" w:type="dxa"/>
            <w:vAlign w:val="bottom"/>
            <w:gridSpan w:val="2"/>
          </w:tcPr>
          <w:p>
            <w:pPr>
              <w:spacing w:after="0"/>
              <w:rPr>
                <w:sz w:val="20"/>
                <w:szCs w:val="20"/>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960" w:type="dxa"/>
            <w:vAlign w:val="bottom"/>
            <w:gridSpan w:val="14"/>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Company’s Report on Form 6-K filed on December 30, 2020 (File No. 001-38067).</w:t>
              </w:r>
            </w:hyperlink>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960" w:type="dxa"/>
            <w:vAlign w:val="bottom"/>
            <w:gridSpan w:val="14"/>
          </w:tcPr>
          <w:p>
            <w:pPr>
              <w:spacing w:after="0"/>
              <w:rPr>
                <w:rFonts w:ascii="Arial" w:cs="Arial" w:eastAsia="Arial" w:hAnsi="Arial"/>
                <w:sz w:val="18"/>
                <w:szCs w:val="18"/>
                <w:color w:val="0000EE"/>
              </w:rPr>
            </w:pPr>
            <w:hyperlink r:id="rId116">
              <w:r>
                <w:rPr>
                  <w:rFonts w:ascii="Arial" w:cs="Arial" w:eastAsia="Arial" w:hAnsi="Arial"/>
                  <w:sz w:val="18"/>
                  <w:szCs w:val="18"/>
                  <w:color w:val="0000EE"/>
                </w:rPr>
                <w:t>Deposit Agreement, dated as of May 2, 2017, by and among Verona Pharma plc, Citibank N.A., as</w:t>
              </w:r>
            </w:hyperlink>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28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960" w:type="dxa"/>
            <w:vAlign w:val="bottom"/>
            <w:gridSpan w:val="14"/>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depositary, and all holders and beneficial owners of American Depositary Shares issued thereunder</w:t>
              </w:r>
            </w:hyperlink>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3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6"/>
              </w:rPr>
            </w:pPr>
            <w:hyperlink r:id="rId116">
              <w:r>
                <w:rPr>
                  <w:rFonts w:ascii="Arial" w:cs="Arial" w:eastAsia="Arial" w:hAnsi="Arial"/>
                  <w:sz w:val="18"/>
                  <w:szCs w:val="18"/>
                  <w:color w:val="0000EE"/>
                  <w:w w:val="96"/>
                </w:rPr>
                <w:t>(incorporated by reference to Exhibit 2.1 to the Company’s Annual Report on Form 20-F filed on</w:t>
              </w:r>
            </w:hyperlink>
          </w:p>
        </w:tc>
        <w:tc>
          <w:tcPr>
            <w:tcW w:w="120" w:type="dxa"/>
            <w:vAlign w:val="bottom"/>
            <w:tcBorders>
              <w:top w:val="single" w:sz="8" w:color="0000EE"/>
            </w:tcBorders>
            <w:gridSpan w:val="2"/>
          </w:tcPr>
          <w:p>
            <w:pPr>
              <w:spacing w:after="0"/>
              <w:rPr>
                <w:sz w:val="17"/>
                <w:szCs w:val="17"/>
                <w:color w:val="auto"/>
              </w:rPr>
            </w:pPr>
          </w:p>
        </w:tc>
        <w:tc>
          <w:tcPr>
            <w:tcW w:w="480" w:type="dxa"/>
            <w:vAlign w:val="bottom"/>
            <w:gridSpan w:val="6"/>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160" w:type="dxa"/>
            <w:vAlign w:val="bottom"/>
            <w:tcBorders>
              <w:bottom w:val="single" w:sz="8" w:color="0000EE"/>
            </w:tcBorders>
            <w:gridSpan w:val="3"/>
          </w:tcPr>
          <w:p>
            <w:pPr>
              <w:spacing w:after="0" w:line="196" w:lineRule="exact"/>
              <w:rPr>
                <w:rFonts w:ascii="Arial" w:cs="Arial" w:eastAsia="Arial" w:hAnsi="Arial"/>
                <w:sz w:val="18"/>
                <w:szCs w:val="18"/>
                <w:color w:val="0000EE"/>
                <w:w w:val="95"/>
              </w:rPr>
            </w:pPr>
            <w:hyperlink r:id="rId116">
              <w:r>
                <w:rPr>
                  <w:rFonts w:ascii="Arial" w:cs="Arial" w:eastAsia="Arial" w:hAnsi="Arial"/>
                  <w:sz w:val="18"/>
                  <w:szCs w:val="18"/>
                  <w:color w:val="0000EE"/>
                  <w:w w:val="95"/>
                </w:rPr>
                <w:t>February 27, 2018) (File No. 001-38067).</w:t>
              </w:r>
            </w:hyperlink>
          </w:p>
        </w:tc>
        <w:tc>
          <w:tcPr>
            <w:tcW w:w="4800" w:type="dxa"/>
            <w:vAlign w:val="bottom"/>
            <w:gridSpan w:val="11"/>
          </w:tcPr>
          <w:p>
            <w:pPr>
              <w:spacing w:after="0"/>
              <w:rPr>
                <w:sz w:val="17"/>
                <w:szCs w:val="17"/>
                <w:color w:val="auto"/>
              </w:rPr>
            </w:pPr>
          </w:p>
        </w:tc>
      </w:tr>
      <w:tr>
        <w:trPr>
          <w:trHeight w:val="291"/>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960" w:type="dxa"/>
            <w:vAlign w:val="bottom"/>
            <w:gridSpan w:val="14"/>
          </w:tcPr>
          <w:p>
            <w:pPr>
              <w:spacing w:after="0"/>
              <w:rPr>
                <w:rFonts w:ascii="Arial" w:cs="Arial" w:eastAsia="Arial" w:hAnsi="Arial"/>
                <w:sz w:val="18"/>
                <w:szCs w:val="18"/>
                <w:u w:val="single" w:color="auto"/>
                <w:color w:val="0000EE"/>
              </w:rPr>
            </w:pPr>
            <w:hyperlink r:id="rId116">
              <w:r>
                <w:rPr>
                  <w:rFonts w:ascii="Arial" w:cs="Arial" w:eastAsia="Arial" w:hAnsi="Arial"/>
                  <w:sz w:val="18"/>
                  <w:szCs w:val="18"/>
                  <w:u w:val="single" w:color="auto"/>
                  <w:color w:val="0000EE"/>
                </w:rPr>
                <w:t>Form of American Depositary Receipt (included in Exhibit 4.1)</w:t>
              </w:r>
            </w:hyperlink>
          </w:p>
        </w:tc>
      </w:tr>
      <w:tr>
        <w:trPr>
          <w:trHeight w:val="202"/>
        </w:trPr>
        <w:tc>
          <w:tcPr>
            <w:tcW w:w="520" w:type="dxa"/>
            <w:vAlign w:val="bottom"/>
          </w:tcPr>
          <w:p>
            <w:pPr>
              <w:jc w:val="right"/>
              <w:ind w:right="12"/>
              <w:spacing w:after="0" w:line="202" w:lineRule="exact"/>
              <w:rPr>
                <w:sz w:val="20"/>
                <w:szCs w:val="20"/>
                <w:color w:val="auto"/>
              </w:rPr>
            </w:pPr>
            <w:r>
              <w:rPr>
                <w:rFonts w:ascii="Arial" w:cs="Arial" w:eastAsia="Arial" w:hAnsi="Arial"/>
                <w:sz w:val="18"/>
                <w:szCs w:val="18"/>
                <w:color w:val="auto"/>
              </w:rPr>
              <w:t>4.3</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700" w:type="dxa"/>
            <w:vAlign w:val="bottom"/>
            <w:tcBorders>
              <w:bottom w:val="single" w:sz="8" w:color="0000EE"/>
            </w:tcBorders>
            <w:gridSpan w:val="10"/>
          </w:tcPr>
          <w:p>
            <w:pPr>
              <w:spacing w:after="0" w:line="202" w:lineRule="exact"/>
              <w:rPr>
                <w:rFonts w:ascii="Arial" w:cs="Arial" w:eastAsia="Arial" w:hAnsi="Arial"/>
                <w:sz w:val="18"/>
                <w:szCs w:val="18"/>
                <w:color w:val="0000EE"/>
                <w:w w:val="93"/>
              </w:rPr>
            </w:pPr>
            <w:hyperlink r:id="rId117">
              <w:r>
                <w:rPr>
                  <w:rFonts w:ascii="Arial" w:cs="Arial" w:eastAsia="Arial" w:hAnsi="Arial"/>
                  <w:sz w:val="18"/>
                  <w:szCs w:val="18"/>
                  <w:color w:val="0000EE"/>
                  <w:w w:val="93"/>
                </w:rPr>
                <w:t>Registration Rights Agreement, dated as of July 29, 2016, by and between Verona Pharma plc and the</w:t>
              </w:r>
            </w:hyperlink>
          </w:p>
        </w:tc>
        <w:tc>
          <w:tcPr>
            <w:tcW w:w="260" w:type="dxa"/>
            <w:vAlign w:val="bottom"/>
            <w:gridSpan w:val="4"/>
          </w:tcPr>
          <w:p>
            <w:pPr>
              <w:spacing w:after="0"/>
              <w:rPr>
                <w:sz w:val="17"/>
                <w:szCs w:val="17"/>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960" w:type="dxa"/>
            <w:vAlign w:val="bottom"/>
            <w:gridSpan w:val="14"/>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investors set forth therein (incorporated by reference to Exhibit 10.1 of the Company’s Registration</w:t>
              </w:r>
            </w:hyperlink>
          </w:p>
        </w:tc>
      </w:tr>
      <w:tr>
        <w:trPr>
          <w:trHeight w:val="237"/>
        </w:trPr>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520" w:type="dxa"/>
            <w:vAlign w:val="bottom"/>
            <w:tcBorders>
              <w:top w:val="single" w:sz="8" w:color="0000EE"/>
            </w:tcBorders>
            <w:gridSpan w:val="9"/>
          </w:tcPr>
          <w:p>
            <w:pPr>
              <w:spacing w:after="0"/>
              <w:rPr>
                <w:rFonts w:ascii="Arial" w:cs="Arial" w:eastAsia="Arial" w:hAnsi="Arial"/>
                <w:sz w:val="18"/>
                <w:szCs w:val="18"/>
                <w:u w:val="single" w:color="auto"/>
                <w:color w:val="0000EE"/>
              </w:rPr>
            </w:pPr>
            <w:hyperlink r:id="rId117">
              <w:r>
                <w:rPr>
                  <w:rFonts w:ascii="Arial" w:cs="Arial" w:eastAsia="Arial" w:hAnsi="Arial"/>
                  <w:sz w:val="18"/>
                  <w:szCs w:val="18"/>
                  <w:u w:val="single" w:color="auto"/>
                  <w:color w:val="0000EE"/>
                </w:rPr>
                <w:t>Statement on Form F-1 (File No. 333-217124), filed with the SEC on April 3, 2017).</w:t>
              </w:r>
            </w:hyperlink>
          </w:p>
        </w:tc>
        <w:tc>
          <w:tcPr>
            <w:tcW w:w="440" w:type="dxa"/>
            <w:vAlign w:val="bottom"/>
            <w:gridSpan w:val="5"/>
          </w:tcPr>
          <w:p>
            <w:pPr>
              <w:spacing w:after="0"/>
              <w:rPr>
                <w:sz w:val="20"/>
                <w:szCs w:val="20"/>
                <w:color w:val="auto"/>
              </w:rPr>
            </w:pPr>
          </w:p>
        </w:tc>
      </w:tr>
      <w:tr>
        <w:trPr>
          <w:trHeight w:val="230"/>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700" w:type="dxa"/>
            <w:vAlign w:val="bottom"/>
            <w:tcBorders>
              <w:bottom w:val="single" w:sz="8" w:color="0000EE"/>
            </w:tcBorders>
            <w:gridSpan w:val="10"/>
          </w:tcPr>
          <w:p>
            <w:pPr>
              <w:spacing w:after="0"/>
              <w:rPr>
                <w:rFonts w:ascii="Arial" w:cs="Arial" w:eastAsia="Arial" w:hAnsi="Arial"/>
                <w:sz w:val="18"/>
                <w:szCs w:val="18"/>
                <w:color w:val="0000EE"/>
                <w:w w:val="93"/>
              </w:rPr>
            </w:pPr>
            <w:hyperlink r:id="rId118">
              <w:r>
                <w:rPr>
                  <w:rFonts w:ascii="Arial" w:cs="Arial" w:eastAsia="Arial" w:hAnsi="Arial"/>
                  <w:sz w:val="18"/>
                  <w:szCs w:val="18"/>
                  <w:color w:val="0000EE"/>
                  <w:w w:val="93"/>
                </w:rPr>
                <w:t>Registration Rights Agreement, dated as of July 16, 2020, by and between Verona Pharma plc and the</w:t>
              </w:r>
            </w:hyperlink>
          </w:p>
        </w:tc>
        <w:tc>
          <w:tcPr>
            <w:tcW w:w="260" w:type="dxa"/>
            <w:vAlign w:val="bottom"/>
            <w:gridSpan w:val="4"/>
          </w:tcPr>
          <w:p>
            <w:pPr>
              <w:spacing w:after="0"/>
              <w:rPr>
                <w:sz w:val="19"/>
                <w:szCs w:val="19"/>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960" w:type="dxa"/>
            <w:vAlign w:val="bottom"/>
            <w:gridSpan w:val="14"/>
          </w:tcPr>
          <w:p>
            <w:pPr>
              <w:spacing w:after="0" w:line="196" w:lineRule="exact"/>
              <w:rPr>
                <w:rFonts w:ascii="Arial" w:cs="Arial" w:eastAsia="Arial" w:hAnsi="Arial"/>
                <w:sz w:val="18"/>
                <w:szCs w:val="18"/>
                <w:color w:val="0000EE"/>
                <w:w w:val="96"/>
              </w:rPr>
            </w:pPr>
            <w:hyperlink r:id="rId118">
              <w:r>
                <w:rPr>
                  <w:rFonts w:ascii="Arial" w:cs="Arial" w:eastAsia="Arial" w:hAnsi="Arial"/>
                  <w:sz w:val="18"/>
                  <w:szCs w:val="18"/>
                  <w:color w:val="0000EE"/>
                  <w:w w:val="96"/>
                </w:rPr>
                <w:t>investors set forth therein (incorporated by reference to Exhibit 2 of the Company’s Report on Form 6-K</w:t>
              </w:r>
            </w:hyperlink>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9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(File No. 001-38067), filed with the SEC on July 22, 2020).</w:t>
              </w:r>
            </w:hyperlink>
          </w:p>
        </w:tc>
        <w:tc>
          <w:tcPr>
            <w:tcW w:w="60" w:type="dxa"/>
            <w:vAlign w:val="bottom"/>
          </w:tcPr>
          <w:p>
            <w:pPr>
              <w:spacing w:after="0"/>
              <w:rPr>
                <w:sz w:val="17"/>
                <w:szCs w:val="17"/>
                <w:color w:val="auto"/>
              </w:rPr>
            </w:pPr>
          </w:p>
        </w:tc>
      </w:tr>
      <w:tr>
        <w:trPr>
          <w:trHeight w:val="304"/>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520" w:type="dxa"/>
            <w:vAlign w:val="bottom"/>
            <w:tcBorders>
              <w:top w:val="single" w:sz="8" w:color="0000EE"/>
            </w:tcBorders>
            <w:gridSpan w:val="4"/>
          </w:tcPr>
          <w:p>
            <w:pPr>
              <w:spacing w:after="0"/>
              <w:rPr>
                <w:rFonts w:ascii="Arial" w:cs="Arial" w:eastAsia="Arial" w:hAnsi="Arial"/>
                <w:sz w:val="18"/>
                <w:szCs w:val="18"/>
                <w:u w:val="single" w:color="auto"/>
                <w:color w:val="0000EE"/>
              </w:rPr>
            </w:pPr>
            <w:hyperlink w:anchor="page121">
              <w:r>
                <w:rPr>
                  <w:rFonts w:ascii="Arial" w:cs="Arial" w:eastAsia="Arial" w:hAnsi="Arial"/>
                  <w:sz w:val="18"/>
                  <w:szCs w:val="18"/>
                  <w:u w:val="single" w:color="auto"/>
                  <w:color w:val="0000EE"/>
                </w:rPr>
                <w:t>Form of Indenture.</w:t>
              </w:r>
            </w:hyperlink>
          </w:p>
        </w:tc>
        <w:tc>
          <w:tcPr>
            <w:tcW w:w="3440" w:type="dxa"/>
            <w:vAlign w:val="bottom"/>
            <w:gridSpan w:val="10"/>
          </w:tcPr>
          <w:p>
            <w:pPr>
              <w:spacing w:after="0"/>
              <w:rPr>
                <w:sz w:val="24"/>
                <w:szCs w:val="24"/>
                <w:color w:val="auto"/>
              </w:rPr>
            </w:pPr>
          </w:p>
        </w:tc>
      </w:tr>
      <w:tr>
        <w:trPr>
          <w:trHeight w:val="270"/>
        </w:trPr>
        <w:tc>
          <w:tcPr>
            <w:tcW w:w="52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960" w:type="dxa"/>
            <w:vAlign w:val="bottom"/>
            <w:gridSpan w:val="14"/>
          </w:tcPr>
          <w:p>
            <w:pPr>
              <w:spacing w:after="0"/>
              <w:rPr>
                <w:sz w:val="20"/>
                <w:szCs w:val="20"/>
                <w:color w:val="auto"/>
              </w:rPr>
            </w:pPr>
            <w:r>
              <w:rPr>
                <w:rFonts w:ascii="Arial" w:cs="Arial" w:eastAsia="Arial" w:hAnsi="Arial"/>
                <w:sz w:val="18"/>
                <w:szCs w:val="18"/>
                <w:color w:val="auto"/>
              </w:rPr>
              <w:t>Form of Note.</w:t>
            </w:r>
          </w:p>
        </w:tc>
      </w:tr>
      <w:tr>
        <w:trPr>
          <w:trHeight w:val="270"/>
        </w:trPr>
        <w:tc>
          <w:tcPr>
            <w:tcW w:w="520" w:type="dxa"/>
            <w:vAlign w:val="bottom"/>
          </w:tcPr>
          <w:p>
            <w:pPr>
              <w:jc w:val="right"/>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960" w:type="dxa"/>
            <w:vAlign w:val="bottom"/>
            <w:gridSpan w:val="14"/>
          </w:tcPr>
          <w:p>
            <w:pPr>
              <w:spacing w:after="0"/>
              <w:rPr>
                <w:sz w:val="20"/>
                <w:szCs w:val="20"/>
                <w:color w:val="auto"/>
              </w:rPr>
            </w:pPr>
            <w:r>
              <w:rPr>
                <w:rFonts w:ascii="Arial" w:cs="Arial" w:eastAsia="Arial" w:hAnsi="Arial"/>
                <w:sz w:val="18"/>
                <w:szCs w:val="18"/>
                <w:color w:val="auto"/>
              </w:rPr>
              <w:t>Form of Warrant.</w:t>
            </w:r>
          </w:p>
        </w:tc>
      </w:tr>
      <w:tr>
        <w:trPr>
          <w:trHeight w:val="270"/>
        </w:trPr>
        <w:tc>
          <w:tcPr>
            <w:tcW w:w="52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960" w:type="dxa"/>
            <w:vAlign w:val="bottom"/>
            <w:gridSpan w:val="14"/>
          </w:tcPr>
          <w:p>
            <w:pPr>
              <w:spacing w:after="0"/>
              <w:rPr>
                <w:sz w:val="20"/>
                <w:szCs w:val="20"/>
                <w:color w:val="auto"/>
              </w:rPr>
            </w:pPr>
            <w:r>
              <w:rPr>
                <w:rFonts w:ascii="Arial" w:cs="Arial" w:eastAsia="Arial" w:hAnsi="Arial"/>
                <w:sz w:val="18"/>
                <w:szCs w:val="18"/>
                <w:color w:val="auto"/>
              </w:rPr>
              <w:t>Form of Warrant Agreement.</w:t>
            </w:r>
          </w:p>
        </w:tc>
      </w:tr>
      <w:tr>
        <w:trPr>
          <w:trHeight w:val="270"/>
        </w:trPr>
        <w:tc>
          <w:tcPr>
            <w:tcW w:w="520" w:type="dxa"/>
            <w:vAlign w:val="bottom"/>
          </w:tcPr>
          <w:p>
            <w:pPr>
              <w:jc w:val="right"/>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960" w:type="dxa"/>
            <w:vAlign w:val="bottom"/>
            <w:gridSpan w:val="14"/>
          </w:tcPr>
          <w:p>
            <w:pPr>
              <w:spacing w:after="0"/>
              <w:rPr>
                <w:sz w:val="20"/>
                <w:szCs w:val="20"/>
                <w:color w:val="auto"/>
              </w:rPr>
            </w:pPr>
            <w:r>
              <w:rPr>
                <w:rFonts w:ascii="Arial" w:cs="Arial" w:eastAsia="Arial" w:hAnsi="Arial"/>
                <w:sz w:val="18"/>
                <w:szCs w:val="18"/>
                <w:color w:val="auto"/>
              </w:rPr>
              <w:t>Form of Unit Agreement.</w:t>
            </w:r>
          </w:p>
        </w:tc>
      </w:tr>
      <w:tr>
        <w:trPr>
          <w:trHeight w:val="270"/>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960" w:type="dxa"/>
            <w:vAlign w:val="bottom"/>
            <w:gridSpan w:val="14"/>
          </w:tcPr>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Opinion of Latham &amp; Watkins LLP.</w:t>
              </w:r>
            </w:hyperlink>
          </w:p>
        </w:tc>
      </w:tr>
      <w:tr>
        <w:trPr>
          <w:trHeight w:val="270"/>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960" w:type="dxa"/>
            <w:vAlign w:val="bottom"/>
            <w:gridSpan w:val="14"/>
          </w:tcPr>
          <w:p>
            <w:pPr>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Opinion of Latham &amp; Watkins LLP.</w:t>
              </w:r>
            </w:hyperlink>
          </w:p>
        </w:tc>
      </w:tr>
      <w:tr>
        <w:trPr>
          <w:trHeight w:val="270"/>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960" w:type="dxa"/>
            <w:vAlign w:val="bottom"/>
            <w:gridSpan w:val="14"/>
          </w:tcPr>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Consent of Latham &amp; Watkins LLP (included in Exhibit 5.1).</w:t>
              </w:r>
            </w:hyperlink>
          </w:p>
        </w:tc>
      </w:tr>
      <w:tr>
        <w:trPr>
          <w:trHeight w:val="270"/>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23.2</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960" w:type="dxa"/>
            <w:vAlign w:val="bottom"/>
            <w:gridSpan w:val="14"/>
          </w:tcPr>
          <w:p>
            <w:pPr>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Consent of Latham &amp; Watkins LLP (included in Exhibit 5.2).</w:t>
              </w:r>
            </w:hyperlink>
          </w:p>
        </w:tc>
      </w:tr>
      <w:tr>
        <w:trPr>
          <w:trHeight w:val="270"/>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960" w:type="dxa"/>
            <w:vAlign w:val="bottom"/>
            <w:gridSpan w:val="14"/>
          </w:tcPr>
          <w:p>
            <w:pPr>
              <w:spacing w:after="0"/>
              <w:rPr>
                <w:rFonts w:ascii="Arial" w:cs="Arial" w:eastAsia="Arial" w:hAnsi="Arial"/>
                <w:sz w:val="18"/>
                <w:szCs w:val="18"/>
                <w:u w:val="single" w:color="auto"/>
                <w:color w:val="0000EE"/>
              </w:rPr>
            </w:pPr>
            <w:hyperlink w:anchor="page182">
              <w:r>
                <w:rPr>
                  <w:rFonts w:ascii="Arial" w:cs="Arial" w:eastAsia="Arial" w:hAnsi="Arial"/>
                  <w:sz w:val="18"/>
                  <w:szCs w:val="18"/>
                  <w:u w:val="single" w:color="auto"/>
                  <w:color w:val="0000EE"/>
                </w:rPr>
                <w:t>Consent of PricewaterhouseCoopers LLP, independent registered public accounting firm.</w:t>
              </w:r>
            </w:hyperlink>
          </w:p>
        </w:tc>
      </w:tr>
      <w:tr>
        <w:trPr>
          <w:trHeight w:val="270"/>
        </w:trPr>
        <w:tc>
          <w:tcPr>
            <w:tcW w:w="520" w:type="dxa"/>
            <w:vAlign w:val="bottom"/>
          </w:tcPr>
          <w:p>
            <w:pPr>
              <w:jc w:val="right"/>
              <w:ind w:right="12"/>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960" w:type="dxa"/>
            <w:vAlign w:val="bottom"/>
            <w:gridSpan w:val="14"/>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Powers of Attorney (incorporated by reference to the signature page hereto).</w:t>
              </w:r>
            </w:hyperlink>
          </w:p>
        </w:tc>
      </w:tr>
    </w:tbl>
    <w:p>
      <w:pPr>
        <w:spacing w:after="0" w:line="200" w:lineRule="exact"/>
        <w:rPr>
          <w:sz w:val="20"/>
          <w:szCs w:val="20"/>
          <w:color w:val="auto"/>
        </w:rPr>
      </w:pPr>
    </w:p>
    <w:p>
      <w:pPr>
        <w:spacing w:after="0" w:line="20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9">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940"/>
          </w:cols>
          <w:pgMar w:left="580" w:top="132" w:right="1379" w:bottom="1440" w:gutter="0" w:footer="0" w:header="0"/>
        </w:sectPr>
      </w:pPr>
    </w:p>
    <w:bookmarkStart w:id="71" w:name="page72"/>
    <w:bookmarkEnd w:id="71"/>
    <w:p>
      <w:pPr>
        <w:spacing w:after="0"/>
        <w:rPr>
          <w:rFonts w:ascii="Arial" w:cs="Arial" w:eastAsia="Arial" w:hAnsi="Arial"/>
          <w:sz w:val="14"/>
          <w:szCs w:val="14"/>
          <w:color w:val="003366"/>
        </w:rPr>
      </w:pPr>
      <w:hyperlink w:anchor="page5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Exhibit</w:t>
            </w:r>
          </w:p>
        </w:tc>
        <w:tc>
          <w:tcPr>
            <w:tcW w:w="7960" w:type="dxa"/>
            <w:vAlign w:val="bottom"/>
          </w:tcPr>
          <w:p>
            <w:pPr>
              <w:spacing w:after="0"/>
              <w:rPr>
                <w:sz w:val="14"/>
                <w:szCs w:val="14"/>
                <w:color w:val="auto"/>
              </w:rPr>
            </w:pPr>
          </w:p>
        </w:tc>
      </w:tr>
      <w:tr>
        <w:trPr>
          <w:trHeight w:val="186"/>
        </w:trPr>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Number</w:t>
            </w:r>
          </w:p>
        </w:tc>
        <w:tc>
          <w:tcPr>
            <w:tcW w:w="7960" w:type="dxa"/>
            <w:vAlign w:val="bottom"/>
          </w:tcPr>
          <w:p>
            <w:pPr>
              <w:ind w:left="3640"/>
              <w:spacing w:after="0"/>
              <w:rPr>
                <w:sz w:val="20"/>
                <w:szCs w:val="20"/>
                <w:color w:val="auto"/>
              </w:rPr>
            </w:pPr>
            <w:r>
              <w:rPr>
                <w:rFonts w:ascii="Arial" w:cs="Arial" w:eastAsia="Arial" w:hAnsi="Arial"/>
                <w:sz w:val="14"/>
                <w:szCs w:val="14"/>
                <w:b w:val="1"/>
                <w:bCs w:val="1"/>
                <w:color w:val="auto"/>
              </w:rPr>
              <w:t>Description</w:t>
            </w:r>
          </w:p>
        </w:tc>
      </w:tr>
      <w:tr>
        <w:trPr>
          <w:trHeight w:val="26"/>
        </w:trPr>
        <w:tc>
          <w:tcPr>
            <w:tcW w:w="5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960" w:type="dxa"/>
            <w:vAlign w:val="bottom"/>
            <w:tcBorders>
              <w:bottom w:val="single" w:sz="8" w:color="auto"/>
            </w:tcBorders>
          </w:tcPr>
          <w:p>
            <w:pPr>
              <w:spacing w:after="0"/>
              <w:rPr>
                <w:sz w:val="2"/>
                <w:szCs w:val="2"/>
                <w:color w:val="auto"/>
              </w:rPr>
            </w:pPr>
          </w:p>
        </w:tc>
      </w:tr>
      <w:tr>
        <w:trPr>
          <w:trHeight w:val="222"/>
        </w:trPr>
        <w:tc>
          <w:tcPr>
            <w:tcW w:w="520" w:type="dxa"/>
            <w:vAlign w:val="bottom"/>
          </w:tcPr>
          <w:p>
            <w:pPr>
              <w:jc w:val="center"/>
              <w:spacing w:after="0"/>
              <w:rPr>
                <w:sz w:val="20"/>
                <w:szCs w:val="20"/>
                <w:color w:val="auto"/>
              </w:rPr>
            </w:pPr>
            <w:r>
              <w:rPr>
                <w:rFonts w:ascii="Arial" w:cs="Arial" w:eastAsia="Arial" w:hAnsi="Arial"/>
                <w:sz w:val="18"/>
                <w:szCs w:val="18"/>
                <w:color w:val="auto"/>
              </w:rPr>
              <w:t>25.1**</w:t>
            </w:r>
          </w:p>
        </w:tc>
        <w:tc>
          <w:tcPr>
            <w:tcW w:w="200" w:type="dxa"/>
            <w:vAlign w:val="bottom"/>
          </w:tcPr>
          <w:p>
            <w:pPr>
              <w:spacing w:after="0"/>
              <w:rPr>
                <w:sz w:val="19"/>
                <w:szCs w:val="19"/>
                <w:color w:val="auto"/>
              </w:rPr>
            </w:pPr>
          </w:p>
        </w:tc>
        <w:tc>
          <w:tcPr>
            <w:tcW w:w="7960" w:type="dxa"/>
            <w:vAlign w:val="bottom"/>
          </w:tcPr>
          <w:p>
            <w:pPr>
              <w:spacing w:after="0"/>
              <w:rPr>
                <w:sz w:val="20"/>
                <w:szCs w:val="20"/>
                <w:color w:val="auto"/>
              </w:rPr>
            </w:pPr>
            <w:r>
              <w:rPr>
                <w:rFonts w:ascii="Arial" w:cs="Arial" w:eastAsia="Arial" w:hAnsi="Arial"/>
                <w:sz w:val="18"/>
                <w:szCs w:val="18"/>
                <w:color w:val="auto"/>
                <w:w w:val="97"/>
              </w:rPr>
              <w:t>Form T-1 Statement of Eligibility and Qualification under the Trust Indenture Act of 1939 of Trustee for</w:t>
            </w:r>
          </w:p>
        </w:tc>
      </w:tr>
      <w:tr>
        <w:trPr>
          <w:trHeight w:val="230"/>
        </w:trPr>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960" w:type="dxa"/>
            <w:vAlign w:val="bottom"/>
          </w:tcPr>
          <w:p>
            <w:pPr>
              <w:spacing w:after="0"/>
              <w:rPr>
                <w:sz w:val="20"/>
                <w:szCs w:val="20"/>
                <w:color w:val="auto"/>
              </w:rPr>
            </w:pPr>
            <w:r>
              <w:rPr>
                <w:rFonts w:ascii="Arial" w:cs="Arial" w:eastAsia="Arial" w:hAnsi="Arial"/>
                <w:sz w:val="18"/>
                <w:szCs w:val="18"/>
                <w:color w:val="auto"/>
              </w:rPr>
              <w:t>Form of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0">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71" w:lineRule="exact"/>
        <w:rPr>
          <w:sz w:val="20"/>
          <w:szCs w:val="20"/>
          <w:color w:val="auto"/>
        </w:rPr>
      </w:pPr>
    </w:p>
    <w:p>
      <w:pPr>
        <w:ind w:left="1620" w:hanging="360"/>
        <w:spacing w:after="0"/>
        <w:tabs>
          <w:tab w:leader="none" w:pos="1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be filed by amendment or incorporated by reference in connection with the offering of the securities.</w:t>
      </w:r>
    </w:p>
    <w:p>
      <w:pPr>
        <w:spacing w:after="0" w:line="77" w:lineRule="exact"/>
        <w:rPr>
          <w:sz w:val="20"/>
          <w:szCs w:val="20"/>
          <w:color w:val="auto"/>
        </w:rPr>
      </w:pPr>
    </w:p>
    <w:p>
      <w:pPr>
        <w:ind w:left="1620" w:right="500" w:hanging="360"/>
        <w:spacing w:after="0" w:line="277" w:lineRule="auto"/>
        <w:tabs>
          <w:tab w:leader="none" w:pos="16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be filed in accordance with the requirements of Section 305(b)(2) of the Trust Indenture Act of 1939 and Rule 5b-3 thereunder.</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Undertakings</w:t>
      </w:r>
    </w:p>
    <w:p>
      <w:pPr>
        <w:spacing w:after="0" w:line="148" w:lineRule="exact"/>
        <w:rPr>
          <w:sz w:val="20"/>
          <w:szCs w:val="20"/>
          <w:color w:val="auto"/>
        </w:rPr>
      </w:pPr>
    </w:p>
    <w:p>
      <w:pPr>
        <w:ind w:left="1880" w:hanging="260"/>
        <w:spacing w:after="0"/>
        <w:tabs>
          <w:tab w:leader="none" w:pos="1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57" w:lineRule="exact"/>
        <w:rPr>
          <w:rFonts w:ascii="Arial" w:cs="Arial" w:eastAsia="Arial" w:hAnsi="Arial"/>
          <w:sz w:val="18"/>
          <w:szCs w:val="18"/>
          <w:color w:val="auto"/>
        </w:rPr>
      </w:pPr>
    </w:p>
    <w:p>
      <w:pPr>
        <w:ind w:left="1620" w:right="560" w:firstLine="360"/>
        <w:spacing w:after="0" w:line="261" w:lineRule="auto"/>
        <w:tabs>
          <w:tab w:leader="none" w:pos="2249" w:val="left"/>
        </w:tabs>
        <w:numPr>
          <w:ilvl w:val="1"/>
          <w:numId w:val="51"/>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03" w:lineRule="exact"/>
        <w:rPr>
          <w:rFonts w:ascii="Arial" w:cs="Arial" w:eastAsia="Arial" w:hAnsi="Arial"/>
          <w:sz w:val="18"/>
          <w:szCs w:val="18"/>
          <w:color w:val="auto"/>
        </w:rPr>
      </w:pPr>
    </w:p>
    <w:p>
      <w:pPr>
        <w:ind w:left="2560" w:hanging="220"/>
        <w:spacing w:after="0"/>
        <w:tabs>
          <w:tab w:leader="none" w:pos="2560" w:val="left"/>
        </w:tabs>
        <w:numPr>
          <w:ilvl w:val="2"/>
          <w:numId w:val="51"/>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144" w:lineRule="exact"/>
        <w:rPr>
          <w:rFonts w:ascii="Arial" w:cs="Arial" w:eastAsia="Arial" w:hAnsi="Arial"/>
          <w:sz w:val="18"/>
          <w:szCs w:val="18"/>
          <w:color w:val="auto"/>
        </w:rPr>
      </w:pPr>
    </w:p>
    <w:p>
      <w:pPr>
        <w:ind w:left="1980" w:right="480" w:firstLine="360"/>
        <w:spacing w:after="0" w:line="238" w:lineRule="auto"/>
        <w:tabs>
          <w:tab w:leader="none" w:pos="2623" w:val="left"/>
        </w:tabs>
        <w:numPr>
          <w:ilvl w:val="2"/>
          <w:numId w:val="51"/>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120" w:lineRule="exact"/>
        <w:rPr>
          <w:rFonts w:ascii="Arial" w:cs="Arial" w:eastAsia="Arial" w:hAnsi="Arial"/>
          <w:sz w:val="18"/>
          <w:szCs w:val="18"/>
          <w:color w:val="auto"/>
        </w:rPr>
      </w:pPr>
    </w:p>
    <w:p>
      <w:pPr>
        <w:ind w:left="1980" w:right="480" w:firstLine="360"/>
        <w:spacing w:after="0" w:line="248" w:lineRule="auto"/>
        <w:tabs>
          <w:tab w:leader="none" w:pos="2676" w:val="left"/>
        </w:tabs>
        <w:numPr>
          <w:ilvl w:val="2"/>
          <w:numId w:val="51"/>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4" w:lineRule="exact"/>
        <w:rPr>
          <w:sz w:val="20"/>
          <w:szCs w:val="20"/>
          <w:color w:val="auto"/>
        </w:rPr>
      </w:pPr>
    </w:p>
    <w:p>
      <w:pPr>
        <w:ind w:left="1620" w:right="600"/>
        <w:spacing w:after="0"/>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(a)(1)(ii), and (a)(1)(iii) above do not apply if the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a part of the registration statement.</w:t>
      </w:r>
    </w:p>
    <w:p>
      <w:pPr>
        <w:spacing w:after="0" w:line="108" w:lineRule="exact"/>
        <w:rPr>
          <w:sz w:val="20"/>
          <w:szCs w:val="20"/>
          <w:color w:val="auto"/>
        </w:rPr>
      </w:pPr>
    </w:p>
    <w:p>
      <w:pPr>
        <w:jc w:val="both"/>
        <w:ind w:left="1620" w:right="640" w:firstLine="360"/>
        <w:spacing w:after="0" w:line="243" w:lineRule="auto"/>
        <w:tabs>
          <w:tab w:leader="none" w:pos="2249"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20" w:lineRule="exact"/>
        <w:rPr>
          <w:rFonts w:ascii="Arial" w:cs="Arial" w:eastAsia="Arial" w:hAnsi="Arial"/>
          <w:sz w:val="18"/>
          <w:szCs w:val="18"/>
          <w:color w:val="auto"/>
        </w:rPr>
      </w:pPr>
    </w:p>
    <w:p>
      <w:pPr>
        <w:ind w:left="1620" w:right="900" w:firstLine="360"/>
        <w:spacing w:after="0" w:line="261" w:lineRule="auto"/>
        <w:tabs>
          <w:tab w:leader="none" w:pos="2249"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03" w:lineRule="exact"/>
        <w:rPr>
          <w:rFonts w:ascii="Arial" w:cs="Arial" w:eastAsia="Arial" w:hAnsi="Arial"/>
          <w:sz w:val="18"/>
          <w:szCs w:val="18"/>
          <w:color w:val="auto"/>
        </w:rPr>
      </w:pPr>
    </w:p>
    <w:p>
      <w:pPr>
        <w:ind w:left="2240" w:hanging="260"/>
        <w:spacing w:after="0"/>
        <w:tabs>
          <w:tab w:leader="none" w:pos="2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w:t>
      </w:r>
    </w:p>
    <w:p>
      <w:pPr>
        <w:spacing w:after="0" w:line="23"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purchaser:</w:t>
      </w:r>
    </w:p>
    <w:p>
      <w:pPr>
        <w:spacing w:after="0" w:line="129" w:lineRule="exact"/>
        <w:rPr>
          <w:rFonts w:ascii="Arial" w:cs="Arial" w:eastAsia="Arial" w:hAnsi="Arial"/>
          <w:sz w:val="18"/>
          <w:szCs w:val="18"/>
          <w:color w:val="auto"/>
        </w:rPr>
      </w:pPr>
    </w:p>
    <w:p>
      <w:pPr>
        <w:ind w:left="1980" w:right="640" w:firstLine="360"/>
        <w:spacing w:after="0" w:line="248" w:lineRule="auto"/>
        <w:tabs>
          <w:tab w:leader="none" w:pos="2649" w:val="left"/>
        </w:tabs>
        <w:numPr>
          <w:ilvl w:val="2"/>
          <w:numId w:val="53"/>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14" w:lineRule="exact"/>
        <w:rPr>
          <w:rFonts w:ascii="Arial" w:cs="Arial" w:eastAsia="Arial" w:hAnsi="Arial"/>
          <w:sz w:val="18"/>
          <w:szCs w:val="18"/>
          <w:color w:val="auto"/>
        </w:rPr>
      </w:pPr>
    </w:p>
    <w:p>
      <w:pPr>
        <w:ind w:left="1980" w:right="480" w:firstLine="360"/>
        <w:spacing w:after="0" w:line="258" w:lineRule="auto"/>
        <w:tabs>
          <w:tab w:leader="none" w:pos="2639" w:val="left"/>
        </w:tabs>
        <w:numPr>
          <w:ilvl w:val="2"/>
          <w:numId w:val="53"/>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w:t>
      </w:r>
    </w:p>
    <w:p>
      <w:pPr>
        <w:ind w:left="1980" w:right="1040"/>
        <w:spacing w:after="0" w:line="238" w:lineRule="auto"/>
        <w:rPr>
          <w:rFonts w:ascii="Arial" w:cs="Arial" w:eastAsia="Arial" w:hAnsi="Arial"/>
          <w:sz w:val="17"/>
          <w:szCs w:val="17"/>
          <w:color w:val="auto"/>
        </w:rPr>
      </w:pPr>
      <w:r>
        <w:rPr>
          <w:rFonts w:ascii="Arial" w:cs="Arial" w:eastAsia="Arial" w:hAnsi="Arial"/>
          <w:sz w:val="18"/>
          <w:szCs w:val="18"/>
          <w:color w:val="auto"/>
        </w:rPr>
        <w:t>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w:t>
      </w:r>
    </w:p>
    <w:p>
      <w:pPr>
        <w:sectPr>
          <w:pgSz w:w="11900" w:h="16838" w:orient="portrait"/>
          <w:cols w:equalWidth="0" w:num="1">
            <w:col w:w="9940"/>
          </w:cols>
          <w:pgMar w:left="580" w:top="132" w:right="1379"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271780</wp:posOffset>
            </wp:positionV>
            <wp:extent cx="68065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1">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940"/>
          </w:cols>
          <w:pgMar w:left="580" w:top="132" w:right="1379" w:bottom="1440" w:gutter="0" w:footer="0" w:header="0"/>
          <w:type w:val="continuous"/>
        </w:sectPr>
      </w:pPr>
    </w:p>
    <w:bookmarkStart w:id="72" w:name="page73"/>
    <w:bookmarkEnd w:id="72"/>
    <w:p>
      <w:pPr>
        <w:spacing w:after="0"/>
        <w:rPr>
          <w:rFonts w:ascii="Arial" w:cs="Arial" w:eastAsia="Arial" w:hAnsi="Arial"/>
          <w:sz w:val="14"/>
          <w:szCs w:val="14"/>
          <w:color w:val="003366"/>
        </w:rPr>
      </w:pPr>
      <w:hyperlink w:anchor="page5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980" w:right="419"/>
        <w:spacing w:after="0" w:line="269" w:lineRule="auto"/>
        <w:rPr>
          <w:sz w:val="20"/>
          <w:szCs w:val="20"/>
          <w:color w:val="auto"/>
        </w:rPr>
      </w:pPr>
      <w:r>
        <w:rPr>
          <w:rFonts w:ascii="Arial" w:cs="Arial" w:eastAsia="Arial" w:hAnsi="Arial"/>
          <w:sz w:val="17"/>
          <w:szCs w:val="17"/>
          <w:color w:val="auto"/>
        </w:rPr>
        <w:t xml:space="preserve">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no statement made in a registration statement or prospectus that is part of</w:t>
      </w:r>
      <w:r>
        <w:rPr>
          <w:rFonts w:ascii="Arial" w:cs="Arial" w:eastAsia="Arial" w:hAnsi="Arial"/>
          <w:sz w:val="17"/>
          <w:szCs w:val="17"/>
          <w:i w:val="1"/>
          <w:iCs w:val="1"/>
          <w:color w:val="auto"/>
        </w:rPr>
        <w:t xml:space="preserve"> </w:t>
      </w:r>
      <w:r>
        <w:rPr>
          <w:rFonts w:ascii="Arial" w:cs="Arial" w:eastAsia="Arial" w:hAnsi="Arial"/>
          <w:sz w:val="17"/>
          <w:szCs w:val="17"/>
          <w:color w:val="auto"/>
        </w:rPr>
        <w:t>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01" w:lineRule="exact"/>
        <w:rPr>
          <w:sz w:val="20"/>
          <w:szCs w:val="20"/>
          <w:color w:val="auto"/>
        </w:rPr>
      </w:pPr>
    </w:p>
    <w:p>
      <w:pPr>
        <w:ind w:left="1620" w:right="499" w:firstLine="360"/>
        <w:spacing w:after="0" w:line="277" w:lineRule="auto"/>
        <w:tabs>
          <w:tab w:leader="none" w:pos="2249"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w:t>
      </w:r>
    </w:p>
    <w:p>
      <w:pPr>
        <w:spacing w:after="0" w:line="103" w:lineRule="exact"/>
        <w:rPr>
          <w:sz w:val="20"/>
          <w:szCs w:val="20"/>
          <w:color w:val="auto"/>
        </w:rPr>
      </w:pPr>
    </w:p>
    <w:p>
      <w:pPr>
        <w:ind w:left="1980" w:right="579" w:firstLine="360"/>
        <w:spacing w:after="0" w:line="275" w:lineRule="auto"/>
        <w:rPr>
          <w:sz w:val="20"/>
          <w:szCs w:val="20"/>
          <w:color w:val="auto"/>
        </w:rPr>
      </w:pPr>
      <w:r>
        <w:rPr>
          <w:rFonts w:ascii="Arial" w:cs="Arial" w:eastAsia="Arial" w:hAnsi="Arial"/>
          <w:sz w:val="17"/>
          <w:szCs w:val="17"/>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09" w:lineRule="exact"/>
        <w:rPr>
          <w:sz w:val="20"/>
          <w:szCs w:val="20"/>
          <w:color w:val="auto"/>
        </w:rPr>
      </w:pPr>
    </w:p>
    <w:p>
      <w:pPr>
        <w:ind w:left="1980" w:right="839" w:firstLine="360"/>
        <w:spacing w:after="0" w:line="277" w:lineRule="auto"/>
        <w:tabs>
          <w:tab w:leader="none" w:pos="2569"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89" w:lineRule="exact"/>
        <w:rPr>
          <w:rFonts w:ascii="Arial" w:cs="Arial" w:eastAsia="Arial" w:hAnsi="Arial"/>
          <w:sz w:val="18"/>
          <w:szCs w:val="18"/>
          <w:color w:val="auto"/>
        </w:rPr>
      </w:pPr>
    </w:p>
    <w:p>
      <w:pPr>
        <w:ind w:left="1980" w:right="999" w:firstLine="360"/>
        <w:spacing w:after="0" w:line="277" w:lineRule="auto"/>
        <w:tabs>
          <w:tab w:leader="none" w:pos="2623"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2" w:lineRule="exact"/>
        <w:rPr>
          <w:rFonts w:ascii="Arial" w:cs="Arial" w:eastAsia="Arial" w:hAnsi="Arial"/>
          <w:sz w:val="18"/>
          <w:szCs w:val="18"/>
          <w:color w:val="auto"/>
        </w:rPr>
      </w:pPr>
    </w:p>
    <w:p>
      <w:pPr>
        <w:ind w:left="1980" w:right="559" w:firstLine="360"/>
        <w:spacing w:after="0" w:line="263" w:lineRule="auto"/>
        <w:tabs>
          <w:tab w:leader="none" w:pos="2676"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1980" w:right="959" w:firstLine="360"/>
        <w:spacing w:after="0" w:line="277" w:lineRule="auto"/>
        <w:tabs>
          <w:tab w:leader="none" w:pos="2663"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other communications that is an offer in the offering made by the undersigned registrant to the purchaser.</w:t>
      </w:r>
    </w:p>
    <w:p>
      <w:pPr>
        <w:spacing w:after="0" w:line="89" w:lineRule="exact"/>
        <w:rPr>
          <w:rFonts w:ascii="Arial" w:cs="Arial" w:eastAsia="Arial" w:hAnsi="Arial"/>
          <w:sz w:val="18"/>
          <w:szCs w:val="18"/>
          <w:color w:val="auto"/>
        </w:rPr>
      </w:pPr>
    </w:p>
    <w:p>
      <w:pPr>
        <w:ind w:left="1260" w:right="579" w:firstLine="360"/>
        <w:spacing w:after="0" w:line="254" w:lineRule="auto"/>
        <w:tabs>
          <w:tab w:leader="none" w:pos="1889"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27" w:lineRule="exact"/>
        <w:rPr>
          <w:rFonts w:ascii="Arial" w:cs="Arial" w:eastAsia="Arial" w:hAnsi="Arial"/>
          <w:sz w:val="18"/>
          <w:szCs w:val="18"/>
          <w:color w:val="auto"/>
        </w:rPr>
      </w:pPr>
    </w:p>
    <w:p>
      <w:pPr>
        <w:ind w:left="1260" w:right="419" w:firstLine="360"/>
        <w:spacing w:after="0" w:line="269" w:lineRule="auto"/>
        <w:tabs>
          <w:tab w:leader="none" w:pos="1879" w:val="left"/>
        </w:tabs>
        <w:numPr>
          <w:ilvl w:val="0"/>
          <w:numId w:val="56"/>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4" w:lineRule="exact"/>
        <w:rPr>
          <w:rFonts w:ascii="Arial" w:cs="Arial" w:eastAsia="Arial" w:hAnsi="Arial"/>
          <w:sz w:val="17"/>
          <w:szCs w:val="17"/>
          <w:color w:val="auto"/>
        </w:rPr>
      </w:pPr>
    </w:p>
    <w:p>
      <w:pPr>
        <w:ind w:left="1260" w:right="459" w:firstLine="360"/>
        <w:spacing w:after="0" w:line="286" w:lineRule="auto"/>
        <w:tabs>
          <w:tab w:leader="none" w:pos="1889"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undersigned registrant hereby undertakes to file an application for the purpose of determining the eligibility of the trustee to act under subsection (a) of Section 310 of the Trust Indenture Act (the “Act”) in accordance with the rules and regulations prescribed by the SEC under section 305(b)(2) of the Act.</w:t>
      </w:r>
    </w:p>
    <w:p>
      <w:pPr>
        <w:spacing w:after="0" w:line="34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2">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3" w:name="page74"/>
    <w:bookmarkEnd w:id="73"/>
    <w:p>
      <w:pPr>
        <w:spacing w:after="0"/>
        <w:rPr>
          <w:rFonts w:ascii="Arial" w:cs="Arial" w:eastAsia="Arial" w:hAnsi="Arial"/>
          <w:sz w:val="14"/>
          <w:szCs w:val="14"/>
          <w:color w:val="003366"/>
        </w:rPr>
      </w:pPr>
      <w:hyperlink w:anchor="page5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860"/>
        <w:spacing w:after="0"/>
        <w:rPr>
          <w:sz w:val="20"/>
          <w:szCs w:val="20"/>
          <w:color w:val="auto"/>
        </w:rPr>
      </w:pPr>
      <w:r>
        <w:rPr>
          <w:rFonts w:ascii="Arial" w:cs="Arial" w:eastAsia="Arial" w:hAnsi="Arial"/>
          <w:sz w:val="18"/>
          <w:szCs w:val="18"/>
          <w:b w:val="1"/>
          <w:bCs w:val="1"/>
          <w:color w:val="auto"/>
        </w:rPr>
        <w:t>SIGNATURES</w:t>
      </w:r>
    </w:p>
    <w:p>
      <w:pPr>
        <w:spacing w:after="0" w:line="135" w:lineRule="exact"/>
        <w:rPr>
          <w:sz w:val="20"/>
          <w:szCs w:val="20"/>
          <w:color w:val="auto"/>
        </w:rPr>
      </w:pPr>
    </w:p>
    <w:p>
      <w:pPr>
        <w:jc w:val="both"/>
        <w:ind w:left="1260" w:right="599" w:firstLine="360"/>
        <w:spacing w:after="0" w:line="24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S-3 and has duly caused this registration statement to be signed on its behalf by the undersigned, thereunto duly authorized, in the City of Sarasota, State of Florida, on March 19, 2021.</w:t>
      </w:r>
    </w:p>
    <w:p>
      <w:pPr>
        <w:spacing w:after="0" w:line="116"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VERONA PHARMA PLC</w:t>
      </w:r>
    </w:p>
    <w:p>
      <w:pPr>
        <w:spacing w:after="0" w:line="189" w:lineRule="exact"/>
        <w:rPr>
          <w:sz w:val="20"/>
          <w:szCs w:val="20"/>
          <w:color w:val="auto"/>
        </w:rPr>
      </w:pPr>
    </w:p>
    <w:p>
      <w:pPr>
        <w:ind w:left="5220"/>
        <w:spacing w:after="0"/>
        <w:tabs>
          <w:tab w:leader="none" w:pos="6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Zaccardelli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3517265</wp:posOffset>
            </wp:positionH>
            <wp:positionV relativeFrom="paragraph">
              <wp:posOffset>48895</wp:posOffset>
            </wp:positionV>
            <wp:extent cx="24942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84"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David Zaccardelli, Pharm. 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180"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POWER OF ATTORNEY</w:t>
      </w:r>
    </w:p>
    <w:p>
      <w:pPr>
        <w:spacing w:after="0" w:line="148" w:lineRule="exact"/>
        <w:rPr>
          <w:sz w:val="20"/>
          <w:szCs w:val="20"/>
          <w:color w:val="auto"/>
        </w:rPr>
      </w:pPr>
    </w:p>
    <w:p>
      <w:pPr>
        <w:ind w:left="1260" w:right="479" w:firstLine="360"/>
        <w:spacing w:after="0" w:line="237" w:lineRule="auto"/>
        <w:rPr>
          <w:sz w:val="20"/>
          <w:szCs w:val="20"/>
          <w:color w:val="auto"/>
        </w:rPr>
      </w:pPr>
      <w:r>
        <w:rPr>
          <w:rFonts w:ascii="Arial" w:cs="Arial" w:eastAsia="Arial" w:hAnsi="Arial"/>
          <w:sz w:val="18"/>
          <w:szCs w:val="18"/>
          <w:color w:val="auto"/>
        </w:rPr>
        <w:t>Each of the undersigned officers and directors of the registrant hereby severally constitutes and appoints David Zaccardelli and Mark Hahn, and each of them singly (with full power to each of them to act alone), as his or her true and lawful attorneys -in-fact and agents, with full power of substitution and resubstitution in each of them, for him or her and in his or her name, place and stead, and in any and all capacities, to file and sign any and all amendments, including post-effective amendments, to this registration statement and any other registration statement for the same offering that is to be effective under Rule 462(b) of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and about the premises as fully to all intents and purposes as he or she might or could do in person, hereby ratifying and confirming all that said attorneys -in-fact and agents, or their substitute or substitutes, may lawfully do or cause to be done by virtue hereof. This power of attorney shall be governed by and construed with the laws of the State of Delaware and applicable federal securities laws.</w:t>
      </w:r>
    </w:p>
    <w:p>
      <w:pPr>
        <w:spacing w:after="0" w:line="108" w:lineRule="exact"/>
        <w:rPr>
          <w:sz w:val="20"/>
          <w:szCs w:val="20"/>
          <w:color w:val="auto"/>
        </w:rPr>
      </w:pPr>
    </w:p>
    <w:p>
      <w:pPr>
        <w:ind w:left="1260" w:right="539" w:firstLine="360"/>
        <w:spacing w:after="0" w:line="24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on behalf of the registrant in the capacities and on the dates indicated.</w:t>
      </w:r>
    </w:p>
    <w:p>
      <w:pPr>
        <w:spacing w:after="0" w:line="133"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99"/>
              </w:rPr>
              <w:t>SIGNATURE</w:t>
            </w:r>
          </w:p>
        </w:tc>
        <w:tc>
          <w:tcPr>
            <w:tcW w:w="220" w:type="dxa"/>
            <w:vAlign w:val="bottom"/>
          </w:tcPr>
          <w:p>
            <w:pPr>
              <w:spacing w:after="0"/>
              <w:rPr>
                <w:sz w:val="16"/>
                <w:szCs w:val="16"/>
                <w:color w:val="auto"/>
              </w:rPr>
            </w:pPr>
          </w:p>
        </w:tc>
        <w:tc>
          <w:tcPr>
            <w:tcW w:w="3900" w:type="dxa"/>
            <w:vAlign w:val="bottom"/>
            <w:gridSpan w:val="2"/>
          </w:tcPr>
          <w:p>
            <w:pPr>
              <w:ind w:left="1620"/>
              <w:spacing w:after="0"/>
              <w:rPr>
                <w:sz w:val="20"/>
                <w:szCs w:val="20"/>
                <w:color w:val="auto"/>
              </w:rPr>
            </w:pPr>
            <w:r>
              <w:rPr>
                <w:rFonts w:ascii="Arial" w:cs="Arial" w:eastAsia="Arial" w:hAnsi="Arial"/>
                <w:sz w:val="14"/>
                <w:szCs w:val="14"/>
                <w:b w:val="1"/>
                <w:bCs w:val="1"/>
                <w:color w:val="auto"/>
              </w:rPr>
              <w:t>TITLE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25"/>
        </w:trPr>
        <w:tc>
          <w:tcPr>
            <w:tcW w:w="2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88"/>
        </w:trPr>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David Zaccardelli</w:t>
            </w:r>
          </w:p>
        </w:tc>
        <w:tc>
          <w:tcPr>
            <w:tcW w:w="22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President, Chief Executive Officer and Director</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March 19, 2021</w:t>
            </w:r>
          </w:p>
        </w:tc>
        <w:tc>
          <w:tcPr>
            <w:tcW w:w="0" w:type="dxa"/>
            <w:vAlign w:val="bottom"/>
          </w:tcPr>
          <w:p>
            <w:pPr>
              <w:spacing w:after="0"/>
              <w:rPr>
                <w:sz w:val="1"/>
                <w:szCs w:val="1"/>
                <w:color w:val="auto"/>
              </w:rPr>
            </w:pPr>
          </w:p>
        </w:tc>
      </w:tr>
      <w:tr>
        <w:trPr>
          <w:trHeight w:val="88"/>
        </w:trPr>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96"/>
              </w:rPr>
              <w:t>David Zaccardelli, Pharm. D.</w:t>
            </w:r>
          </w:p>
        </w:tc>
        <w:tc>
          <w:tcPr>
            <w:tcW w:w="220" w:type="dxa"/>
            <w:vAlign w:val="bottom"/>
          </w:tcPr>
          <w:p>
            <w:pPr>
              <w:spacing w:after="0"/>
              <w:rPr>
                <w:sz w:val="7"/>
                <w:szCs w:val="7"/>
                <w:color w:val="auto"/>
              </w:rPr>
            </w:pPr>
          </w:p>
        </w:tc>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(principal executive officer)</w:t>
            </w: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900" w:type="dxa"/>
            <w:vAlign w:val="bottom"/>
            <w:gridSpan w:val="2"/>
            <w:vMerge w:val="continue"/>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94"/>
        </w:trPr>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Mark Hahn</w:t>
            </w:r>
          </w:p>
        </w:tc>
        <w:tc>
          <w:tcPr>
            <w:tcW w:w="220" w:type="dxa"/>
            <w:vAlign w:val="bottom"/>
          </w:tcPr>
          <w:p>
            <w:pPr>
              <w:spacing w:after="0"/>
              <w:rPr>
                <w:sz w:val="24"/>
                <w:szCs w:val="24"/>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Chief Financial Officer (principal financial</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March 19, 2021</w:t>
            </w:r>
          </w:p>
        </w:tc>
        <w:tc>
          <w:tcPr>
            <w:tcW w:w="0" w:type="dxa"/>
            <w:vAlign w:val="bottom"/>
          </w:tcPr>
          <w:p>
            <w:pPr>
              <w:spacing w:after="0"/>
              <w:rPr>
                <w:sz w:val="1"/>
                <w:szCs w:val="1"/>
                <w:color w:val="auto"/>
              </w:rPr>
            </w:pPr>
          </w:p>
        </w:tc>
      </w:tr>
      <w:tr>
        <w:trPr>
          <w:trHeight w:val="88"/>
        </w:trPr>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95"/>
              </w:rPr>
              <w:t>Mark Hahn</w:t>
            </w:r>
          </w:p>
        </w:tc>
        <w:tc>
          <w:tcPr>
            <w:tcW w:w="220" w:type="dxa"/>
            <w:vAlign w:val="bottom"/>
          </w:tcPr>
          <w:p>
            <w:pPr>
              <w:spacing w:after="0"/>
              <w:rPr>
                <w:sz w:val="7"/>
                <w:szCs w:val="7"/>
                <w:color w:val="auto"/>
              </w:rPr>
            </w:pPr>
          </w:p>
        </w:tc>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officer and accounting officer)</w:t>
            </w: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900" w:type="dxa"/>
            <w:vAlign w:val="bottom"/>
            <w:gridSpan w:val="2"/>
            <w:vMerge w:val="continue"/>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3"/>
        </w:trPr>
        <w:tc>
          <w:tcPr>
            <w:tcW w:w="2800" w:type="dxa"/>
            <w:vAlign w:val="bottom"/>
          </w:tcPr>
          <w:p>
            <w:pPr>
              <w:jc w:val="center"/>
              <w:spacing w:after="0"/>
              <w:rPr>
                <w:sz w:val="20"/>
                <w:szCs w:val="20"/>
                <w:color w:val="auto"/>
              </w:rPr>
            </w:pPr>
            <w:r>
              <w:rPr>
                <w:rFonts w:ascii="Arial" w:cs="Arial" w:eastAsia="Arial" w:hAnsi="Arial"/>
                <w:sz w:val="18"/>
                <w:szCs w:val="18"/>
                <w:color w:val="auto"/>
                <w:w w:val="95"/>
              </w:rPr>
              <w:t>/s/ David Ebsworth</w:t>
            </w:r>
          </w:p>
        </w:tc>
        <w:tc>
          <w:tcPr>
            <w:tcW w:w="220" w:type="dxa"/>
            <w:vAlign w:val="bottom"/>
          </w:tcPr>
          <w:p>
            <w:pPr>
              <w:spacing w:after="0"/>
              <w:rPr>
                <w:sz w:val="24"/>
                <w:szCs w:val="24"/>
                <w:color w:val="auto"/>
              </w:rPr>
            </w:pPr>
          </w:p>
        </w:tc>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Chairperson of the Board of Directors</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March 19, 2021</w:t>
            </w:r>
          </w:p>
        </w:tc>
        <w:tc>
          <w:tcPr>
            <w:tcW w:w="0" w:type="dxa"/>
            <w:vAlign w:val="bottom"/>
          </w:tcPr>
          <w:p>
            <w:pPr>
              <w:spacing w:after="0"/>
              <w:rPr>
                <w:sz w:val="1"/>
                <w:szCs w:val="1"/>
                <w:color w:val="auto"/>
              </w:rPr>
            </w:pPr>
          </w:p>
        </w:tc>
      </w:tr>
      <w:tr>
        <w:trPr>
          <w:trHeight w:val="40"/>
        </w:trPr>
        <w:tc>
          <w:tcPr>
            <w:tcW w:w="280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3900" w:type="dxa"/>
            <w:vAlign w:val="bottom"/>
            <w:gridSpan w:val="2"/>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96"/>
              </w:rPr>
              <w:t>David Ebsworth</w:t>
            </w:r>
          </w:p>
        </w:tc>
        <w:tc>
          <w:tcPr>
            <w:tcW w:w="220" w:type="dxa"/>
            <w:vAlign w:val="bottom"/>
            <w:vMerge w:val="continue"/>
          </w:tcPr>
          <w:p>
            <w:pPr>
              <w:spacing w:after="0"/>
              <w:rPr>
                <w:sz w:val="7"/>
                <w:szCs w:val="7"/>
                <w:color w:val="auto"/>
              </w:rPr>
            </w:pPr>
          </w:p>
        </w:tc>
        <w:tc>
          <w:tcPr>
            <w:tcW w:w="390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4"/>
        </w:trPr>
        <w:tc>
          <w:tcPr>
            <w:tcW w:w="2800" w:type="dxa"/>
            <w:vAlign w:val="bottom"/>
          </w:tcPr>
          <w:p>
            <w:pPr>
              <w:jc w:val="center"/>
              <w:spacing w:after="0"/>
              <w:rPr>
                <w:sz w:val="20"/>
                <w:szCs w:val="20"/>
                <w:color w:val="auto"/>
              </w:rPr>
            </w:pPr>
            <w:r>
              <w:rPr>
                <w:rFonts w:ascii="Arial" w:cs="Arial" w:eastAsia="Arial" w:hAnsi="Arial"/>
                <w:sz w:val="18"/>
                <w:szCs w:val="18"/>
                <w:color w:val="auto"/>
                <w:w w:val="95"/>
              </w:rPr>
              <w:t>/s/ Ken Cunningham</w:t>
            </w:r>
          </w:p>
        </w:tc>
        <w:tc>
          <w:tcPr>
            <w:tcW w:w="220" w:type="dxa"/>
            <w:vAlign w:val="bottom"/>
          </w:tcPr>
          <w:p>
            <w:pPr>
              <w:spacing w:after="0"/>
              <w:rPr>
                <w:sz w:val="24"/>
                <w:szCs w:val="24"/>
                <w:color w:val="auto"/>
              </w:rPr>
            </w:pPr>
          </w:p>
        </w:tc>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March 19, 2021</w:t>
            </w:r>
          </w:p>
        </w:tc>
        <w:tc>
          <w:tcPr>
            <w:tcW w:w="0" w:type="dxa"/>
            <w:vAlign w:val="bottom"/>
          </w:tcPr>
          <w:p>
            <w:pPr>
              <w:spacing w:after="0"/>
              <w:rPr>
                <w:sz w:val="1"/>
                <w:szCs w:val="1"/>
                <w:color w:val="auto"/>
              </w:rPr>
            </w:pPr>
          </w:p>
        </w:tc>
      </w:tr>
      <w:tr>
        <w:trPr>
          <w:trHeight w:val="40"/>
        </w:trPr>
        <w:tc>
          <w:tcPr>
            <w:tcW w:w="280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3900" w:type="dxa"/>
            <w:vAlign w:val="bottom"/>
            <w:gridSpan w:val="2"/>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96"/>
              </w:rPr>
              <w:t>Ken Cunningham, M.D.</w:t>
            </w:r>
          </w:p>
        </w:tc>
        <w:tc>
          <w:tcPr>
            <w:tcW w:w="220" w:type="dxa"/>
            <w:vAlign w:val="bottom"/>
            <w:vMerge w:val="continue"/>
          </w:tcPr>
          <w:p>
            <w:pPr>
              <w:spacing w:after="0"/>
              <w:rPr>
                <w:sz w:val="7"/>
                <w:szCs w:val="7"/>
                <w:color w:val="auto"/>
              </w:rPr>
            </w:pPr>
          </w:p>
        </w:tc>
        <w:tc>
          <w:tcPr>
            <w:tcW w:w="390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3"/>
        </w:trPr>
        <w:tc>
          <w:tcPr>
            <w:tcW w:w="2800" w:type="dxa"/>
            <w:vAlign w:val="bottom"/>
          </w:tcPr>
          <w:p>
            <w:pPr>
              <w:jc w:val="center"/>
              <w:spacing w:after="0"/>
              <w:rPr>
                <w:sz w:val="20"/>
                <w:szCs w:val="20"/>
                <w:color w:val="auto"/>
              </w:rPr>
            </w:pPr>
            <w:r>
              <w:rPr>
                <w:rFonts w:ascii="Arial" w:cs="Arial" w:eastAsia="Arial" w:hAnsi="Arial"/>
                <w:sz w:val="18"/>
                <w:szCs w:val="18"/>
                <w:color w:val="auto"/>
                <w:w w:val="92"/>
              </w:rPr>
              <w:t>/s/ Lisa Deschamps</w:t>
            </w:r>
          </w:p>
        </w:tc>
        <w:tc>
          <w:tcPr>
            <w:tcW w:w="220" w:type="dxa"/>
            <w:vAlign w:val="bottom"/>
          </w:tcPr>
          <w:p>
            <w:pPr>
              <w:spacing w:after="0"/>
              <w:rPr>
                <w:sz w:val="24"/>
                <w:szCs w:val="24"/>
                <w:color w:val="auto"/>
              </w:rPr>
            </w:pPr>
          </w:p>
        </w:tc>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March 19, 2021</w:t>
            </w:r>
          </w:p>
        </w:tc>
        <w:tc>
          <w:tcPr>
            <w:tcW w:w="0" w:type="dxa"/>
            <w:vAlign w:val="bottom"/>
          </w:tcPr>
          <w:p>
            <w:pPr>
              <w:spacing w:after="0"/>
              <w:rPr>
                <w:sz w:val="1"/>
                <w:szCs w:val="1"/>
                <w:color w:val="auto"/>
              </w:rPr>
            </w:pPr>
          </w:p>
        </w:tc>
      </w:tr>
      <w:tr>
        <w:trPr>
          <w:trHeight w:val="41"/>
        </w:trPr>
        <w:tc>
          <w:tcPr>
            <w:tcW w:w="280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3900" w:type="dxa"/>
            <w:vAlign w:val="bottom"/>
            <w:gridSpan w:val="2"/>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93"/>
              </w:rPr>
              <w:t>Lisa Deschamps</w:t>
            </w:r>
          </w:p>
        </w:tc>
        <w:tc>
          <w:tcPr>
            <w:tcW w:w="220" w:type="dxa"/>
            <w:vAlign w:val="bottom"/>
            <w:vMerge w:val="continue"/>
          </w:tcPr>
          <w:p>
            <w:pPr>
              <w:spacing w:after="0"/>
              <w:rPr>
                <w:sz w:val="7"/>
                <w:szCs w:val="7"/>
                <w:color w:val="auto"/>
              </w:rPr>
            </w:pPr>
          </w:p>
        </w:tc>
        <w:tc>
          <w:tcPr>
            <w:tcW w:w="390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4"/>
        </w:trPr>
        <w:tc>
          <w:tcPr>
            <w:tcW w:w="2800" w:type="dxa"/>
            <w:vAlign w:val="bottom"/>
          </w:tcPr>
          <w:p>
            <w:pPr>
              <w:jc w:val="center"/>
              <w:spacing w:after="0"/>
              <w:rPr>
                <w:sz w:val="20"/>
                <w:szCs w:val="20"/>
                <w:color w:val="auto"/>
              </w:rPr>
            </w:pPr>
            <w:r>
              <w:rPr>
                <w:rFonts w:ascii="Arial" w:cs="Arial" w:eastAsia="Arial" w:hAnsi="Arial"/>
                <w:sz w:val="18"/>
                <w:szCs w:val="18"/>
                <w:color w:val="auto"/>
                <w:w w:val="96"/>
              </w:rPr>
              <w:t>/s/ Martin Edwards</w:t>
            </w:r>
          </w:p>
        </w:tc>
        <w:tc>
          <w:tcPr>
            <w:tcW w:w="220" w:type="dxa"/>
            <w:vAlign w:val="bottom"/>
          </w:tcPr>
          <w:p>
            <w:pPr>
              <w:spacing w:after="0"/>
              <w:rPr>
                <w:sz w:val="24"/>
                <w:szCs w:val="24"/>
                <w:color w:val="auto"/>
              </w:rPr>
            </w:pPr>
          </w:p>
        </w:tc>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March 19, 2021</w:t>
            </w:r>
          </w:p>
        </w:tc>
        <w:tc>
          <w:tcPr>
            <w:tcW w:w="0" w:type="dxa"/>
            <w:vAlign w:val="bottom"/>
          </w:tcPr>
          <w:p>
            <w:pPr>
              <w:spacing w:after="0"/>
              <w:rPr>
                <w:sz w:val="1"/>
                <w:szCs w:val="1"/>
                <w:color w:val="auto"/>
              </w:rPr>
            </w:pPr>
          </w:p>
        </w:tc>
      </w:tr>
      <w:tr>
        <w:trPr>
          <w:trHeight w:val="40"/>
        </w:trPr>
        <w:tc>
          <w:tcPr>
            <w:tcW w:w="280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3900" w:type="dxa"/>
            <w:vAlign w:val="bottom"/>
            <w:gridSpan w:val="2"/>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98"/>
              </w:rPr>
              <w:t>Martin Edwards, M.D.</w:t>
            </w:r>
          </w:p>
        </w:tc>
        <w:tc>
          <w:tcPr>
            <w:tcW w:w="220" w:type="dxa"/>
            <w:vAlign w:val="bottom"/>
            <w:vMerge w:val="continue"/>
          </w:tcPr>
          <w:p>
            <w:pPr>
              <w:spacing w:after="0"/>
              <w:rPr>
                <w:sz w:val="7"/>
                <w:szCs w:val="7"/>
                <w:color w:val="auto"/>
              </w:rPr>
            </w:pPr>
          </w:p>
        </w:tc>
        <w:tc>
          <w:tcPr>
            <w:tcW w:w="390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132" w:right="1440" w:bottom="1440" w:gutter="0" w:footer="0" w:header="0"/>
        </w:sectPr>
      </w:pPr>
    </w:p>
    <w:p>
      <w:pPr>
        <w:spacing w:after="0" w:line="17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4">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type w:val="continuous"/>
        </w:sectPr>
      </w:pPr>
    </w:p>
    <w:bookmarkStart w:id="74" w:name="page75"/>
    <w:bookmarkEnd w:id="74"/>
    <w:p>
      <w:pPr>
        <w:spacing w:after="0"/>
        <w:rPr>
          <w:rFonts w:ascii="Arial" w:cs="Arial" w:eastAsia="Arial" w:hAnsi="Arial"/>
          <w:sz w:val="14"/>
          <w:szCs w:val="14"/>
          <w:color w:val="003366"/>
        </w:rPr>
      </w:pPr>
      <w:hyperlink w:anchor="page5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tbl>
      <w:tblPr>
        <w:tblLayout w:type="fixed"/>
        <w:tblInd w:w="1260" w:type="dxa"/>
        <w:tblCellMar>
          <w:top w:w="0" w:type="dxa"/>
          <w:left w:w="0" w:type="dxa"/>
          <w:bottom w:w="0" w:type="dxa"/>
          <w:right w:w="0" w:type="dxa"/>
        </w:tblCellMar>
      </w:tblPr>
      <w:tr>
        <w:trPr>
          <w:trHeight w:val="186"/>
        </w:trPr>
        <w:tc>
          <w:tcPr>
            <w:tcW w:w="2800" w:type="dxa"/>
            <w:vAlign w:val="bottom"/>
          </w:tcPr>
          <w:p>
            <w:pPr>
              <w:jc w:val="center"/>
              <w:spacing w:after="0"/>
              <w:rPr>
                <w:sz w:val="20"/>
                <w:szCs w:val="20"/>
                <w:color w:val="auto"/>
              </w:rPr>
            </w:pPr>
            <w:r>
              <w:rPr>
                <w:rFonts w:ascii="Arial" w:cs="Arial" w:eastAsia="Arial" w:hAnsi="Arial"/>
                <w:sz w:val="14"/>
                <w:szCs w:val="14"/>
                <w:b w:val="1"/>
                <w:bCs w:val="1"/>
                <w:color w:val="auto"/>
                <w:w w:val="99"/>
              </w:rPr>
              <w:t>SIGNATURE</w:t>
            </w:r>
          </w:p>
        </w:tc>
        <w:tc>
          <w:tcPr>
            <w:tcW w:w="220" w:type="dxa"/>
            <w:vAlign w:val="bottom"/>
          </w:tcPr>
          <w:p>
            <w:pPr>
              <w:spacing w:after="0"/>
              <w:rPr>
                <w:sz w:val="16"/>
                <w:szCs w:val="16"/>
                <w:color w:val="auto"/>
              </w:rPr>
            </w:pPr>
          </w:p>
        </w:tc>
        <w:tc>
          <w:tcPr>
            <w:tcW w:w="3900" w:type="dxa"/>
            <w:vAlign w:val="bottom"/>
            <w:gridSpan w:val="2"/>
          </w:tcPr>
          <w:p>
            <w:pPr>
              <w:ind w:left="1620"/>
              <w:spacing w:after="0"/>
              <w:rPr>
                <w:sz w:val="20"/>
                <w:szCs w:val="20"/>
                <w:color w:val="auto"/>
              </w:rPr>
            </w:pPr>
            <w:r>
              <w:rPr>
                <w:rFonts w:ascii="Arial" w:cs="Arial" w:eastAsia="Arial" w:hAnsi="Arial"/>
                <w:sz w:val="14"/>
                <w:szCs w:val="14"/>
                <w:b w:val="1"/>
                <w:bCs w:val="1"/>
                <w:color w:val="auto"/>
              </w:rPr>
              <w:t>TITLE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9"/>
              </w:rPr>
              <w:t>DATE</w:t>
            </w:r>
          </w:p>
        </w:tc>
        <w:tc>
          <w:tcPr>
            <w:tcW w:w="0" w:type="dxa"/>
            <w:vAlign w:val="bottom"/>
          </w:tcPr>
          <w:p>
            <w:pPr>
              <w:spacing w:after="0"/>
              <w:rPr>
                <w:sz w:val="1"/>
                <w:szCs w:val="1"/>
                <w:color w:val="auto"/>
              </w:rPr>
            </w:pPr>
          </w:p>
        </w:tc>
      </w:tr>
      <w:tr>
        <w:trPr>
          <w:trHeight w:val="26"/>
        </w:trPr>
        <w:tc>
          <w:tcPr>
            <w:tcW w:w="28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47"/>
        </w:trPr>
        <w:tc>
          <w:tcPr>
            <w:tcW w:w="2800" w:type="dxa"/>
            <w:vAlign w:val="bottom"/>
          </w:tcPr>
          <w:p>
            <w:pPr>
              <w:jc w:val="center"/>
              <w:spacing w:after="0"/>
              <w:rPr>
                <w:sz w:val="20"/>
                <w:szCs w:val="20"/>
                <w:color w:val="auto"/>
              </w:rPr>
            </w:pPr>
            <w:r>
              <w:rPr>
                <w:rFonts w:ascii="Arial" w:cs="Arial" w:eastAsia="Arial" w:hAnsi="Arial"/>
                <w:sz w:val="18"/>
                <w:szCs w:val="18"/>
                <w:color w:val="auto"/>
                <w:w w:val="94"/>
              </w:rPr>
              <w:t>/s/ Rishi Gupta</w:t>
            </w:r>
          </w:p>
        </w:tc>
        <w:tc>
          <w:tcPr>
            <w:tcW w:w="220" w:type="dxa"/>
            <w:vAlign w:val="bottom"/>
          </w:tcPr>
          <w:p>
            <w:pPr>
              <w:spacing w:after="0"/>
              <w:rPr>
                <w:sz w:val="24"/>
                <w:szCs w:val="24"/>
                <w:color w:val="auto"/>
              </w:rPr>
            </w:pPr>
          </w:p>
        </w:tc>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March 19, 2021</w:t>
            </w:r>
          </w:p>
        </w:tc>
        <w:tc>
          <w:tcPr>
            <w:tcW w:w="0" w:type="dxa"/>
            <w:vAlign w:val="bottom"/>
          </w:tcPr>
          <w:p>
            <w:pPr>
              <w:spacing w:after="0"/>
              <w:rPr>
                <w:sz w:val="1"/>
                <w:szCs w:val="1"/>
                <w:color w:val="auto"/>
              </w:rPr>
            </w:pPr>
          </w:p>
        </w:tc>
      </w:tr>
      <w:tr>
        <w:trPr>
          <w:trHeight w:val="40"/>
        </w:trPr>
        <w:tc>
          <w:tcPr>
            <w:tcW w:w="280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3900" w:type="dxa"/>
            <w:vAlign w:val="bottom"/>
            <w:gridSpan w:val="2"/>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95"/>
              </w:rPr>
              <w:t>Rishi Gupta</w:t>
            </w:r>
          </w:p>
        </w:tc>
        <w:tc>
          <w:tcPr>
            <w:tcW w:w="220" w:type="dxa"/>
            <w:vAlign w:val="bottom"/>
            <w:vMerge w:val="continue"/>
          </w:tcPr>
          <w:p>
            <w:pPr>
              <w:spacing w:after="0"/>
              <w:rPr>
                <w:sz w:val="7"/>
                <w:szCs w:val="7"/>
                <w:color w:val="auto"/>
              </w:rPr>
            </w:pPr>
          </w:p>
        </w:tc>
        <w:tc>
          <w:tcPr>
            <w:tcW w:w="390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3"/>
        </w:trPr>
        <w:tc>
          <w:tcPr>
            <w:tcW w:w="2800" w:type="dxa"/>
            <w:vAlign w:val="bottom"/>
          </w:tcPr>
          <w:p>
            <w:pPr>
              <w:jc w:val="center"/>
              <w:spacing w:after="0"/>
              <w:rPr>
                <w:sz w:val="20"/>
                <w:szCs w:val="20"/>
                <w:color w:val="auto"/>
              </w:rPr>
            </w:pPr>
            <w:r>
              <w:rPr>
                <w:rFonts w:ascii="Arial" w:cs="Arial" w:eastAsia="Arial" w:hAnsi="Arial"/>
                <w:sz w:val="18"/>
                <w:szCs w:val="18"/>
                <w:color w:val="auto"/>
                <w:w w:val="92"/>
              </w:rPr>
              <w:t>/s/ Mahendra Shah</w:t>
            </w:r>
          </w:p>
        </w:tc>
        <w:tc>
          <w:tcPr>
            <w:tcW w:w="220" w:type="dxa"/>
            <w:vAlign w:val="bottom"/>
          </w:tcPr>
          <w:p>
            <w:pPr>
              <w:spacing w:after="0"/>
              <w:rPr>
                <w:sz w:val="24"/>
                <w:szCs w:val="24"/>
                <w:color w:val="auto"/>
              </w:rPr>
            </w:pPr>
          </w:p>
        </w:tc>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March 19, 2021</w:t>
            </w:r>
          </w:p>
        </w:tc>
        <w:tc>
          <w:tcPr>
            <w:tcW w:w="0" w:type="dxa"/>
            <w:vAlign w:val="bottom"/>
          </w:tcPr>
          <w:p>
            <w:pPr>
              <w:spacing w:after="0"/>
              <w:rPr>
                <w:sz w:val="1"/>
                <w:szCs w:val="1"/>
                <w:color w:val="auto"/>
              </w:rPr>
            </w:pPr>
          </w:p>
        </w:tc>
      </w:tr>
      <w:tr>
        <w:trPr>
          <w:trHeight w:val="40"/>
        </w:trPr>
        <w:tc>
          <w:tcPr>
            <w:tcW w:w="280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3900" w:type="dxa"/>
            <w:vAlign w:val="bottom"/>
            <w:gridSpan w:val="2"/>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92"/>
              </w:rPr>
              <w:t>Mahendra Shah, Ph.D.</w:t>
            </w:r>
          </w:p>
        </w:tc>
        <w:tc>
          <w:tcPr>
            <w:tcW w:w="220" w:type="dxa"/>
            <w:vAlign w:val="bottom"/>
            <w:vMerge w:val="continue"/>
          </w:tcPr>
          <w:p>
            <w:pPr>
              <w:spacing w:after="0"/>
              <w:rPr>
                <w:sz w:val="7"/>
                <w:szCs w:val="7"/>
                <w:color w:val="auto"/>
              </w:rPr>
            </w:pPr>
          </w:p>
        </w:tc>
        <w:tc>
          <w:tcPr>
            <w:tcW w:w="390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3"/>
        </w:trPr>
        <w:tc>
          <w:tcPr>
            <w:tcW w:w="2800" w:type="dxa"/>
            <w:vAlign w:val="bottom"/>
          </w:tcPr>
          <w:p>
            <w:pPr>
              <w:jc w:val="center"/>
              <w:spacing w:after="0"/>
              <w:rPr>
                <w:sz w:val="20"/>
                <w:szCs w:val="20"/>
                <w:color w:val="auto"/>
              </w:rPr>
            </w:pPr>
            <w:r>
              <w:rPr>
                <w:rFonts w:ascii="Arial" w:cs="Arial" w:eastAsia="Arial" w:hAnsi="Arial"/>
                <w:sz w:val="18"/>
                <w:szCs w:val="18"/>
                <w:color w:val="auto"/>
                <w:w w:val="97"/>
              </w:rPr>
              <w:t>/s/ Andrew Sinclair</w:t>
            </w:r>
          </w:p>
        </w:tc>
        <w:tc>
          <w:tcPr>
            <w:tcW w:w="220" w:type="dxa"/>
            <w:vAlign w:val="bottom"/>
          </w:tcPr>
          <w:p>
            <w:pPr>
              <w:spacing w:after="0"/>
              <w:rPr>
                <w:sz w:val="24"/>
                <w:szCs w:val="24"/>
                <w:color w:val="auto"/>
              </w:rPr>
            </w:pPr>
          </w:p>
        </w:tc>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March 19, 2021</w:t>
            </w:r>
          </w:p>
        </w:tc>
        <w:tc>
          <w:tcPr>
            <w:tcW w:w="0" w:type="dxa"/>
            <w:vAlign w:val="bottom"/>
          </w:tcPr>
          <w:p>
            <w:pPr>
              <w:spacing w:after="0"/>
              <w:rPr>
                <w:sz w:val="1"/>
                <w:szCs w:val="1"/>
                <w:color w:val="auto"/>
              </w:rPr>
            </w:pPr>
          </w:p>
        </w:tc>
      </w:tr>
      <w:tr>
        <w:trPr>
          <w:trHeight w:val="41"/>
        </w:trPr>
        <w:tc>
          <w:tcPr>
            <w:tcW w:w="280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3900" w:type="dxa"/>
            <w:vAlign w:val="bottom"/>
            <w:gridSpan w:val="2"/>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97"/>
              </w:rPr>
              <w:t>Andrew Sinclair, Ph.D.</w:t>
            </w:r>
          </w:p>
        </w:tc>
        <w:tc>
          <w:tcPr>
            <w:tcW w:w="220" w:type="dxa"/>
            <w:vAlign w:val="bottom"/>
            <w:vMerge w:val="continue"/>
          </w:tcPr>
          <w:p>
            <w:pPr>
              <w:spacing w:after="0"/>
              <w:rPr>
                <w:sz w:val="7"/>
                <w:szCs w:val="7"/>
                <w:color w:val="auto"/>
              </w:rPr>
            </w:pPr>
          </w:p>
        </w:tc>
        <w:tc>
          <w:tcPr>
            <w:tcW w:w="390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3"/>
        </w:trPr>
        <w:tc>
          <w:tcPr>
            <w:tcW w:w="2800" w:type="dxa"/>
            <w:vAlign w:val="bottom"/>
          </w:tcPr>
          <w:p>
            <w:pPr>
              <w:jc w:val="center"/>
              <w:spacing w:after="0"/>
              <w:rPr>
                <w:sz w:val="20"/>
                <w:szCs w:val="20"/>
                <w:color w:val="auto"/>
              </w:rPr>
            </w:pPr>
            <w:r>
              <w:rPr>
                <w:rFonts w:ascii="Arial" w:cs="Arial" w:eastAsia="Arial" w:hAnsi="Arial"/>
                <w:sz w:val="18"/>
                <w:szCs w:val="18"/>
                <w:color w:val="auto"/>
                <w:w w:val="94"/>
              </w:rPr>
              <w:t>/s/ Vikas Sinha</w:t>
            </w:r>
          </w:p>
        </w:tc>
        <w:tc>
          <w:tcPr>
            <w:tcW w:w="220" w:type="dxa"/>
            <w:vAlign w:val="bottom"/>
          </w:tcPr>
          <w:p>
            <w:pPr>
              <w:spacing w:after="0"/>
              <w:rPr>
                <w:sz w:val="24"/>
                <w:szCs w:val="24"/>
                <w:color w:val="auto"/>
              </w:rPr>
            </w:pPr>
          </w:p>
        </w:tc>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March 19, 2021</w:t>
            </w:r>
          </w:p>
        </w:tc>
        <w:tc>
          <w:tcPr>
            <w:tcW w:w="0" w:type="dxa"/>
            <w:vAlign w:val="bottom"/>
          </w:tcPr>
          <w:p>
            <w:pPr>
              <w:spacing w:after="0"/>
              <w:rPr>
                <w:sz w:val="1"/>
                <w:szCs w:val="1"/>
                <w:color w:val="auto"/>
              </w:rPr>
            </w:pPr>
          </w:p>
        </w:tc>
      </w:tr>
      <w:tr>
        <w:trPr>
          <w:trHeight w:val="41"/>
        </w:trPr>
        <w:tc>
          <w:tcPr>
            <w:tcW w:w="280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3900" w:type="dxa"/>
            <w:vAlign w:val="bottom"/>
            <w:gridSpan w:val="2"/>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94"/>
              </w:rPr>
              <w:t>Vikas Sinha</w:t>
            </w:r>
          </w:p>
        </w:tc>
        <w:tc>
          <w:tcPr>
            <w:tcW w:w="220" w:type="dxa"/>
            <w:vAlign w:val="bottom"/>
            <w:vMerge w:val="continue"/>
          </w:tcPr>
          <w:p>
            <w:pPr>
              <w:spacing w:after="0"/>
              <w:rPr>
                <w:sz w:val="7"/>
                <w:szCs w:val="7"/>
                <w:color w:val="auto"/>
              </w:rPr>
            </w:pPr>
          </w:p>
        </w:tc>
        <w:tc>
          <w:tcPr>
            <w:tcW w:w="390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53"/>
        </w:trPr>
        <w:tc>
          <w:tcPr>
            <w:tcW w:w="2800" w:type="dxa"/>
            <w:vAlign w:val="bottom"/>
          </w:tcPr>
          <w:p>
            <w:pPr>
              <w:jc w:val="center"/>
              <w:spacing w:after="0"/>
              <w:rPr>
                <w:sz w:val="20"/>
                <w:szCs w:val="20"/>
                <w:color w:val="auto"/>
              </w:rPr>
            </w:pPr>
            <w:r>
              <w:rPr>
                <w:rFonts w:ascii="Arial" w:cs="Arial" w:eastAsia="Arial" w:hAnsi="Arial"/>
                <w:sz w:val="18"/>
                <w:szCs w:val="18"/>
                <w:color w:val="auto"/>
                <w:w w:val="97"/>
              </w:rPr>
              <w:t>/s/ Anders Ullman</w:t>
            </w:r>
          </w:p>
        </w:tc>
        <w:tc>
          <w:tcPr>
            <w:tcW w:w="220" w:type="dxa"/>
            <w:vAlign w:val="bottom"/>
          </w:tcPr>
          <w:p>
            <w:pPr>
              <w:spacing w:after="0"/>
              <w:rPr>
                <w:sz w:val="24"/>
                <w:szCs w:val="24"/>
                <w:color w:val="auto"/>
              </w:rPr>
            </w:pPr>
          </w:p>
        </w:tc>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Director</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5"/>
              </w:rPr>
              <w:t>March 19, 2021</w:t>
            </w:r>
          </w:p>
        </w:tc>
        <w:tc>
          <w:tcPr>
            <w:tcW w:w="0" w:type="dxa"/>
            <w:vAlign w:val="bottom"/>
          </w:tcPr>
          <w:p>
            <w:pPr>
              <w:spacing w:after="0"/>
              <w:rPr>
                <w:sz w:val="1"/>
                <w:szCs w:val="1"/>
                <w:color w:val="auto"/>
              </w:rPr>
            </w:pPr>
          </w:p>
        </w:tc>
      </w:tr>
      <w:tr>
        <w:trPr>
          <w:trHeight w:val="40"/>
        </w:trPr>
        <w:tc>
          <w:tcPr>
            <w:tcW w:w="2800" w:type="dxa"/>
            <w:vAlign w:val="bottom"/>
            <w:tcBorders>
              <w:bottom w:val="single" w:sz="8" w:color="auto"/>
            </w:tcBorders>
          </w:tcPr>
          <w:p>
            <w:pPr>
              <w:spacing w:after="0"/>
              <w:rPr>
                <w:sz w:val="3"/>
                <w:szCs w:val="3"/>
                <w:color w:val="auto"/>
              </w:rPr>
            </w:pPr>
          </w:p>
        </w:tc>
        <w:tc>
          <w:tcPr>
            <w:tcW w:w="220" w:type="dxa"/>
            <w:vAlign w:val="bottom"/>
            <w:vMerge w:val="restart"/>
          </w:tcPr>
          <w:p>
            <w:pPr>
              <w:spacing w:after="0"/>
              <w:rPr>
                <w:sz w:val="3"/>
                <w:szCs w:val="3"/>
                <w:color w:val="auto"/>
              </w:rPr>
            </w:pPr>
          </w:p>
        </w:tc>
        <w:tc>
          <w:tcPr>
            <w:tcW w:w="3900" w:type="dxa"/>
            <w:vAlign w:val="bottom"/>
            <w:gridSpan w:val="2"/>
            <w:vMerge w:val="continue"/>
          </w:tcPr>
          <w:p>
            <w:pPr>
              <w:spacing w:after="0"/>
              <w:rPr>
                <w:sz w:val="3"/>
                <w:szCs w:val="3"/>
                <w:color w:val="auto"/>
              </w:rPr>
            </w:pPr>
          </w:p>
        </w:tc>
        <w:tc>
          <w:tcPr>
            <w:tcW w:w="1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88"/>
        </w:trPr>
        <w:tc>
          <w:tcPr>
            <w:tcW w:w="2800" w:type="dxa"/>
            <w:vAlign w:val="bottom"/>
            <w:vMerge w:val="restart"/>
          </w:tcPr>
          <w:p>
            <w:pPr>
              <w:jc w:val="center"/>
              <w:spacing w:after="0"/>
              <w:rPr>
                <w:sz w:val="20"/>
                <w:szCs w:val="20"/>
                <w:color w:val="auto"/>
              </w:rPr>
            </w:pPr>
            <w:r>
              <w:rPr>
                <w:rFonts w:ascii="Arial" w:cs="Arial" w:eastAsia="Arial" w:hAnsi="Arial"/>
                <w:sz w:val="18"/>
                <w:szCs w:val="18"/>
                <w:color w:val="auto"/>
                <w:w w:val="97"/>
              </w:rPr>
              <w:t>Anders Ullman, M.D., Ph.D.</w:t>
            </w:r>
          </w:p>
        </w:tc>
        <w:tc>
          <w:tcPr>
            <w:tcW w:w="220" w:type="dxa"/>
            <w:vAlign w:val="bottom"/>
            <w:vMerge w:val="continue"/>
          </w:tcPr>
          <w:p>
            <w:pPr>
              <w:spacing w:after="0"/>
              <w:rPr>
                <w:sz w:val="7"/>
                <w:szCs w:val="7"/>
                <w:color w:val="auto"/>
              </w:rPr>
            </w:pPr>
          </w:p>
        </w:tc>
        <w:tc>
          <w:tcPr>
            <w:tcW w:w="390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8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5">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5" w:name="page76"/>
    <w:bookmarkEnd w:id="75"/>
    <w:p>
      <w:pPr>
        <w:spacing w:after="0"/>
        <w:rPr>
          <w:rFonts w:ascii="Arial" w:cs="Arial" w:eastAsia="Arial" w:hAnsi="Arial"/>
          <w:sz w:val="14"/>
          <w:szCs w:val="14"/>
          <w:color w:val="003366"/>
        </w:rPr>
      </w:pPr>
      <w:hyperlink w:anchor="page54">
        <w:r>
          <w:rPr>
            <w:rFonts w:ascii="Arial" w:cs="Arial" w:eastAsia="Arial" w:hAnsi="Arial"/>
            <w:sz w:val="14"/>
            <w:szCs w:val="14"/>
            <w:color w:val="003366"/>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SIGNATURE OF AUTHORIZED U.S. REPRESENTATIVE OF REGISTRANT</w:t>
      </w:r>
    </w:p>
    <w:p>
      <w:pPr>
        <w:spacing w:after="0" w:line="148" w:lineRule="exact"/>
        <w:rPr>
          <w:sz w:val="20"/>
          <w:szCs w:val="20"/>
          <w:color w:val="auto"/>
        </w:rPr>
      </w:pPr>
    </w:p>
    <w:p>
      <w:pPr>
        <w:ind w:left="1260" w:right="519" w:firstLine="36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undersigned, the duly authorized representative in the United States of Verona Pharma plc, has signed this Registration Statement on Form S-3, in the City of New York, State of New York, on March 19, 2021.</w:t>
      </w:r>
    </w:p>
    <w:p>
      <w:pPr>
        <w:spacing w:after="0" w:line="180"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COGENCY GLOBAL INC.</w:t>
      </w:r>
    </w:p>
    <w:p>
      <w:pPr>
        <w:spacing w:after="0" w:line="2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(Authorized Representative in the United States)</w:t>
      </w:r>
    </w:p>
    <w:p>
      <w:pPr>
        <w:spacing w:after="0" w:line="200" w:lineRule="exact"/>
        <w:rPr>
          <w:sz w:val="20"/>
          <w:szCs w:val="20"/>
          <w:color w:val="auto"/>
        </w:rPr>
      </w:pPr>
    </w:p>
    <w:p>
      <w:pPr>
        <w:spacing w:after="0" w:line="22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By: /s/ Colleen A. De Vries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3500120</wp:posOffset>
            </wp:positionH>
            <wp:positionV relativeFrom="paragraph">
              <wp:posOffset>48895</wp:posOffset>
            </wp:positionV>
            <wp:extent cx="251142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6">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9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Name: Colleen A. De Vries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7"/>
          <w:szCs w:val="17"/>
          <w:color w:val="auto"/>
        </w:rPr>
        <w:t>Title: Senior Vice President on behalf of Cogency</w:t>
      </w:r>
    </w:p>
    <w:p>
      <w:pPr>
        <w:spacing w:after="0" w:line="2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Global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263525</wp:posOffset>
            </wp:positionV>
            <wp:extent cx="68065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7">
                      <a:extLst>
                        <a:ext uri="{28A0092B-C50C-407E-A947-70E740481C1C}"/>
                      </a:extLst>
                    </a:blip>
                    <a:srcRect/>
                    <a:stretch>
                      <a:fillRect/>
                    </a:stretch>
                  </pic:blipFill>
                  <pic:spPr bwMode="auto">
                    <a:xfrm>
                      <a:off x="0" y="0"/>
                      <a:ext cx="6806565" cy="17145"/>
                    </a:xfrm>
                    <a:prstGeom prst="rect">
                      <a:avLst/>
                    </a:prstGeom>
                    <a:noFill/>
                  </pic:spPr>
                </pic:pic>
              </a:graphicData>
            </a:graphic>
          </wp:anchor>
        </w:drawing>
      </w:r>
    </w:p>
    <w:p>
      <w:pPr>
        <w:sectPr>
          <w:pgSz w:w="11900" w:h="16838" w:orient="portrait"/>
          <w:cols w:equalWidth="0" w:num="1">
            <w:col w:w="9879"/>
          </w:cols>
          <w:pgMar w:left="580" w:top="132" w:right="1440"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OPEN MARKET SALE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Verona Pharma plc, a public limited company incorporated under the laws of England and Wales with registered number 5375156 (the “</w:t>
      </w:r>
      <w:r>
        <w:rPr>
          <w:rFonts w:ascii="Arial" w:cs="Arial" w:eastAsia="Arial" w:hAnsi="Arial"/>
          <w:sz w:val="17"/>
          <w:szCs w:val="17"/>
          <w:b w:val="1"/>
          <w:bCs w:val="1"/>
          <w:color w:val="auto"/>
        </w:rPr>
        <w:t>Company</w:t>
      </w:r>
      <w:r>
        <w:rPr>
          <w:rFonts w:ascii="Arial" w:cs="Arial" w:eastAsia="Arial" w:hAnsi="Arial"/>
          <w:sz w:val="17"/>
          <w:szCs w:val="17"/>
          <w:color w:val="auto"/>
        </w:rPr>
        <w:t>”), proposes, subject to the terms and conditions stated herein, to issue and sell from time to time through Jefferies LLC, as sales agent and/or principal (the “</w:t>
      </w:r>
      <w:r>
        <w:rPr>
          <w:rFonts w:ascii="Arial" w:cs="Arial" w:eastAsia="Arial" w:hAnsi="Arial"/>
          <w:sz w:val="17"/>
          <w:szCs w:val="17"/>
          <w:b w:val="1"/>
          <w:bCs w:val="1"/>
          <w:color w:val="auto"/>
        </w:rPr>
        <w:t>Agent</w:t>
      </w:r>
      <w:r>
        <w:rPr>
          <w:rFonts w:ascii="Arial" w:cs="Arial" w:eastAsia="Arial" w:hAnsi="Arial"/>
          <w:sz w:val="17"/>
          <w:szCs w:val="17"/>
          <w:color w:val="auto"/>
        </w:rPr>
        <w:t>”), American Depositary Shares of the Company (“</w:t>
      </w:r>
      <w:r>
        <w:rPr>
          <w:rFonts w:ascii="Arial" w:cs="Arial" w:eastAsia="Arial" w:hAnsi="Arial"/>
          <w:sz w:val="17"/>
          <w:szCs w:val="17"/>
          <w:b w:val="1"/>
          <w:bCs w:val="1"/>
          <w:color w:val="auto"/>
        </w:rPr>
        <w:t>ADSs</w:t>
      </w:r>
      <w:r>
        <w:rPr>
          <w:rFonts w:ascii="Arial" w:cs="Arial" w:eastAsia="Arial" w:hAnsi="Arial"/>
          <w:sz w:val="17"/>
          <w:szCs w:val="17"/>
          <w:color w:val="auto"/>
        </w:rPr>
        <w:t>”) each representing eight ordinary shares, nominal value £0.05 per share (the “</w:t>
      </w:r>
      <w:r>
        <w:rPr>
          <w:rFonts w:ascii="Arial" w:cs="Arial" w:eastAsia="Arial" w:hAnsi="Arial"/>
          <w:sz w:val="17"/>
          <w:szCs w:val="17"/>
          <w:b w:val="1"/>
          <w:bCs w:val="1"/>
          <w:color w:val="auto"/>
        </w:rPr>
        <w:t>Ordinary Shares</w:t>
      </w:r>
      <w:r>
        <w:rPr>
          <w:rFonts w:ascii="Arial" w:cs="Arial" w:eastAsia="Arial" w:hAnsi="Arial"/>
          <w:sz w:val="17"/>
          <w:szCs w:val="17"/>
          <w:color w:val="auto"/>
        </w:rPr>
        <w:t>”), to be issued by the Company on the terms set forth in this agreement (this “</w:t>
      </w:r>
      <w:r>
        <w:rPr>
          <w:rFonts w:ascii="Arial" w:cs="Arial" w:eastAsia="Arial" w:hAnsi="Arial"/>
          <w:sz w:val="17"/>
          <w:szCs w:val="17"/>
          <w:b w:val="1"/>
          <w:bCs w:val="1"/>
          <w:color w:val="auto"/>
        </w:rPr>
        <w:t>Agreement</w:t>
      </w:r>
      <w:r>
        <w:rPr>
          <w:rFonts w:ascii="Arial" w:cs="Arial" w:eastAsia="Arial" w:hAnsi="Arial"/>
          <w:sz w:val="17"/>
          <w:szCs w:val="17"/>
          <w:color w:val="auto"/>
        </w:rPr>
        <w:t>”).</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The ADSs may be evidenced by American Depositary Receipts (the “</w:t>
      </w:r>
      <w:r>
        <w:rPr>
          <w:rFonts w:ascii="Arial" w:cs="Arial" w:eastAsia="Arial" w:hAnsi="Arial"/>
          <w:sz w:val="17"/>
          <w:szCs w:val="17"/>
          <w:b w:val="1"/>
          <w:bCs w:val="1"/>
          <w:color w:val="auto"/>
        </w:rPr>
        <w:t>ADR</w:t>
      </w:r>
      <w:r>
        <w:rPr>
          <w:rFonts w:ascii="Arial" w:cs="Arial" w:eastAsia="Arial" w:hAnsi="Arial"/>
          <w:sz w:val="17"/>
          <w:szCs w:val="17"/>
          <w:color w:val="auto"/>
        </w:rPr>
        <w:t>s”) issued pursuant to that certain deposit agreement, dated as of May 2, 2017 (the “</w:t>
      </w:r>
      <w:r>
        <w:rPr>
          <w:rFonts w:ascii="Arial" w:cs="Arial" w:eastAsia="Arial" w:hAnsi="Arial"/>
          <w:sz w:val="17"/>
          <w:szCs w:val="17"/>
          <w:b w:val="1"/>
          <w:bCs w:val="1"/>
          <w:color w:val="auto"/>
        </w:rPr>
        <w:t>Deposit Agreement</w:t>
      </w:r>
      <w:r>
        <w:rPr>
          <w:rFonts w:ascii="Arial" w:cs="Arial" w:eastAsia="Arial" w:hAnsi="Arial"/>
          <w:sz w:val="17"/>
          <w:szCs w:val="17"/>
          <w:color w:val="auto"/>
        </w:rPr>
        <w:t>”), among the Company, Citibank N.A., as depositary (the “</w:t>
      </w:r>
      <w:r>
        <w:rPr>
          <w:rFonts w:ascii="Arial" w:cs="Arial" w:eastAsia="Arial" w:hAnsi="Arial"/>
          <w:sz w:val="17"/>
          <w:szCs w:val="17"/>
          <w:b w:val="1"/>
          <w:bCs w:val="1"/>
          <w:color w:val="auto"/>
        </w:rPr>
        <w:t>Depositary</w:t>
      </w:r>
      <w:r>
        <w:rPr>
          <w:rFonts w:ascii="Arial" w:cs="Arial" w:eastAsia="Arial" w:hAnsi="Arial"/>
          <w:sz w:val="17"/>
          <w:szCs w:val="17"/>
          <w:color w:val="auto"/>
        </w:rPr>
        <w:t>”), and the holders from time to time of the ADRs evidencing the ADSs issued thereunder. The Company shall, following subscription by the Agent of the ADSs, deposit, on behalf of the Agent, the Ordinary Shares represented by such ADSs with Citibank N.A., London Branch, as custodian for the Depositary (the “</w:t>
      </w:r>
      <w:r>
        <w:rPr>
          <w:rFonts w:ascii="Arial" w:cs="Arial" w:eastAsia="Arial" w:hAnsi="Arial"/>
          <w:sz w:val="17"/>
          <w:szCs w:val="17"/>
          <w:b w:val="1"/>
          <w:bCs w:val="1"/>
          <w:color w:val="auto"/>
        </w:rPr>
        <w:t>Custodian</w:t>
      </w:r>
      <w:r>
        <w:rPr>
          <w:rFonts w:ascii="Arial" w:cs="Arial" w:eastAsia="Arial" w:hAnsi="Arial"/>
          <w:sz w:val="17"/>
          <w:szCs w:val="17"/>
          <w:color w:val="auto"/>
        </w:rPr>
        <w:t>”), pursuant to which the Depositary (or the Custodian acting on behalf of the Depositary) shall deliver the ADSs to the Agent.</w:t>
      </w:r>
    </w:p>
    <w:p>
      <w:pPr>
        <w:spacing w:after="0" w:line="168"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8"/>
          <w:szCs w:val="18"/>
          <w:b w:val="1"/>
          <w:bCs w:val="1"/>
          <w:color w:val="auto"/>
        </w:rPr>
        <w:t>DEFINITIONS</w:t>
      </w:r>
    </w:p>
    <w:p>
      <w:pPr>
        <w:spacing w:after="0" w:line="229" w:lineRule="exact"/>
        <w:rPr>
          <w:sz w:val="20"/>
          <w:szCs w:val="20"/>
          <w:color w:val="auto"/>
        </w:rPr>
      </w:pPr>
    </w:p>
    <w:p>
      <w:pPr>
        <w:ind w:left="1560" w:hanging="904"/>
        <w:spacing w:after="0"/>
        <w:tabs>
          <w:tab w:leader="none" w:pos="1560"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Agreement, capitalized terms used herein and not otherwise defined shall have the following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respective meanings:</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 Person means another Person that directly or indirectly, through one or more intermediaries, controls, is controlled by, or is under common control with, such first- mentioned Person. The term “control” (including the terms “controlling,” “controlled by” and “under common control with”) means the possession, direct or indirect, of the power to direct or cause the direction of the management and policies of a Person, whether through the ownership of voting securities, by contract or otherwise.</w:t>
      </w:r>
    </w:p>
    <w:p>
      <w:pPr>
        <w:spacing w:after="0" w:line="180"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Agency Period</w:t>
      </w:r>
      <w:r>
        <w:rPr>
          <w:rFonts w:ascii="Arial" w:cs="Arial" w:eastAsia="Arial" w:hAnsi="Arial"/>
          <w:sz w:val="16"/>
          <w:szCs w:val="16"/>
          <w:color w:val="auto"/>
        </w:rPr>
        <w:t xml:space="preserve">” means the period commencing on the date of this Agreement and expiring on the earliest to occur of (x) the date on which the Agent shall have placed the Maximum Program Amount pursuant to this Agreement and (y) the date this Agreement is terminated pursuant to </w:t>
      </w:r>
      <w:r>
        <w:rPr>
          <w:rFonts w:ascii="Arial" w:cs="Arial" w:eastAsia="Arial" w:hAnsi="Arial"/>
          <w:sz w:val="16"/>
          <w:szCs w:val="16"/>
          <w:u w:val="single" w:color="auto"/>
          <w:color w:val="auto"/>
        </w:rPr>
        <w:t>Section 7</w:t>
      </w:r>
      <w:r>
        <w:rPr>
          <w:rFonts w:ascii="Arial" w:cs="Arial" w:eastAsia="Arial" w:hAnsi="Arial"/>
          <w:sz w:val="16"/>
          <w:szCs w:val="16"/>
          <w:color w:val="auto"/>
        </w:rPr>
        <w: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Securities Exchange Act of 1934, as amended, and the rules and regulations of the Commission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7" w:name="page78"/>
    <w:bookmarkEnd w:id="77"/>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Floor Price</w:t>
      </w:r>
      <w:r>
        <w:rPr>
          <w:rFonts w:ascii="Arial" w:cs="Arial" w:eastAsia="Arial" w:hAnsi="Arial"/>
          <w:sz w:val="18"/>
          <w:szCs w:val="18"/>
          <w:color w:val="auto"/>
        </w:rPr>
        <w:t>” means the minimum price set by the Company in the Issuance Notice below which the Agent shall not sell Shares during the applicable period set forth in the Issuance Notice, which may be adjusted by the Company at any time during the period set forth in the Issuance Notice by delivering written notice of such change to the Agent and which in no event shall be less than $1.00 without the prior written consent of the Agent, which may be withheld in the Agent’s sole discretion.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Amount</w:t>
      </w:r>
      <w:r>
        <w:rPr>
          <w:rFonts w:ascii="Arial" w:cs="Arial" w:eastAsia="Arial" w:hAnsi="Arial"/>
          <w:sz w:val="18"/>
          <w:szCs w:val="18"/>
          <w:color w:val="auto"/>
        </w:rPr>
        <w:t>” means the aggregate Sales Price of the Shares to be sold by the Agent pursuant to any Issuance Notice.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Notice</w:t>
      </w:r>
      <w:r>
        <w:rPr>
          <w:rFonts w:ascii="Arial" w:cs="Arial" w:eastAsia="Arial" w:hAnsi="Arial"/>
          <w:sz w:val="18"/>
          <w:szCs w:val="18"/>
          <w:color w:val="auto"/>
        </w:rPr>
        <w:t>” means a written notice delivered to the Agent by the Company in accordance with this Agreement in the form attached hereto as Exhibit A that is executed by its Chief Executive Officer, President or Chief Financial Officer.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Issuance Notice Date</w:t>
      </w:r>
      <w:r>
        <w:rPr>
          <w:rFonts w:ascii="Arial" w:cs="Arial" w:eastAsia="Arial" w:hAnsi="Arial"/>
          <w:sz w:val="17"/>
          <w:szCs w:val="17"/>
          <w:color w:val="auto"/>
        </w:rPr>
        <w:t xml:space="preserve">” means any Trading Day during the Agency Period that an Issuance Notice is delivered pursuant to </w:t>
      </w:r>
      <w:r>
        <w:rPr>
          <w:rFonts w:ascii="Arial" w:cs="Arial" w:eastAsia="Arial" w:hAnsi="Arial"/>
          <w:sz w:val="17"/>
          <w:szCs w:val="17"/>
          <w:u w:val="single" w:color="auto"/>
          <w:color w:val="auto"/>
        </w:rPr>
        <w:t>Section 3(b)(i)</w:t>
      </w:r>
      <w:r>
        <w:rPr>
          <w:rFonts w:ascii="Arial" w:cs="Arial" w:eastAsia="Arial" w:hAnsi="Arial"/>
          <w:sz w:val="17"/>
          <w:szCs w:val="17"/>
          <w:color w:val="auto"/>
        </w:rPr>
        <w: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Issuance Price</w:t>
      </w:r>
      <w:r>
        <w:rPr>
          <w:rFonts w:ascii="Arial" w:cs="Arial" w:eastAsia="Arial" w:hAnsi="Arial"/>
          <w:sz w:val="18"/>
          <w:szCs w:val="18"/>
          <w:color w:val="auto"/>
        </w:rPr>
        <w:t>” means the Sales Price less the Selling Commission.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Program Amount</w:t>
      </w:r>
      <w:r>
        <w:rPr>
          <w:rFonts w:ascii="Arial" w:cs="Arial" w:eastAsia="Arial" w:hAnsi="Arial"/>
          <w:sz w:val="18"/>
          <w:szCs w:val="18"/>
          <w:color w:val="auto"/>
        </w:rPr>
        <w:t>” means Ordinary Shares, in the form of ADSs, with an aggregate Sales Price of the lesser of (a) the number or dollar amount of Ordinary Shares registered under the effective Registration Statement (defined below) pursuant to which the offering is being made, (b) the number of Ordinary Shares that the Company’s board of directors is authorized to issue on a non pre-emptive basis pursuant to sections 551 and 570 of the UK Companies Act 2006 (“</w:t>
      </w:r>
      <w:r>
        <w:rPr>
          <w:rFonts w:ascii="Arial" w:cs="Arial" w:eastAsia="Arial" w:hAnsi="Arial"/>
          <w:sz w:val="18"/>
          <w:szCs w:val="18"/>
          <w:b w:val="1"/>
          <w:bCs w:val="1"/>
          <w:color w:val="auto"/>
        </w:rPr>
        <w:t>CA 2006</w:t>
      </w:r>
      <w:r>
        <w:rPr>
          <w:rFonts w:ascii="Arial" w:cs="Arial" w:eastAsia="Arial" w:hAnsi="Arial"/>
          <w:sz w:val="18"/>
          <w:szCs w:val="18"/>
          <w:color w:val="auto"/>
        </w:rPr>
        <w:t>”) (less any Ordinary Shares issued or rights to subscribe for or to convert any security into Ordinary Shares granted pursuant to such authorities) (“</w:t>
      </w:r>
      <w:r>
        <w:rPr>
          <w:rFonts w:ascii="Arial" w:cs="Arial" w:eastAsia="Arial" w:hAnsi="Arial"/>
          <w:sz w:val="18"/>
          <w:szCs w:val="18"/>
          <w:b w:val="1"/>
          <w:bCs w:val="1"/>
          <w:color w:val="auto"/>
        </w:rPr>
        <w:t>Authorized Shares</w:t>
      </w:r>
      <w:r>
        <w:rPr>
          <w:rFonts w:ascii="Arial" w:cs="Arial" w:eastAsia="Arial" w:hAnsi="Arial"/>
          <w:sz w:val="18"/>
          <w:szCs w:val="18"/>
          <w:color w:val="auto"/>
        </w:rPr>
        <w:t>”) from time to time, (c) the number or dollar amount of Ordinary Shares permitted to be sold under Form S-3 (including General Instruction I.B.6 thereof, if applicable), or (d) the number or dollar amount of ADSs for which the Company has filed a Prospectus (defined below).</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a corporation, partnership, limited liability company, trust, incorporated or unincorporated association, joint venture, joint stock company, governmental authority or other entity of any kind.</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Global Market or such other national securities exchange on which the ADSs, including any Shares, are then listed.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Sales Price</w:t>
      </w:r>
      <w:r>
        <w:rPr>
          <w:rFonts w:ascii="Arial" w:cs="Arial" w:eastAsia="Arial" w:hAnsi="Arial"/>
          <w:sz w:val="18"/>
          <w:szCs w:val="18"/>
          <w:color w:val="auto"/>
        </w:rPr>
        <w:t>” means the actual sale execution price of each Share placed by the Agent pursuant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and the rules and regulations of the Commission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Commission</w:t>
      </w:r>
      <w:r>
        <w:rPr>
          <w:rFonts w:ascii="Arial" w:cs="Arial" w:eastAsia="Arial" w:hAnsi="Arial"/>
          <w:sz w:val="18"/>
          <w:szCs w:val="18"/>
          <w:color w:val="auto"/>
        </w:rPr>
        <w:t>” means up to three percent (3.0%) of the gross proceeds of Shares sold pursuant to this Agreement, or as otherwise agreed between the Company and the Agent with respect to any Shares sold pursuant to this Agreement.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Settlement Date</w:t>
      </w:r>
      <w:r>
        <w:rPr>
          <w:rFonts w:ascii="Arial" w:cs="Arial" w:eastAsia="Arial" w:hAnsi="Arial"/>
          <w:sz w:val="18"/>
          <w:szCs w:val="18"/>
          <w:color w:val="auto"/>
        </w:rPr>
        <w:t>” means the second business day following each Trading Day during the period set forth in the Issuance Notice on which Shares are sold pursuant to this Agreement, when the Company shall deliver to the Agent the amount of Shares sold on such Trading Day and the Agent shall deliver to the Company the Issuance Price received on such sales.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Shares</w:t>
      </w:r>
      <w:r>
        <w:rPr>
          <w:rFonts w:ascii="Arial" w:cs="Arial" w:eastAsia="Arial" w:hAnsi="Arial"/>
          <w:sz w:val="18"/>
          <w:szCs w:val="18"/>
          <w:color w:val="auto"/>
        </w:rPr>
        <w:t>” shall mean the Company’s ADSs issued or issuable pursuant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means any day on which the Principal Market is open for trading.</w:t>
      </w:r>
    </w:p>
    <w:p>
      <w:pPr>
        <w:spacing w:after="0" w:line="225"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7"/>
          <w:szCs w:val="17"/>
          <w:b w:val="1"/>
          <w:bCs w:val="1"/>
          <w:color w:val="auto"/>
        </w:rPr>
        <w:t>REPRESENTATIONS AND WARRANTIES OF THE COMPANY</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Company represents and warrants to, and agrees with, the Agent that as of (1) the date of this Agreement, (2) each Issuance Notice Date, (3) each Settlement Date, (4) each Triggering Event Date with respect to which the Company is obligated to deliver a certificate pursuant to Section 4(o) and</w:t>
      </w:r>
    </w:p>
    <w:p>
      <w:pPr>
        <w:ind w:firstLine="8"/>
        <w:spacing w:after="0" w:line="290" w:lineRule="auto"/>
        <w:tabs>
          <w:tab w:leader="none" w:pos="276" w:val="left"/>
        </w:tabs>
        <w:numPr>
          <w:ilvl w:val="0"/>
          <w:numId w:val="58"/>
        </w:numPr>
        <w:rPr>
          <w:rFonts w:ascii="Arial" w:cs="Arial" w:eastAsia="Arial" w:hAnsi="Arial"/>
          <w:sz w:val="17"/>
          <w:szCs w:val="17"/>
          <w:color w:val="auto"/>
        </w:rPr>
      </w:pPr>
      <w:r>
        <w:rPr>
          <w:rFonts w:ascii="Arial" w:cs="Arial" w:eastAsia="Arial" w:hAnsi="Arial"/>
          <w:sz w:val="17"/>
          <w:szCs w:val="17"/>
          <w:color w:val="auto"/>
        </w:rPr>
        <w:t>as of each Time of Sale (each of the times referenced above is referred to herein as a “</w:t>
      </w:r>
      <w:r>
        <w:rPr>
          <w:rFonts w:ascii="Arial" w:cs="Arial" w:eastAsia="Arial" w:hAnsi="Arial"/>
          <w:sz w:val="17"/>
          <w:szCs w:val="17"/>
          <w:b w:val="1"/>
          <w:bCs w:val="1"/>
          <w:color w:val="auto"/>
        </w:rPr>
        <w:t>Representation Date</w:t>
      </w:r>
      <w:r>
        <w:rPr>
          <w:rFonts w:ascii="Arial" w:cs="Arial" w:eastAsia="Arial" w:hAnsi="Arial"/>
          <w:sz w:val="17"/>
          <w:szCs w:val="17"/>
          <w:color w:val="auto"/>
        </w:rPr>
        <w:t>”), except as may be disclosed in the Prospectus (including any documents incorporated by reference therein and any supplements thereto) on or before a Representation Date:</w:t>
      </w:r>
    </w:p>
    <w:p>
      <w:pPr>
        <w:spacing w:after="0" w:line="161" w:lineRule="exact"/>
        <w:rPr>
          <w:rFonts w:ascii="Arial" w:cs="Arial" w:eastAsia="Arial" w:hAnsi="Arial"/>
          <w:sz w:val="17"/>
          <w:szCs w:val="17"/>
          <w:color w:val="auto"/>
        </w:rPr>
      </w:pPr>
    </w:p>
    <w:p>
      <w:pPr>
        <w:jc w:val="both"/>
        <w:ind w:firstLine="656"/>
        <w:spacing w:after="0" w:line="285" w:lineRule="auto"/>
        <w:tabs>
          <w:tab w:leader="none" w:pos="1671" w:val="left"/>
        </w:tabs>
        <w:numPr>
          <w:ilvl w:val="1"/>
          <w:numId w:val="58"/>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prepared and filed with the Commission a shelf registration statement on Form S-3 that contains a base prospectus (the “</w:t>
      </w:r>
      <w:r>
        <w:rPr>
          <w:rFonts w:ascii="Arial" w:cs="Arial" w:eastAsia="Arial" w:hAnsi="Arial"/>
          <w:sz w:val="16"/>
          <w:szCs w:val="16"/>
          <w:b w:val="1"/>
          <w:bCs w:val="1"/>
          <w:color w:val="auto"/>
        </w:rPr>
        <w:t>Base Prospectus</w:t>
      </w:r>
      <w:r>
        <w:rPr>
          <w:rFonts w:ascii="Arial" w:cs="Arial" w:eastAsia="Arial" w:hAnsi="Arial"/>
          <w:sz w:val="16"/>
          <w:szCs w:val="16"/>
          <w:color w:val="auto"/>
        </w:rPr>
        <w:t>”). Such registration statement registers the issuance and sale by the Company of the Ordinary Shares represented by the Shares under the Securities Act. The Company may file one or more additional registration statements from time to time that will contain a base prospectus and related prospectus or prospectus supplement, if applicable, with respect to the Shares. Except where the context otherwise requires, such registration statement(s), including any information deemed to be a part thereof pursuant to Rule 430B under the Securities Act, including all financial statements, exhibits and schedules thereto and all documents incorporated or deemed to be incorporated therein by reference pursuant to Item 12 of Form S-3 under the Securities Act as from time to time amended or supplemented, is herein referred to as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and the prospectus constituting a part of such registration statement(s), together with any prospectus supplement filed with the Commission pursuant to Rule 424(b) under the Securities Act relating to a particular issuance of the Shares, including all documents incorporated or deemed to be incorporated therein by reference pursuant to Item 12 of Form S-3 under the Securities Act, in each case, as from time to time amended or supplemented, is referred to herein as the “</w:t>
      </w:r>
      <w:r>
        <w:rPr>
          <w:rFonts w:ascii="Arial" w:cs="Arial" w:eastAsia="Arial" w:hAnsi="Arial"/>
          <w:sz w:val="16"/>
          <w:szCs w:val="16"/>
          <w:b w:val="1"/>
          <w:bCs w:val="1"/>
          <w:color w:val="auto"/>
        </w:rPr>
        <w:t>Prospectus,</w:t>
      </w:r>
      <w:r>
        <w:rPr>
          <w:rFonts w:ascii="Arial" w:cs="Arial" w:eastAsia="Arial" w:hAnsi="Arial"/>
          <w:sz w:val="16"/>
          <w:szCs w:val="16"/>
          <w:color w:val="auto"/>
        </w:rPr>
        <w:t>” except that if any revised prospectus is provided to the Agent by the Company for use in connection with the offering of the Shares that is not required to be filed by the Company pursuant to Rule 424(b) under the Securities Act, the term “</w:t>
      </w:r>
      <w:r>
        <w:rPr>
          <w:rFonts w:ascii="Arial" w:cs="Arial" w:eastAsia="Arial" w:hAnsi="Arial"/>
          <w:sz w:val="16"/>
          <w:szCs w:val="16"/>
          <w:b w:val="1"/>
          <w:bCs w:val="1"/>
          <w:color w:val="auto"/>
        </w:rPr>
        <w:t>Prospectus</w:t>
      </w:r>
      <w:r>
        <w:rPr>
          <w:rFonts w:ascii="Arial" w:cs="Arial" w:eastAsia="Arial" w:hAnsi="Arial"/>
          <w:sz w:val="16"/>
          <w:szCs w:val="16"/>
          <w:color w:val="auto"/>
        </w:rPr>
        <w:t>” shall refer to such revised prospectus from and after the time it is first provided to the Agent for such use. The Registration Statement at the time it originally became effective is herein called the “</w:t>
      </w:r>
      <w:r>
        <w:rPr>
          <w:rFonts w:ascii="Arial" w:cs="Arial" w:eastAsia="Arial" w:hAnsi="Arial"/>
          <w:sz w:val="16"/>
          <w:szCs w:val="16"/>
          <w:b w:val="1"/>
          <w:bCs w:val="1"/>
          <w:color w:val="auto"/>
        </w:rPr>
        <w:t>Original Registration Statement.</w:t>
      </w:r>
      <w:r>
        <w:rPr>
          <w:rFonts w:ascii="Arial" w:cs="Arial" w:eastAsia="Arial" w:hAnsi="Arial"/>
          <w:sz w:val="16"/>
          <w:szCs w:val="16"/>
          <w:color w:val="auto"/>
        </w:rPr>
        <w:t>” As used in this Agreement, the terms “amendment” or “supplement” when applied to the Registration Statement or the Prospectus shall be deemed to include the filing by the Company with the Commission of any document under the Exchange Act after the date hereof that is or is deemed to be incorporated therein by reference. The Company has filed with the Commission a registration statement on Form F-6 (File No. 333-217353) covering the registration of the ADSs under the Securities Act. The registration statement relating to the ADSs, as amended at the time it became effective, is hereinafter referred to as the “</w:t>
      </w:r>
      <w:r>
        <w:rPr>
          <w:rFonts w:ascii="Arial" w:cs="Arial" w:eastAsia="Arial" w:hAnsi="Arial"/>
          <w:sz w:val="16"/>
          <w:szCs w:val="16"/>
          <w:b w:val="1"/>
          <w:bCs w:val="1"/>
          <w:color w:val="auto"/>
        </w:rPr>
        <w:t>ADS Registration Statement</w:t>
      </w:r>
      <w:r>
        <w:rPr>
          <w:rFonts w:ascii="Arial" w:cs="Arial" w:eastAsia="Arial" w:hAnsi="Arial"/>
          <w:sz w:val="16"/>
          <w:szCs w:val="16"/>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both"/>
        <w:ind w:firstLine="648"/>
        <w:spacing w:after="0" w:line="271" w:lineRule="auto"/>
        <w:rPr>
          <w:sz w:val="20"/>
          <w:szCs w:val="20"/>
          <w:color w:val="auto"/>
        </w:rPr>
      </w:pPr>
      <w:r>
        <w:rPr>
          <w:rFonts w:ascii="Arial" w:cs="Arial" w:eastAsia="Arial" w:hAnsi="Arial"/>
          <w:sz w:val="17"/>
          <w:szCs w:val="17"/>
          <w:color w:val="auto"/>
        </w:rPr>
        <w:t>All references in this Agreement to financial statements and schedules and other information which is “contained,” “included” or “stated” in the Registration Statement, the ADS Registration Statement or the Prospectus (and all other references of like import) shall be deemed to mean and include all such financial statements and schedules and other information which is or is deemed to be incorporated by reference in or otherwise deemed under the Securities Act to be a part of or included in the Registration Statement, the ADS Registration Statement or the Prospectus, as the case may be, as of any specified date; and all references in this Agreement to amendments or supplements to the Registration Statement, the ADS Registration Statement or the Prospectus shall be deemed to mean and include, without limitation, the filing of any document under the Exchange Act which is or is deemed to be incorporated by reference in or otherwise deemed under the Securities Act to be a part of or included in the Registration Statement, the ADS Registration Statement or the Prospectus, as the case may be, as of any specified date.</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time the Original Registration Statement is declared effective, the Company will meet the then-applicable requirements for use of Form S-3 under the Securities Act. During the Agency Period, each time the Company files an annual report on Form 10-K the Company will meet the then-applicable requirements for use of Form S-3 under the Securities Act.</w:t>
      </w:r>
    </w:p>
    <w:p>
      <w:pPr>
        <w:spacing w:after="0" w:line="184" w:lineRule="exact"/>
        <w:rPr>
          <w:sz w:val="20"/>
          <w:szCs w:val="20"/>
          <w:color w:val="auto"/>
        </w:rPr>
      </w:pPr>
    </w:p>
    <w:p>
      <w:pPr>
        <w:jc w:val="both"/>
        <w:ind w:firstLine="656"/>
        <w:spacing w:after="0" w:line="257" w:lineRule="auto"/>
        <w:tabs>
          <w:tab w:leader="none" w:pos="1627"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Compliance with Registration Requirements</w:t>
      </w:r>
      <w:r>
        <w:rPr>
          <w:rFonts w:ascii="Arial" w:cs="Arial" w:eastAsia="Arial" w:hAnsi="Arial"/>
          <w:sz w:val="18"/>
          <w:szCs w:val="18"/>
          <w:color w:val="auto"/>
        </w:rPr>
        <w:t>. The Original Registration Statement and any Rule 462(b) Registration Statement have been or will be declared effective by the Commission under the Securities Act. The Company has complied or will comply to the Commission’s satisfaction with all requests of the Commission for additional or supplemental information. No stop order suspending the effectiveness of the Registration Statement or any Rule 462(b) Registration Statement is in effect and no proceedings for such purpose have been instituted or are pending or, to the knowledge of the Company, are contemplated or threatened by the Commission.</w:t>
      </w:r>
    </w:p>
    <w:p>
      <w:pPr>
        <w:spacing w:after="0" w:line="18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Prospectus when filed complied or will comply in all material respects with the Securities Act and, if filed with the Commission through its Electronic Data Gathering, Analysis and Retrieval system (“</w:t>
      </w:r>
      <w:r>
        <w:rPr>
          <w:rFonts w:ascii="Arial" w:cs="Arial" w:eastAsia="Arial" w:hAnsi="Arial"/>
          <w:sz w:val="16"/>
          <w:szCs w:val="16"/>
          <w:b w:val="1"/>
          <w:bCs w:val="1"/>
          <w:color w:val="auto"/>
        </w:rPr>
        <w:t>EDGAR</w:t>
      </w:r>
      <w:r>
        <w:rPr>
          <w:rFonts w:ascii="Arial" w:cs="Arial" w:eastAsia="Arial" w:hAnsi="Arial"/>
          <w:sz w:val="16"/>
          <w:szCs w:val="16"/>
          <w:color w:val="auto"/>
        </w:rPr>
        <w:t>”) (except as may be permitted by Regulation S T under the Securities Act), was identical to the copy thereof delivered to the Agent for use in connection with the issuance and sale of the Shares. Each of the Registration Statement, the ADS Registration Statement, any Rule 462(b) Registration Statement and any post-effective amendment thereto, at the time it became or becomes effective and at each Representation Date, complied and will comply in all material respects with the Securities Act and did not and will not contain any untrue statement of a material fact or omit to state a material fact required to be stated therein or necessary to make the statements therein not misleading (except that the foregoing shall not apply to those parts of the Registration Statement that constitute the Statement of Eligibility (Form T-1) under the Trust Indenture Act of 1939). As of the date of this Agreement, the Prospectus and any Free Writing Prospectus (as defined below) considered together (collectively, the “</w:t>
      </w:r>
      <w:r>
        <w:rPr>
          <w:rFonts w:ascii="Arial" w:cs="Arial" w:eastAsia="Arial" w:hAnsi="Arial"/>
          <w:sz w:val="16"/>
          <w:szCs w:val="16"/>
          <w:b w:val="1"/>
          <w:bCs w:val="1"/>
          <w:color w:val="auto"/>
        </w:rPr>
        <w:t>Time of Sale Information</w:t>
      </w:r>
      <w:r>
        <w:rPr>
          <w:rFonts w:ascii="Arial" w:cs="Arial" w:eastAsia="Arial" w:hAnsi="Arial"/>
          <w:sz w:val="16"/>
          <w:szCs w:val="16"/>
          <w:color w:val="auto"/>
        </w:rPr>
        <w:t xml:space="preserve">”) did not contain any untrue statement of a material fact or omit to state a material fact necessary to make the statements therein, in the light of the circumstances under which they were made, not misleading. The Prospectus, as amended or supplemented, as of its date and at each Representation Date, did not and will not contain any untrue statement of a material fact or omit to state a material fact necessary in order to make the statements therein, in the light of the circumstances under which they were made, not misleading. The representations and warranties set forth in the three immediately preceding sentences do not apply to statements in or omissions from the Registration Statement, the ADS Registration Statement, any Rule 462(b) Registration Statement, or any post-effective amendment thereto, or the Prospectus, or any amendments or supplements thereto, made in reliance upon and in conformity with information relating to the Agent furnished to the Company in writing by the Agent expressly for use therein, it being understood and agreed that the only such information furnished by the Agent to the Company consists of the information described in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below. There are no contracts or other documents required to be described in the Prospectus or to be filed as exhibits to the Registration Statement which have not been described or filed as required. The Registration Statement and the offer and sale of the Shares as contemplated hereby meet the requirements of Rule 415 under the Securities Act and comply in all material respects with said rule.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jc w:val="both"/>
        <w:ind w:firstLine="656"/>
        <w:spacing w:after="0" w:line="288" w:lineRule="auto"/>
        <w:tabs>
          <w:tab w:leader="none" w:pos="1522"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Ineligible Issuer Status</w:t>
      </w:r>
      <w:r>
        <w:rPr>
          <w:rFonts w:ascii="Arial" w:cs="Arial" w:eastAsia="Arial" w:hAnsi="Arial"/>
          <w:sz w:val="16"/>
          <w:szCs w:val="16"/>
          <w:color w:val="auto"/>
        </w:rPr>
        <w:t>. The Company is not an “ineligible issuer” in connection with the offering of the Shares pursuant to Rules 164, 405 and 433 under the Securities Act. Any Free Writing Prospectus that the Company is required to file pursuant to Rule 433(d) under the Securities Act has been, or will be, filed with the Commission in accordance with the requirements of the Securities Act. Each Free Writing Prospectus that the Company has filed, or is required to file, pursuant to Rule 433(d) under the Securities Act or that was prepared by or on behalf of or used or referred to by the Company complies or will comply in all material respects with the requirements of Rule 433 under the Securities Act including timely filing with the Commission or retention where required and legending, and each such Free Writing Prospectus, as of its issue date and at all subsequent times through the completion of the issuance and sale of the Shares did not, does not and will not include any information that conflicted, conflicts with or will conflict with the information contained in the Registration Statement, the ADS Registration Statement or the Prospectus, including any document incorporated by reference therein. Except for the Free Writing Prospectuses, if any, and electronic road shows, if any, furnished to the Agent before first use, the Company has not prepared, used or referred to, and will not, without the Agent’s prior consent, prepare, use or refer to, any Free Writing Prospectus.</w:t>
      </w:r>
    </w:p>
    <w:p>
      <w:pPr>
        <w:spacing w:after="0" w:line="168" w:lineRule="exact"/>
        <w:rPr>
          <w:rFonts w:ascii="Arial" w:cs="Arial" w:eastAsia="Arial" w:hAnsi="Arial"/>
          <w:sz w:val="16"/>
          <w:szCs w:val="16"/>
          <w:color w:val="auto"/>
        </w:rPr>
      </w:pPr>
    </w:p>
    <w:p>
      <w:pPr>
        <w:jc w:val="both"/>
        <w:ind w:firstLine="656"/>
        <w:spacing w:after="0" w:line="257" w:lineRule="auto"/>
        <w:tabs>
          <w:tab w:leader="none" w:pos="164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Incorporated Documents</w:t>
      </w:r>
      <w:r>
        <w:rPr>
          <w:rFonts w:ascii="Arial" w:cs="Arial" w:eastAsia="Arial" w:hAnsi="Arial"/>
          <w:sz w:val="18"/>
          <w:szCs w:val="18"/>
          <w:color w:val="auto"/>
        </w:rPr>
        <w:t>. The documents incorporated or deemed to be incorporated by reference in the Registration Statement, the ADS Registration Statement and the Prospectus, at the time they were filed with the Commission, complied in all material respects with the requirements of the Exchange Act, as applicable, and, when read together with the other information in the Prospectus, do not contain an untrue statement of a material fact or omit to state a material fact required to be stated therein or necessary to make the statements therein, in light of the circumstances under which they were made, not misleading.</w:t>
      </w:r>
    </w:p>
    <w:p>
      <w:pPr>
        <w:spacing w:after="0" w:line="187" w:lineRule="exact"/>
        <w:rPr>
          <w:rFonts w:ascii="Arial" w:cs="Arial" w:eastAsia="Arial" w:hAnsi="Arial"/>
          <w:sz w:val="18"/>
          <w:szCs w:val="18"/>
          <w:color w:val="auto"/>
        </w:rPr>
      </w:pPr>
    </w:p>
    <w:p>
      <w:pPr>
        <w:jc w:val="both"/>
        <w:ind w:firstLine="656"/>
        <w:spacing w:after="0" w:line="272" w:lineRule="auto"/>
        <w:tabs>
          <w:tab w:leader="none" w:pos="1549"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Exchange Act Compliance</w:t>
      </w:r>
      <w:r>
        <w:rPr>
          <w:rFonts w:ascii="Arial" w:cs="Arial" w:eastAsia="Arial" w:hAnsi="Arial"/>
          <w:sz w:val="17"/>
          <w:szCs w:val="17"/>
          <w:color w:val="auto"/>
        </w:rPr>
        <w:t>. The documents incorporated or deemed to be incorporated by reference in the Prospectus, at the time they were or hereafter are filed with the Commission or became effective under the Exchange Act, as the case may be, and any Free Writing Prospectus or amendment or supplement thereto complied and will comply in all material respects with the requirements of the Exchange Act, and, when read together with the other information in the Prospectus, at the time the Registration Statement, the ADS Registration Statement and any amendments thereto become effective and at each Time of Sale (as defined below), as the case may be, will not contain an untrue statement of a material fact or omit to state a material fact required to be stated therein or necessary to make the fact required to be stated therein or necessary to make the statements therein, in the light of the circumstances under which they were made, not misleading.</w:t>
      </w:r>
    </w:p>
    <w:p>
      <w:pPr>
        <w:spacing w:after="0" w:line="177" w:lineRule="exact"/>
        <w:rPr>
          <w:rFonts w:ascii="Arial" w:cs="Arial" w:eastAsia="Arial" w:hAnsi="Arial"/>
          <w:sz w:val="17"/>
          <w:szCs w:val="17"/>
          <w:color w:val="auto"/>
        </w:rPr>
      </w:pPr>
    </w:p>
    <w:p>
      <w:pPr>
        <w:ind w:firstLine="656"/>
        <w:spacing w:after="0" w:line="277" w:lineRule="auto"/>
        <w:tabs>
          <w:tab w:leader="none" w:pos="1655"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This Agreement</w:t>
      </w:r>
      <w:r>
        <w:rPr>
          <w:rFonts w:ascii="Arial" w:cs="Arial" w:eastAsia="Arial" w:hAnsi="Arial"/>
          <w:sz w:val="18"/>
          <w:szCs w:val="18"/>
          <w:color w:val="auto"/>
        </w:rPr>
        <w:t>. The Company has the corporate power to enter into this Agreement and this Agreement has been duly authorized, executed and delivered by the Company.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1" w:name="page82"/>
    <w:bookmarkEnd w:id="81"/>
    <w:p>
      <w:pPr>
        <w:jc w:val="both"/>
        <w:ind w:firstLine="656"/>
        <w:spacing w:after="0" w:line="253" w:lineRule="auto"/>
        <w:tabs>
          <w:tab w:leader="none" w:pos="1789"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Authorization of the Shares</w:t>
      </w:r>
      <w:r>
        <w:rPr>
          <w:rFonts w:ascii="Arial" w:cs="Arial" w:eastAsia="Arial" w:hAnsi="Arial"/>
          <w:sz w:val="18"/>
          <w:szCs w:val="18"/>
          <w:color w:val="auto"/>
        </w:rPr>
        <w:t>. The Ordinary Shares represented by the Shares may be freely deposited by the Company with the Depositary or its nominee against issuance of ADRs evidencing such Shares, as contemplated by the Deposit Agreement. The Shares and the Ordinary Shares represented by such Shares prior to the delivery of each Issuance Notice, will be duly and validly authorized for issuance and sale pursuant to this Agreement (including, in respect of Ordinary Shares represented by the ADSs, pursuant to section 551 of the CA 2006 and, when issued and delivered by the Company against payment therefor pursuant to this Agreement, will be validly issued, fully paid and nonassessable, and the issuance and sale of the Shares and the Ordinary Shares represented by such Shares is not subject to any liens, encumbrances, preemptive rights, (save to the extent validly disapplied), rights of first refusal or other similar rights to subscribe for or purchase such Shares or Ordinary Shares (including those provided by section 561(1) of CA 2006 in respect of the Ordinary Shares represented by ADSs) and the Ordinary Shares represented by the ADSs will rank equally in all respects with the existing Ordinary Shares.</w:t>
      </w:r>
    </w:p>
    <w:p>
      <w:pPr>
        <w:spacing w:after="0" w:line="196" w:lineRule="exact"/>
        <w:rPr>
          <w:rFonts w:ascii="Arial" w:cs="Arial" w:eastAsia="Arial" w:hAnsi="Arial"/>
          <w:sz w:val="18"/>
          <w:szCs w:val="18"/>
          <w:color w:val="auto"/>
        </w:rPr>
      </w:pPr>
    </w:p>
    <w:p>
      <w:pPr>
        <w:jc w:val="both"/>
        <w:ind w:firstLine="656"/>
        <w:spacing w:after="0" w:line="263" w:lineRule="auto"/>
        <w:tabs>
          <w:tab w:leader="none" w:pos="160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No Applicable Registration or Other Similar Rights</w:t>
      </w:r>
      <w:r>
        <w:rPr>
          <w:rFonts w:ascii="Arial" w:cs="Arial" w:eastAsia="Arial" w:hAnsi="Arial"/>
          <w:sz w:val="18"/>
          <w:szCs w:val="18"/>
          <w:color w:val="auto"/>
        </w:rPr>
        <w:t>. There are no persons with registration or other similar rights to have any equity or debt securities registered for sale under the Registration Statement or the ADS Registration Statement or included in the offering contemplated by this Agreement.</w:t>
      </w:r>
    </w:p>
    <w:p>
      <w:pPr>
        <w:spacing w:after="0" w:line="183" w:lineRule="exact"/>
        <w:rPr>
          <w:rFonts w:ascii="Arial" w:cs="Arial" w:eastAsia="Arial" w:hAnsi="Arial"/>
          <w:sz w:val="18"/>
          <w:szCs w:val="18"/>
          <w:color w:val="auto"/>
        </w:rPr>
      </w:pPr>
    </w:p>
    <w:p>
      <w:pPr>
        <w:jc w:val="both"/>
        <w:ind w:firstLine="656"/>
        <w:spacing w:after="0" w:line="268" w:lineRule="auto"/>
        <w:tabs>
          <w:tab w:leader="none" w:pos="1722"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No Material Adverse Change</w:t>
      </w:r>
      <w:r>
        <w:rPr>
          <w:rFonts w:ascii="Arial" w:cs="Arial" w:eastAsia="Arial" w:hAnsi="Arial"/>
          <w:sz w:val="17"/>
          <w:szCs w:val="17"/>
          <w:color w:val="auto"/>
        </w:rPr>
        <w:t>. Except as otherwise disclosed in the Registration Statement and the Prospectus, subsequent to the respective dates as of which information is given in the Registration Statement and the Prospectus: (i) there has been no material adverse change, or any development that would reasonably be expected to result in a material adverse change, in (A) the condition, financial or otherwise, or in the earnings, business, properties, operations, assets, liabilities or prospects, whether or not arising from transactions in the ordinary course of business, of the Company and its subsidiaries, considered as one entity or (B) the ability of the Company to consummate the transactions contemplated by this Agreement or perform its obligations hereunder (any such change being referred to herein as a “</w:t>
      </w:r>
      <w:r>
        <w:rPr>
          <w:rFonts w:ascii="Arial" w:cs="Arial" w:eastAsia="Arial" w:hAnsi="Arial"/>
          <w:sz w:val="17"/>
          <w:szCs w:val="17"/>
          <w:b w:val="1"/>
          <w:bCs w:val="1"/>
          <w:color w:val="auto"/>
        </w:rPr>
        <w:t>Material Adverse Change</w:t>
      </w:r>
      <w:r>
        <w:rPr>
          <w:rFonts w:ascii="Arial" w:cs="Arial" w:eastAsia="Arial" w:hAnsi="Arial"/>
          <w:sz w:val="17"/>
          <w:szCs w:val="17"/>
          <w:color w:val="auto"/>
        </w:rPr>
        <w:t>” or “</w:t>
      </w:r>
      <w:r>
        <w:rPr>
          <w:rFonts w:ascii="Arial" w:cs="Arial" w:eastAsia="Arial" w:hAnsi="Arial"/>
          <w:sz w:val="17"/>
          <w:szCs w:val="17"/>
          <w:b w:val="1"/>
          <w:bCs w:val="1"/>
          <w:color w:val="auto"/>
        </w:rPr>
        <w:t>Material Adverse Effect</w:t>
      </w:r>
      <w:r>
        <w:rPr>
          <w:rFonts w:ascii="Arial" w:cs="Arial" w:eastAsia="Arial" w:hAnsi="Arial"/>
          <w:sz w:val="17"/>
          <w:szCs w:val="17"/>
          <w:color w:val="auto"/>
        </w:rPr>
        <w:t>”); (ii) the Company and its subsidiaries, considered as one entity, have not incurred any material liability or obligation, indirect, direct or contingent, including without limitation any losses or interference with its business from fire, explosion, flood, earthquakes, accident or other calamity, whether or not covered by insurance, or from any strike, labor dispute or court or governmental action, order or decree, that are material, individually or in the aggregate, to the Company and its subsidiaries, considered as one entity, or has entered into any transactions not in the ordinary course of business; and (iii) there has not been any material decrease in the share capital or any material increase in any short-term or long-term indebtedness of the Company or its subsidiaries and there has been no dividend or distribution of any kind declared, paid or made by the Company or, except for dividends paid to the Company or other subsidiaries, by any of the Company’s subsidiaries on any class of share capital, or any repurchase or redemption by the Company or any of its subsidiaries of any class of share capital.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jc w:val="both"/>
        <w:ind w:firstLine="656"/>
        <w:spacing w:after="0" w:line="268" w:lineRule="auto"/>
        <w:tabs>
          <w:tab w:leader="none" w:pos="1708"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The Deposit Agreement; ADRs</w:t>
      </w:r>
      <w:r>
        <w:rPr>
          <w:rFonts w:ascii="Arial" w:cs="Arial" w:eastAsia="Arial" w:hAnsi="Arial"/>
          <w:sz w:val="17"/>
          <w:szCs w:val="17"/>
          <w:color w:val="auto"/>
        </w:rPr>
        <w:t>. The Deposit Agreement has been duly authorized, executed and delivered by the Company and, assuming due authorization, execution and delivery by the Depositary, constitutes a valid and legally binding obligation of the Company, enforceable in accordance with its terms, except as the enforceability thereof may be limited by bankruptcy, insolvency, reorganization or similar laws relating to or affecting creditors’ rights generally or by general equitable principles. Upon due issuance by the Depositary of the ADRs evidencing the Shares against the deposit of the Ordinary Shares in respect thereof in accordance with the provisions of the Deposit Agreement, such ADRs will be duly and validly issued and the persons in whose names the ADRs are registered will be entitled to the rights specified therein and in the Deposit Agreement. The issuance and sale of the Shares by the Company and the deposit of the Ordinary Shares with the Custodian and the issuance of the ADRs evidencing such Shares as contemplated by this Agreement and the Deposit Agreement will not trigger any anti-dilution rights of any holder of any Ordinary Shares or ADSs, securities convertible into or exchangeable or exercisable for Ordinary Shares or ADSs or options, warrants or other rights to purchase Ordinary Shares or ADSs or any other securities of the Company with respect to such Ordinary Shares, ADSs, securities, options, warrants or rights, save for any rights of pre-emption under the CA 2006 that have been duly waived or disapplied. The Deposit Agreement and the ADRs conform in all material respects to each description thereof in the Prospectus. Each holder of ADRs issued pursuant to the Deposit Agreement shall be entitled, subject to the Deposit Agreement, to seek enforcement of its rights through the Depositary or its nominee registered as a representative of the holders of the ADRs in a direct suit, action or proceeding against the Company.</w:t>
      </w:r>
    </w:p>
    <w:p>
      <w:pPr>
        <w:spacing w:after="0" w:line="184" w:lineRule="exact"/>
        <w:rPr>
          <w:rFonts w:ascii="Arial" w:cs="Arial" w:eastAsia="Arial" w:hAnsi="Arial"/>
          <w:sz w:val="17"/>
          <w:szCs w:val="17"/>
          <w:color w:val="auto"/>
        </w:rPr>
      </w:pPr>
    </w:p>
    <w:p>
      <w:pPr>
        <w:jc w:val="both"/>
        <w:ind w:firstLine="656"/>
        <w:spacing w:after="0" w:line="255" w:lineRule="auto"/>
        <w:tabs>
          <w:tab w:leader="none" w:pos="1735"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PricewaterhouseCoopers LLP, which has expressed its opinion with respect to the financial statements (which term as used in this Agreement includes the related notes thereto) filed with the Commission as a part of the Registration Statement and the Prospectus, is (i) an independent registered public accounting firm as required by the Securities Act, the Exchange Act and the rules of the Public Company Accounting Oversight Board (“</w:t>
      </w:r>
      <w:r>
        <w:rPr>
          <w:rFonts w:ascii="Arial" w:cs="Arial" w:eastAsia="Arial" w:hAnsi="Arial"/>
          <w:sz w:val="18"/>
          <w:szCs w:val="18"/>
          <w:b w:val="1"/>
          <w:bCs w:val="1"/>
          <w:color w:val="auto"/>
        </w:rPr>
        <w:t>PCAOB</w:t>
      </w:r>
      <w:r>
        <w:rPr>
          <w:rFonts w:ascii="Arial" w:cs="Arial" w:eastAsia="Arial" w:hAnsi="Arial"/>
          <w:sz w:val="18"/>
          <w:szCs w:val="18"/>
          <w:color w:val="auto"/>
        </w:rPr>
        <w:t>”), (ii) in compliance with the applicable requirements relating to the qualification of accountants under Rule 2-01 of Regulation S-X under the Securities Act and (iii) a registered public accounting firm as defined by the PCAOB whose registration has not been suspended or revoked and who has not requested such registration to be withdrawn.</w:t>
      </w:r>
    </w:p>
    <w:p>
      <w:pPr>
        <w:spacing w:after="0" w:line="192" w:lineRule="exact"/>
        <w:rPr>
          <w:rFonts w:ascii="Arial" w:cs="Arial" w:eastAsia="Arial" w:hAnsi="Arial"/>
          <w:sz w:val="18"/>
          <w:szCs w:val="18"/>
          <w:color w:val="auto"/>
        </w:rPr>
      </w:pPr>
    </w:p>
    <w:p>
      <w:pPr>
        <w:jc w:val="both"/>
        <w:ind w:firstLine="656"/>
        <w:spacing w:after="0" w:line="268" w:lineRule="auto"/>
        <w:tabs>
          <w:tab w:leader="none" w:pos="1650"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financial statements filed with the Commission as a part of the Registration Statement and the Prospectus present fairly, in all material respects, the consolidated financial position of the Company and its subsidiaries as of the dates indicated and the results of their operations, changes in shareholders’ equity and cash flows for the periods specified. Such financial statements have been prepared in conformity with generally accepted accounting principles as applied in the United States applied on a consistent basis throughout the periods involved, except as may be expressly stated in the related notes thereto.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 No other financial statements or supporting schedules are required to be included or incorporated by reference in the Registration Statement or the Prospectus. The financial data set forth in each of the Registration Statement and the Prospectus fairly present, in all material respects, the information set forth therein on a basis consistent with that of the audited financial statements contained in the Registration Statement and the Prospectus. To the Company’s knowledge, no person who has been suspended or barred from being associated with a registered public accounting firm, or who has failed to comply with any sanction pursuant to Rule 5300 promulgated by the PCAOB, has participated in or otherwise aided the preparation of, or audited, the financial statements, supporting schedules or other financial data filed with the Commission as a part of the Registration Statement and the Prospectus.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jc w:val="both"/>
        <w:ind w:firstLine="656"/>
        <w:spacing w:after="0" w:line="268" w:lineRule="auto"/>
        <w:tabs>
          <w:tab w:leader="none" w:pos="1546"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Company’s Accounting System</w:t>
      </w:r>
      <w:r>
        <w:rPr>
          <w:rFonts w:ascii="Arial" w:cs="Arial" w:eastAsia="Arial" w:hAnsi="Arial"/>
          <w:sz w:val="17"/>
          <w:szCs w:val="17"/>
          <w:color w:val="auto"/>
        </w:rPr>
        <w:t>. The Company and each of its subsidiaries make and keep accurate books and records and maintain a system of internal accounting controls designed, and which the Company reasonably believes is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as applied in the United States and to maintain accountability for assets; (iii) access to assets is permitted only in accordance with management’s general or specific authorization; (iv) the recorded accountability for assets is compared with existing assets at reasonable intervals and appropriate action is taken with respect to any differences; and (v) the interactive data in eXtensible Business Reporting Language included or incorporated by reference in the Registration Statement and the Prospectus fairly presents the information called for in all material respects and is prepared in accordance with the Commission’s rules and guidelines applicable thereto. The Company has not received any notice, oral or written, from the Company’s board of directors stating that it is reviewing or investigating, and neither the Company’s independent auditors nor its internal auditors have recommended that the Company’s board of directors review or investigate, (i) adding to, deleting, changing the application of, or changing the Company’s disclosure with respect to, any of the Company’s material accounting policies; or (ii) any matter which could result in a restatement of the Company’s financial statements for any annual or interim period during the current or prior three fiscal years.</w:t>
      </w:r>
    </w:p>
    <w:p>
      <w:pPr>
        <w:spacing w:after="0" w:line="186" w:lineRule="exact"/>
        <w:rPr>
          <w:rFonts w:ascii="Arial" w:cs="Arial" w:eastAsia="Arial" w:hAnsi="Arial"/>
          <w:sz w:val="17"/>
          <w:szCs w:val="17"/>
          <w:color w:val="auto"/>
        </w:rPr>
      </w:pPr>
    </w:p>
    <w:p>
      <w:pPr>
        <w:jc w:val="both"/>
        <w:ind w:firstLine="656"/>
        <w:spacing w:after="0" w:line="269" w:lineRule="auto"/>
        <w:tabs>
          <w:tab w:leader="none" w:pos="1658"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Disclosure Controls and Procedures; Deficiencies in or Changes to Internal Control Over Financial Reporting</w:t>
      </w:r>
      <w:r>
        <w:rPr>
          <w:rFonts w:ascii="Arial" w:cs="Arial" w:eastAsia="Arial" w:hAnsi="Arial"/>
          <w:sz w:val="17"/>
          <w:szCs w:val="17"/>
          <w:color w:val="auto"/>
        </w:rPr>
        <w:t>. The Company has established and maintains disclosure controls and procedures (as defined in Rules 13a-15 and 15d-15 under the Exchange Act), which are designed to ensure that material information relating to the Company, including its consolidated subsidiaries, is made known to the Company’s principal executive officer and its principal financial officer by others within those entities; (iii) have been evaluated by management of the Company for effectiveness as of the end of the Company’s most recent fiscal year; and (iv) are effective in all material respects to perform the functions for which they were established. Since the end of the Company’s most recent audited fiscal year, there have been no significant deficiencies or material weakness in the Company’s internal control over financial reporting (whether or not remediated) and no change in the Company’s internal control over financial reporting that has materially affected, or is reasonably likely to materially affect, the Company’s internal control over financial reporting. The Company is not aware of any change in its internal control over financial reporting that has occurred during its most recent fiscal quarter that has materially affected, or is reasonably likely to materially affect, the Company’s internal control over financial reporting.</w:t>
      </w:r>
    </w:p>
    <w:p>
      <w:pPr>
        <w:spacing w:after="0" w:line="185" w:lineRule="exact"/>
        <w:rPr>
          <w:rFonts w:ascii="Arial" w:cs="Arial" w:eastAsia="Arial" w:hAnsi="Arial"/>
          <w:sz w:val="17"/>
          <w:szCs w:val="17"/>
          <w:color w:val="auto"/>
        </w:rPr>
      </w:pPr>
    </w:p>
    <w:p>
      <w:pPr>
        <w:jc w:val="both"/>
        <w:ind w:firstLine="656"/>
        <w:spacing w:after="0" w:line="273" w:lineRule="auto"/>
        <w:tabs>
          <w:tab w:leader="none" w:pos="1762"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Incorporation and Good Standing of the Company</w:t>
      </w:r>
      <w:r>
        <w:rPr>
          <w:rFonts w:ascii="Arial" w:cs="Arial" w:eastAsia="Arial" w:hAnsi="Arial"/>
          <w:sz w:val="17"/>
          <w:szCs w:val="17"/>
          <w:color w:val="auto"/>
        </w:rPr>
        <w:t>. The Company has been duly incorporated and is validly existing as a public limited company under the laws of England and Wales and has the corporate power and authority to own, lease and operate its properties and to conduct its business as described in the Registration Statement and the Prospectus and to enter into and perform its obligations under this Agreement in all material respects. The Company is duly qualified as a foreign corporation to transact business and is in good standing in each other jurisdiction in which such qualification is required, whether by reason of the ownership or leasing of property or the conduct of business, except where the failure to so qualify or be in good standing would not reasonably be expected, individually or in the aggregate, to have a Material Adverse Effect.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both"/>
        <w:ind w:firstLine="656"/>
        <w:spacing w:after="0" w:line="286" w:lineRule="auto"/>
        <w:tabs>
          <w:tab w:leader="none" w:pos="1573"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Subsidiaries</w:t>
      </w:r>
      <w:r>
        <w:rPr>
          <w:rFonts w:ascii="Arial" w:cs="Arial" w:eastAsia="Arial" w:hAnsi="Arial"/>
          <w:sz w:val="16"/>
          <w:szCs w:val="16"/>
          <w:color w:val="auto"/>
        </w:rPr>
        <w:t>. Each of the Company’s “subsidiaries” (for purposes of this Agreement, as defined in Rule 405 under the Securities Act) has been duly incorporated or organized, as the case may be, and is validly existing as a corporation, partnership or limited liability company, as applicable, in good standing under the laws of the jurisdiction of its incorporation or organization and has the power and authority (corporate or other) to own, lease and operate its properties and to conduct its business as described in the Registration Statement and the Prospectus in all material respects. Each of the Company’s subsidiaries is duly qualified as a foreign corporation, partnership or limited liability company, as applicable, to transact business and is in good standing in each jurisdiction in which such qualification is required, whether by reason of the ownership or leasing of property or the conduct of business, except where the failure to so qualify or be in good standing would not reasonably be expected, individually or in the aggregate, to have a Material Adverse Effect. All of the issued and outstanding share capital or other equity or ownership interests of each of the Company’s subsidiaries have been duly authorized and validly issued, are fully paid and nonassessable and are owned by the Company, directly or through subsidiaries, free and clear of any security interest, mortgage, pledge, lien, encumbrance or adverse claim. None of the outstanding share capital or equity interest in any subsidiary of the Company was issued in violation of preemptive or similar rights of any security holder of such subsidiary. The constitutive or organizational documents of each of the Company’s subsidiaries comply in all material respects with the requirements of applicable laws of its jurisdiction of incorporation or organization and are in full force and effect. The Company does not own or control, directly or indirectly, any corporation, association or other entity other than the subsidiaries listed in Exhibit 21 to the Company’s most recent Annual Report on Form 10-K.</w:t>
      </w:r>
    </w:p>
    <w:p>
      <w:pPr>
        <w:spacing w:after="0" w:line="170" w:lineRule="exact"/>
        <w:rPr>
          <w:rFonts w:ascii="Arial" w:cs="Arial" w:eastAsia="Arial" w:hAnsi="Arial"/>
          <w:sz w:val="16"/>
          <w:szCs w:val="16"/>
          <w:color w:val="auto"/>
        </w:rPr>
      </w:pPr>
    </w:p>
    <w:p>
      <w:pPr>
        <w:jc w:val="both"/>
        <w:ind w:firstLine="656"/>
        <w:spacing w:after="0" w:line="286" w:lineRule="auto"/>
        <w:tabs>
          <w:tab w:leader="none" w:pos="1559"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Capitalization and Other Share Capital Matters</w:t>
      </w:r>
      <w:r>
        <w:rPr>
          <w:rFonts w:ascii="Arial" w:cs="Arial" w:eastAsia="Arial" w:hAnsi="Arial"/>
          <w:sz w:val="16"/>
          <w:szCs w:val="16"/>
          <w:color w:val="auto"/>
        </w:rPr>
        <w:t>. The authorized, issued and outstanding share capital of the Company is as set forth in the Registration Statement and the Prospectus in all material respects (other than for subsequent issuances, if any, pursuant to employee benefit plans, or upon the exercise of outstanding options or warrants, in each case described in the Registration Statement and the Prospectus). The share capital of the Company, including the Shares, conforms in all material respects to each description thereof contained in the Prospectus. All of the issued Ordinary Shares and issued and outstanding ADSs have been duly authorized and validly issued, are fully paid and will not be subject to any call for the payment of further capital and have been issued in compliance with all applicable securities laws. None of the issued Ordinary Shares or issued and outstanding ADSs were issued in violation of any preemptive rights, rights of first refusal or other similar rights to subscribe for or purchase securities of the Company. The form of certificates for the Ordinary Shares conform to the corporate law of the jurisdiction of England and Wales and to any requirements of the Company’s articles of association. There are no authorized or outstanding options, warrants, preemptive rights, (other than pre-emption rights provided for under the CA 2006), rights of first refusal or other rights to purchase, or equity or debt securities convertible into or exchangeable or exercisable for, any share capital of the Company or any of its subsidiaries other than those described in the Registration Statement and the Prospectus. The descriptions of the Company’s share option, share bonus and other share plans or arrangements, and the options or other rights granted thereunder, set forth in the Registration Statement and the Prospectus accurately and fairly presents, in all material respects, the information required to be shown with respect to such plans, arrangements, options and rights. The ADRs evidencing the Shares are in due and proper form.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jc w:val="both"/>
        <w:ind w:firstLine="656"/>
        <w:spacing w:after="0" w:line="257" w:lineRule="auto"/>
        <w:tabs>
          <w:tab w:leader="none" w:pos="175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Stock Exchange Listings</w:t>
      </w:r>
      <w:r>
        <w:rPr>
          <w:rFonts w:ascii="Arial" w:cs="Arial" w:eastAsia="Arial" w:hAnsi="Arial"/>
          <w:sz w:val="18"/>
          <w:szCs w:val="18"/>
          <w:color w:val="auto"/>
        </w:rPr>
        <w:t>. The ADSs are registered pursuant to Section 12(b) of the Exchange Act and are listed on the Principal Market and the Company has taken no action designed to, or likely to have the effect of, terminating the registration of the ADSs under the Exchange Act or delisting the ADSs from the Principal Market, nor has the Company received any notification that the Commission or the Principal Market is contemplating terminating such registration or listing. To the Company’s knowledge, it is in compliance with all applicable listing requirements of the Principal Market.</w:t>
      </w:r>
    </w:p>
    <w:p>
      <w:pPr>
        <w:spacing w:after="0" w:line="187" w:lineRule="exact"/>
        <w:rPr>
          <w:rFonts w:ascii="Arial" w:cs="Arial" w:eastAsia="Arial" w:hAnsi="Arial"/>
          <w:sz w:val="18"/>
          <w:szCs w:val="18"/>
          <w:color w:val="auto"/>
        </w:rPr>
      </w:pPr>
    </w:p>
    <w:p>
      <w:pPr>
        <w:jc w:val="both"/>
        <w:ind w:firstLine="656"/>
        <w:spacing w:after="0" w:line="284" w:lineRule="auto"/>
        <w:tabs>
          <w:tab w:leader="none" w:pos="1652"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Non-Contravention of Existing Instruments; No Further Authorizations or Approvals Required</w:t>
      </w:r>
      <w:r>
        <w:rPr>
          <w:rFonts w:ascii="Arial" w:cs="Arial" w:eastAsia="Arial" w:hAnsi="Arial"/>
          <w:sz w:val="16"/>
          <w:szCs w:val="16"/>
          <w:color w:val="auto"/>
        </w:rPr>
        <w:t>. Neither the Company nor any of its subsidiaries (i) is in violation of its articles of association, partnership agreement or operating agreement or similar constitutional or organizational documents, as applicable, or (ii) is in default (or, with the giving of notice or lapse of time, would be in default) (“</w:t>
      </w:r>
      <w:r>
        <w:rPr>
          <w:rFonts w:ascii="Arial" w:cs="Arial" w:eastAsia="Arial" w:hAnsi="Arial"/>
          <w:sz w:val="16"/>
          <w:szCs w:val="16"/>
          <w:b w:val="1"/>
          <w:bCs w:val="1"/>
          <w:color w:val="auto"/>
        </w:rPr>
        <w:t>Default</w:t>
      </w:r>
      <w:r>
        <w:rPr>
          <w:rFonts w:ascii="Arial" w:cs="Arial" w:eastAsia="Arial" w:hAnsi="Arial"/>
          <w:sz w:val="16"/>
          <w:szCs w:val="16"/>
          <w:color w:val="auto"/>
        </w:rPr>
        <w:t>”) under any indenture, loan, credit agreement, note, lease, license agreement, contract, franchise or other instrument (including, without limitation, any pledge agreement, security agreement, mortgage or other instrument or agreement evidencing, guaranteeing, securing or relating to indebtedness) to which the Company or any of its subsidiaries is a party or by which it or any of them may be bound, or to which any of their respective properties or assets are subject (each, an “</w:t>
      </w:r>
      <w:r>
        <w:rPr>
          <w:rFonts w:ascii="Arial" w:cs="Arial" w:eastAsia="Arial" w:hAnsi="Arial"/>
          <w:sz w:val="16"/>
          <w:szCs w:val="16"/>
          <w:b w:val="1"/>
          <w:bCs w:val="1"/>
          <w:color w:val="auto"/>
        </w:rPr>
        <w:t>Existing</w:t>
      </w:r>
      <w:r>
        <w:rPr>
          <w:rFonts w:ascii="Arial" w:cs="Arial" w:eastAsia="Arial" w:hAnsi="Arial"/>
          <w:sz w:val="16"/>
          <w:szCs w:val="16"/>
          <w:color w:val="auto"/>
        </w:rPr>
        <w:t xml:space="preserve"> </w:t>
      </w:r>
      <w:r>
        <w:rPr>
          <w:rFonts w:ascii="Arial" w:cs="Arial" w:eastAsia="Arial" w:hAnsi="Arial"/>
          <w:sz w:val="16"/>
          <w:szCs w:val="16"/>
          <w:b w:val="1"/>
          <w:bCs w:val="1"/>
          <w:color w:val="auto"/>
        </w:rPr>
        <w:t>Instrument</w:t>
      </w:r>
      <w:r>
        <w:rPr>
          <w:rFonts w:ascii="Arial" w:cs="Arial" w:eastAsia="Arial" w:hAnsi="Arial"/>
          <w:sz w:val="16"/>
          <w:szCs w:val="16"/>
          <w:color w:val="auto"/>
        </w:rPr>
        <w:t>”), except for such Defaults as would not reasonably be expected, individually or in the aggregate, to have a Material Adverse Effect.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execution, delivery and performance of this Agreement, consummation of the transactions contemplated hereby, by the Deposit Agreement and by the Registration Statement, the ADS Registration Statement and the Prospectus and the issuance and sale of the Offered Securities (including the use of proceeds from the sale of the Shares as described in the Registration Statement and the Prospectus under the caption “Use of Proceeds”) (i) have been duly authorized by all necessary corporate action and will not result in any violation of the provisions of the articles of association, partnership agreement or operating agreement or similar constitutional or organizational documents, as applicable, of the Company or any subsidiary (ii) will not conflict with or constitute a breach of, or Default or a Debt Repayment Triggering Event (as defined below) under, or result in the creation or imposition of any lien, charge or encumbrance upon any property or assets of the Company or any of its subsidiaries pursuant to, or require the consent of any other party to, any Existing Instrument, and (iii) will not result in any violation of any law, administrative regulation or administrative or court decree applicable to the Company or any of its subsidiaries, except in the case of clauses (ii) and (iii), as would not reasonably be expected, individually or in the aggregate, to have a Material Adverse Effect. No consent, approval, authorization or other order of, or registration or filing with, any court or other governmental or regulatory authority or agency, is required for the Company’s execution, delivery and performance of this Agreement and consummation of the transactions contemplated hereby, by the Deposit Agreement and by the Registration Statement, the ADS Registration Statement and the Prospectus, except such as have been obtained or made by the Company and are in full force and effect under the Securities Act and such as may be required under applicable state securities or blue sky laws or the Financial Industry Regulatory Authority, Inc. (“</w:t>
      </w:r>
      <w:r>
        <w:rPr>
          <w:rFonts w:ascii="Arial" w:cs="Arial" w:eastAsia="Arial" w:hAnsi="Arial"/>
          <w:sz w:val="16"/>
          <w:szCs w:val="16"/>
          <w:b w:val="1"/>
          <w:bCs w:val="1"/>
          <w:color w:val="auto"/>
        </w:rPr>
        <w:t>FINRA</w:t>
      </w:r>
      <w:r>
        <w:rPr>
          <w:rFonts w:ascii="Arial" w:cs="Arial" w:eastAsia="Arial" w:hAnsi="Arial"/>
          <w:sz w:val="16"/>
          <w:szCs w:val="16"/>
          <w:color w:val="auto"/>
        </w:rPr>
        <w:t>”), the CA 2006 or the Nasdaq As used herein, a “</w:t>
      </w:r>
      <w:r>
        <w:rPr>
          <w:rFonts w:ascii="Arial" w:cs="Arial" w:eastAsia="Arial" w:hAnsi="Arial"/>
          <w:sz w:val="16"/>
          <w:szCs w:val="16"/>
          <w:b w:val="1"/>
          <w:bCs w:val="1"/>
          <w:color w:val="auto"/>
        </w:rPr>
        <w:t>Debt Repayment</w:t>
      </w:r>
      <w:r>
        <w:rPr>
          <w:rFonts w:ascii="Arial" w:cs="Arial" w:eastAsia="Arial" w:hAnsi="Arial"/>
          <w:sz w:val="16"/>
          <w:szCs w:val="16"/>
          <w:color w:val="auto"/>
        </w:rPr>
        <w:t xml:space="preserve"> </w:t>
      </w:r>
      <w:r>
        <w:rPr>
          <w:rFonts w:ascii="Arial" w:cs="Arial" w:eastAsia="Arial" w:hAnsi="Arial"/>
          <w:sz w:val="16"/>
          <w:szCs w:val="16"/>
          <w:b w:val="1"/>
          <w:bCs w:val="1"/>
          <w:color w:val="auto"/>
        </w:rPr>
        <w:t>Triggering Event</w:t>
      </w:r>
      <w:r>
        <w:rPr>
          <w:rFonts w:ascii="Arial" w:cs="Arial" w:eastAsia="Arial" w:hAnsi="Arial"/>
          <w:sz w:val="16"/>
          <w:szCs w:val="16"/>
          <w:color w:val="auto"/>
        </w:rPr>
        <w:t>” means any event or condition which gives, or with the giving of notice or lapse of time would give, the holder of any note, debenture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 evidence of indebtedness (or any person acting on such holder’s behalf) the right to require the repurchase, redemption or repayment of all or a portion of such indebtedness by the Company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jc w:val="both"/>
        <w:ind w:firstLine="656"/>
        <w:spacing w:after="0" w:line="263" w:lineRule="auto"/>
        <w:tabs>
          <w:tab w:leader="none" w:pos="1609"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Company and its subsidiaries have been and are in compliance with all applicable laws, rules and regulations, except where failure to be so in compliance would not reasonably be expected, individually or in the aggregate, to have a Material Adverse Effect.</w:t>
      </w:r>
    </w:p>
    <w:p>
      <w:pPr>
        <w:spacing w:after="0" w:line="183" w:lineRule="exact"/>
        <w:rPr>
          <w:rFonts w:ascii="Arial" w:cs="Arial" w:eastAsia="Arial" w:hAnsi="Arial"/>
          <w:sz w:val="18"/>
          <w:szCs w:val="18"/>
          <w:color w:val="auto"/>
        </w:rPr>
      </w:pPr>
    </w:p>
    <w:p>
      <w:pPr>
        <w:jc w:val="both"/>
        <w:ind w:firstLine="656"/>
        <w:spacing w:after="0" w:line="253" w:lineRule="auto"/>
        <w:tabs>
          <w:tab w:leader="none" w:pos="1321"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No Material Actions or Proceedings</w:t>
      </w:r>
      <w:r>
        <w:rPr>
          <w:rFonts w:ascii="Arial" w:cs="Arial" w:eastAsia="Arial" w:hAnsi="Arial"/>
          <w:sz w:val="18"/>
          <w:szCs w:val="18"/>
          <w:color w:val="auto"/>
        </w:rPr>
        <w:t>. There is no action, suit, proceeding, inquiry or investigation brought by or before any governmental entity now pending or, to the knowledge of the Company, threatened, against or affecting the Company or any of its subsidiaries, which would reasonably be expected, individually or in the aggregate, to have a Material Adverse Effect or materially and adversely affect the consummation of the transactions contemplated by this Agreement or the Deposit Agreement or the performance by the Company of its obligations hereunder or thereunder; and the aggregate of all pending legal or governmental proceedings to which the Company or any such subsidiary is a party or of which any of their respective properties or assets is the subject, including ordinary routine litigation incidental to the business, if determined adversely to the Company, would not reasonably be expected to have a Material Adverse Effect. No material labor dispute with the employees of the Company or any of its subsidiaries, or with the employees of any principal supplier, manufacturer, customer or contractor of the Company, exists or, to the knowledge of the Company, is threatened or imminent.</w:t>
      </w:r>
    </w:p>
    <w:p>
      <w:pPr>
        <w:spacing w:after="0" w:line="196" w:lineRule="exact"/>
        <w:rPr>
          <w:rFonts w:ascii="Arial" w:cs="Arial" w:eastAsia="Arial" w:hAnsi="Arial"/>
          <w:sz w:val="18"/>
          <w:szCs w:val="18"/>
          <w:color w:val="auto"/>
        </w:rPr>
      </w:pPr>
    </w:p>
    <w:p>
      <w:pPr>
        <w:ind w:left="1540" w:hanging="884"/>
        <w:spacing w:after="0"/>
        <w:tabs>
          <w:tab w:leader="none" w:pos="15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Except as disclosed in the Registration Statement and the Prospectus:</w:t>
      </w:r>
    </w:p>
    <w:p>
      <w:pPr>
        <w:spacing w:after="0" w:line="225" w:lineRule="exact"/>
        <w:rPr>
          <w:sz w:val="20"/>
          <w:szCs w:val="20"/>
          <w:color w:val="auto"/>
        </w:rPr>
      </w:pPr>
    </w:p>
    <w:p>
      <w:pPr>
        <w:jc w:val="both"/>
        <w:ind w:left="660" w:hanging="4"/>
        <w:spacing w:after="0" w:line="259" w:lineRule="auto"/>
        <w:tabs>
          <w:tab w:leader="none" w:pos="132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and its subsidiaries own or possess sufficient legal rights to all inventions, patent applications, patents, trademarks, trade names, service names, copyrights, trade secrets and other intellectual property described in the Registration Statement and the Prospectus as necessary for the conduct of their respective businesses as currently conducted or as currently proposed to be conducted (collectively,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w:t>
      </w:r>
      <w:r>
        <w:rPr>
          <w:rFonts w:ascii="Arial" w:cs="Arial" w:eastAsia="Arial" w:hAnsi="Arial"/>
          <w:sz w:val="18"/>
          <w:szCs w:val="18"/>
          <w:b w:val="1"/>
          <w:bCs w:val="1"/>
          <w:color w:val="auto"/>
        </w:rPr>
        <w:t>Intellectual Property</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660" w:hanging="4"/>
        <w:spacing w:after="0" w:line="263" w:lineRule="auto"/>
        <w:tabs>
          <w:tab w:leader="none" w:pos="154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product candidates described in the Registration Statement and the Prospectus as under development by the Company or any subsidiary fall within the scope of claims of one or more patents owned by, or exclusively licensed to, the Company or any subsidiary, except as would not reasonably be expected to have, individually or in the aggregate, a Material Adverse Effect.</w:t>
      </w:r>
    </w:p>
    <w:p>
      <w:pPr>
        <w:spacing w:after="0" w:line="183" w:lineRule="exact"/>
        <w:rPr>
          <w:rFonts w:ascii="Arial" w:cs="Arial" w:eastAsia="Arial" w:hAnsi="Arial"/>
          <w:sz w:val="18"/>
          <w:szCs w:val="18"/>
          <w:color w:val="auto"/>
        </w:rPr>
      </w:pPr>
    </w:p>
    <w:p>
      <w:pPr>
        <w:ind w:left="660" w:hanging="4"/>
        <w:spacing w:after="0" w:line="277" w:lineRule="auto"/>
        <w:tabs>
          <w:tab w:leader="none" w:pos="1426" w:val="left"/>
        </w:tabs>
        <w:numPr>
          <w:ilvl w:val="0"/>
          <w:numId w:val="67"/>
        </w:numPr>
        <w:rPr>
          <w:rFonts w:ascii="Arial" w:cs="Arial" w:eastAsia="Arial" w:hAnsi="Arial"/>
          <w:sz w:val="18"/>
          <w:szCs w:val="18"/>
          <w:color w:val="auto"/>
        </w:rPr>
      </w:pPr>
      <w:r>
        <w:rPr>
          <w:rFonts w:ascii="Arial" w:cs="Arial" w:eastAsia="Arial" w:hAnsi="Arial"/>
          <w:sz w:val="18"/>
          <w:szCs w:val="18"/>
          <w:color w:val="auto"/>
        </w:rPr>
        <w:t>To the Company’s knowledge, no third party has infringed or is infringing any Company Intellectual Property or has otherwise misappropriated or is otherwise misappropriating any Company Intellectual Property.</w:t>
      </w:r>
    </w:p>
    <w:p>
      <w:pPr>
        <w:spacing w:after="0" w:line="170" w:lineRule="exact"/>
        <w:rPr>
          <w:rFonts w:ascii="Arial" w:cs="Arial" w:eastAsia="Arial" w:hAnsi="Arial"/>
          <w:sz w:val="18"/>
          <w:szCs w:val="18"/>
          <w:color w:val="auto"/>
        </w:rPr>
      </w:pPr>
    </w:p>
    <w:p>
      <w:pPr>
        <w:jc w:val="both"/>
        <w:ind w:left="660" w:hanging="4"/>
        <w:spacing w:after="0" w:line="293" w:lineRule="auto"/>
        <w:tabs>
          <w:tab w:leader="none" w:pos="1281" w:val="left"/>
        </w:tabs>
        <w:numPr>
          <w:ilvl w:val="0"/>
          <w:numId w:val="67"/>
        </w:numPr>
        <w:rPr>
          <w:rFonts w:ascii="Arial" w:cs="Arial" w:eastAsia="Arial" w:hAnsi="Arial"/>
          <w:sz w:val="16"/>
          <w:szCs w:val="16"/>
          <w:color w:val="auto"/>
        </w:rPr>
      </w:pPr>
      <w:r>
        <w:rPr>
          <w:rFonts w:ascii="Arial" w:cs="Arial" w:eastAsia="Arial" w:hAnsi="Arial"/>
          <w:sz w:val="16"/>
          <w:szCs w:val="16"/>
          <w:color w:val="auto"/>
        </w:rPr>
        <w:t>To the Company’s knowledge, no Company product or service used, reproduced, modified, distributed, licensed, sublicensed, marketed or sold (or proposed to be used, reproduced, modified, distributed, licensed, sublicensed, marketed or sold) by the Company violates or will violate any license or infringes or will infringe any rights to intellectual property of any other party. The Company has not received any communications alleging that the Company has violated or, by conducting its business, would infringe, misappropriate, dilute, violate or otherwise use without authorization any of intellectual property of any third party. The Company is not aware of any potential infringement of any third party intellectual property, nor are they aware of any facts which would form a reasonable basis for such infringement.</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87" w:name="page88"/>
    <w:bookmarkEnd w:id="87"/>
    <w:p>
      <w:pPr>
        <w:jc w:val="both"/>
        <w:ind w:left="4" w:hanging="4"/>
        <w:spacing w:after="0" w:line="279" w:lineRule="auto"/>
        <w:tabs>
          <w:tab w:leader="none" w:pos="862" w:val="left"/>
        </w:tabs>
        <w:numPr>
          <w:ilvl w:val="0"/>
          <w:numId w:val="68"/>
        </w:numPr>
        <w:rPr>
          <w:rFonts w:ascii="Arial" w:cs="Arial" w:eastAsia="Arial" w:hAnsi="Arial"/>
          <w:sz w:val="17"/>
          <w:szCs w:val="17"/>
          <w:color w:val="auto"/>
        </w:rPr>
      </w:pPr>
      <w:r>
        <w:rPr>
          <w:rFonts w:ascii="Arial" w:cs="Arial" w:eastAsia="Arial" w:hAnsi="Arial"/>
          <w:sz w:val="17"/>
          <w:szCs w:val="17"/>
          <w:color w:val="auto"/>
        </w:rPr>
        <w:t>Other than with respect to commercially available software products under standard end-user object code license agreements, the Company is not aware of any outstanding option, license, agreement, claim, encumbrance or shared ownership interest of any kind relating to the Company Intellectual Property, nor is the Company aware of any options, licenses or agreements of any kind with respect to the intellectual property of any other Person other than what is disclosed in the Registration Statement and the Prospectus.</w:t>
      </w:r>
    </w:p>
    <w:p>
      <w:pPr>
        <w:spacing w:after="0" w:line="171" w:lineRule="exact"/>
        <w:rPr>
          <w:rFonts w:ascii="Arial" w:cs="Arial" w:eastAsia="Arial" w:hAnsi="Arial"/>
          <w:sz w:val="17"/>
          <w:szCs w:val="17"/>
          <w:color w:val="auto"/>
        </w:rPr>
      </w:pPr>
    </w:p>
    <w:p>
      <w:pPr>
        <w:ind w:left="4" w:hanging="4"/>
        <w:spacing w:after="0" w:line="308" w:lineRule="auto"/>
        <w:tabs>
          <w:tab w:leader="none" w:pos="6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To the Company’s knowledge, each item of the Company’s Intellectual Property properly identifies each and every inventor of the claims thereof as determined in accordance with the law of the jurisdiction in which such Company Intellectual Property is issued or pending.</w:t>
      </w:r>
    </w:p>
    <w:p>
      <w:pPr>
        <w:spacing w:after="0" w:line="146" w:lineRule="exact"/>
        <w:rPr>
          <w:rFonts w:ascii="Arial" w:cs="Arial" w:eastAsia="Arial" w:hAnsi="Arial"/>
          <w:sz w:val="17"/>
          <w:szCs w:val="17"/>
          <w:color w:val="auto"/>
        </w:rPr>
      </w:pPr>
    </w:p>
    <w:p>
      <w:pPr>
        <w:jc w:val="both"/>
        <w:ind w:left="4" w:hanging="4"/>
        <w:spacing w:after="0" w:line="263" w:lineRule="auto"/>
        <w:tabs>
          <w:tab w:leader="none" w:pos="67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the Company’s knowledge, the Company is not in breach of any agreement affecting the Company Intellectual Property, and has not taken any action that would impair or otherwise adversely affects its rights in the Company Intellectual Property, except, in each case, as would not reasonably be expected to have, individually or in the aggregate, a Material Adverse Effect.</w:t>
      </w:r>
    </w:p>
    <w:p>
      <w:pPr>
        <w:spacing w:after="0" w:line="183" w:lineRule="exact"/>
        <w:rPr>
          <w:rFonts w:ascii="Arial" w:cs="Arial" w:eastAsia="Arial" w:hAnsi="Arial"/>
          <w:sz w:val="18"/>
          <w:szCs w:val="18"/>
          <w:color w:val="auto"/>
        </w:rPr>
      </w:pPr>
    </w:p>
    <w:p>
      <w:pPr>
        <w:jc w:val="both"/>
        <w:ind w:left="4" w:hanging="4"/>
        <w:spacing w:after="0" w:line="257" w:lineRule="auto"/>
        <w:tabs>
          <w:tab w:leader="none" w:pos="6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proceedings are pending or , to the Company's knowledge threatened which challenge the validity, enforceability, scope, ownership or use of any Company Intellectual Property. The Company Intellectual Property is not subject to any outstanding order, interference, re-examination, inter partes review, opposition, cancellation proceeding or other post-issuance proceeding. The Company is not aware of any facts which would form a reasonable basis for any such proceedings described in this paragraph (viii) and which would be expected to have, individually or in the aggregate, a Material Adverse Effect.</w:t>
      </w:r>
    </w:p>
    <w:p>
      <w:pPr>
        <w:spacing w:after="0" w:line="187" w:lineRule="exact"/>
        <w:rPr>
          <w:rFonts w:ascii="Arial" w:cs="Arial" w:eastAsia="Arial" w:hAnsi="Arial"/>
          <w:sz w:val="18"/>
          <w:szCs w:val="18"/>
          <w:color w:val="auto"/>
        </w:rPr>
      </w:pPr>
    </w:p>
    <w:p>
      <w:pPr>
        <w:jc w:val="both"/>
        <w:ind w:left="4" w:hanging="4"/>
        <w:spacing w:after="0" w:line="254" w:lineRule="auto"/>
        <w:tabs>
          <w:tab w:leader="none" w:pos="81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the Company’s knowledge, the Company Intellectual Property is valid and enforceable, and there are no published patent rights, articles, or other prior art references, or any other prior art or material information, that could render invalid or unenforceable or could prevent the issuance of, in whole or in part, any of the granted Company Intellectual Property or any claim therein. All material prior art of which the Company was aware during the pendency of any application relating to any Company Intellectual Property was properly filed with the patent authorities in the applicable jurisdiction in which such application was pending. For all Company Intellectual Property, the Company and its Representatives have met their duty of candor as required under 37 C.F.R. 1.56 and complied with analogous Law outside the United States requiring disclosure of references.</w:t>
      </w:r>
    </w:p>
    <w:p>
      <w:pPr>
        <w:spacing w:after="0" w:line="194" w:lineRule="exact"/>
        <w:rPr>
          <w:rFonts w:ascii="Arial" w:cs="Arial" w:eastAsia="Arial" w:hAnsi="Arial"/>
          <w:sz w:val="18"/>
          <w:szCs w:val="18"/>
          <w:color w:val="auto"/>
        </w:rPr>
      </w:pPr>
    </w:p>
    <w:p>
      <w:pPr>
        <w:jc w:val="both"/>
        <w:ind w:left="4" w:hanging="4"/>
        <w:spacing w:after="0" w:line="263" w:lineRule="auto"/>
        <w:tabs>
          <w:tab w:leader="none" w:pos="824"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the Company’s knowledge, the Company has taken all actions reasonably necessary to protect, and where necessary register, the copyrights, trademarks, patent rights and trade secrets owned by or licensed exclusively to the Company (solely where the Company has the right to take such actions as to in-licensed intellectual property rights).</w:t>
      </w:r>
    </w:p>
    <w:p>
      <w:pPr>
        <w:spacing w:after="0" w:line="40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88" w:name="page89"/>
    <w:bookmarkEnd w:id="88"/>
    <w:p>
      <w:pPr>
        <w:jc w:val="both"/>
        <w:ind w:left="660" w:hanging="4"/>
        <w:spacing w:after="0" w:line="259" w:lineRule="auto"/>
        <w:tabs>
          <w:tab w:leader="none" w:pos="1385" w:val="left"/>
        </w:tabs>
        <w:numPr>
          <w:ilvl w:val="0"/>
          <w:numId w:val="69"/>
        </w:numPr>
        <w:rPr>
          <w:rFonts w:ascii="Arial" w:cs="Arial" w:eastAsia="Arial" w:hAnsi="Arial"/>
          <w:sz w:val="18"/>
          <w:szCs w:val="18"/>
          <w:color w:val="auto"/>
        </w:rPr>
      </w:pPr>
      <w:r>
        <w:rPr>
          <w:rFonts w:ascii="Arial" w:cs="Arial" w:eastAsia="Arial" w:hAnsi="Arial"/>
          <w:sz w:val="18"/>
          <w:szCs w:val="18"/>
          <w:color w:val="auto"/>
        </w:rPr>
        <w:t>Each current and former employee and individual contractor of the Company who is or was involved in the creation or development of any Company Intellectual Property has executed and delivered and, to the Company’s knowledge, is in compliance with an employment or consulting agreement containing nondisclosure, assignment and non-solicitation provisions, except as could not reasonably be expected to have, individually or in the aggregate, a Material Adverse Effect.</w:t>
      </w:r>
    </w:p>
    <w:p>
      <w:pPr>
        <w:spacing w:after="0" w:line="186" w:lineRule="exact"/>
        <w:rPr>
          <w:rFonts w:ascii="Arial" w:cs="Arial" w:eastAsia="Arial" w:hAnsi="Arial"/>
          <w:sz w:val="18"/>
          <w:szCs w:val="18"/>
          <w:color w:val="auto"/>
        </w:rPr>
      </w:pPr>
    </w:p>
    <w:p>
      <w:pPr>
        <w:jc w:val="both"/>
        <w:ind w:left="660" w:hanging="4"/>
        <w:spacing w:after="0" w:line="286" w:lineRule="auto"/>
        <w:tabs>
          <w:tab w:leader="none" w:pos="1632" w:val="left"/>
        </w:tabs>
        <w:numPr>
          <w:ilvl w:val="0"/>
          <w:numId w:val="69"/>
        </w:numPr>
        <w:rPr>
          <w:rFonts w:ascii="Arial" w:cs="Arial" w:eastAsia="Arial" w:hAnsi="Arial"/>
          <w:sz w:val="17"/>
          <w:szCs w:val="17"/>
          <w:color w:val="auto"/>
        </w:rPr>
      </w:pPr>
      <w:r>
        <w:rPr>
          <w:rFonts w:ascii="Arial" w:cs="Arial" w:eastAsia="Arial" w:hAnsi="Arial"/>
          <w:sz w:val="17"/>
          <w:szCs w:val="17"/>
          <w:color w:val="auto"/>
        </w:rPr>
        <w:t>To the Company's knowledge, none of the Company's employees or individual contractors is obligated under any agreement, commitment, judgment, decree or order (an “</w:t>
      </w:r>
      <w:r>
        <w:rPr>
          <w:rFonts w:ascii="Arial" w:cs="Arial" w:eastAsia="Arial" w:hAnsi="Arial"/>
          <w:sz w:val="17"/>
          <w:szCs w:val="17"/>
          <w:b w:val="1"/>
          <w:bCs w:val="1"/>
          <w:color w:val="auto"/>
        </w:rPr>
        <w:t>Employee Obligation</w:t>
      </w:r>
      <w:r>
        <w:rPr>
          <w:rFonts w:ascii="Arial" w:cs="Arial" w:eastAsia="Arial" w:hAnsi="Arial"/>
          <w:sz w:val="17"/>
          <w:szCs w:val="17"/>
          <w:color w:val="auto"/>
        </w:rPr>
        <w:t>”) that would or could reasonably be expected to either interfere with the use of his or her best efforts to promote the interests of the Company or conflict with its business as conducted or proposed to be conducted.</w:t>
      </w:r>
    </w:p>
    <w:p>
      <w:pPr>
        <w:spacing w:after="0" w:line="165" w:lineRule="exact"/>
        <w:rPr>
          <w:rFonts w:ascii="Arial" w:cs="Arial" w:eastAsia="Arial" w:hAnsi="Arial"/>
          <w:sz w:val="17"/>
          <w:szCs w:val="17"/>
          <w:color w:val="auto"/>
        </w:rPr>
      </w:pPr>
    </w:p>
    <w:p>
      <w:pPr>
        <w:jc w:val="both"/>
        <w:ind w:left="660" w:hanging="4"/>
        <w:spacing w:after="0" w:line="311" w:lineRule="auto"/>
        <w:tabs>
          <w:tab w:leader="none" w:pos="139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To the Company’s knowledge, the Company is not using, and it will not be necessary to use, (A) any inventions of any of their past or present employees or individual contractors (or people currently intended to be hired) made prior to or outside the scope of their employment or consulting agreement by the Company or (B) any confidential information or trade secret of any former employer of any such person.</w:t>
      </w:r>
    </w:p>
    <w:p>
      <w:pPr>
        <w:spacing w:after="0" w:line="149" w:lineRule="exact"/>
        <w:rPr>
          <w:sz w:val="20"/>
          <w:szCs w:val="20"/>
          <w:color w:val="auto"/>
        </w:rPr>
      </w:pPr>
    </w:p>
    <w:p>
      <w:pPr>
        <w:jc w:val="both"/>
        <w:ind w:firstLine="656"/>
        <w:spacing w:after="0" w:line="293" w:lineRule="auto"/>
        <w:tabs>
          <w:tab w:leader="none" w:pos="1478"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All Necessary Permits, etc</w:t>
      </w:r>
      <w:r>
        <w:rPr>
          <w:rFonts w:ascii="Arial" w:cs="Arial" w:eastAsia="Arial" w:hAnsi="Arial"/>
          <w:sz w:val="16"/>
          <w:szCs w:val="16"/>
          <w:color w:val="auto"/>
        </w:rPr>
        <w:t>. The Company and its subsidiaries possess such valid and current certificates, authorizations or permits required by state, federal or foreign regulatory agencies or bodies to conduct their respective businesses as currently conducted and as described in the Registration Statement or the Prospectus (“</w:t>
      </w:r>
      <w:r>
        <w:rPr>
          <w:rFonts w:ascii="Arial" w:cs="Arial" w:eastAsia="Arial" w:hAnsi="Arial"/>
          <w:sz w:val="16"/>
          <w:szCs w:val="16"/>
          <w:b w:val="1"/>
          <w:bCs w:val="1"/>
          <w:color w:val="auto"/>
        </w:rPr>
        <w:t>Permits</w:t>
      </w:r>
      <w:r>
        <w:rPr>
          <w:rFonts w:ascii="Arial" w:cs="Arial" w:eastAsia="Arial" w:hAnsi="Arial"/>
          <w:sz w:val="16"/>
          <w:szCs w:val="16"/>
          <w:color w:val="auto"/>
        </w:rPr>
        <w:t>”), except where failure to possess such Permits would not reasonably be expected, individually or in the aggregate, to result in a Material Adverse Effect. Neither the Company nor any of its subsidiaries is in violation of, or in default under, any of the Permits or has received any written notice of proceedings relating to the revocation or modification of, or non-compliance with, any such certificate, authorization or permit, except in each case as would not reasonably be expected, individually or in the aggregate, to result in a Material Adverse Effect.</w:t>
      </w:r>
    </w:p>
    <w:p>
      <w:pPr>
        <w:spacing w:after="0" w:line="164" w:lineRule="exact"/>
        <w:rPr>
          <w:rFonts w:ascii="Arial" w:cs="Arial" w:eastAsia="Arial" w:hAnsi="Arial"/>
          <w:sz w:val="16"/>
          <w:szCs w:val="16"/>
          <w:color w:val="auto"/>
        </w:rPr>
      </w:pPr>
    </w:p>
    <w:p>
      <w:pPr>
        <w:jc w:val="both"/>
        <w:ind w:firstLine="656"/>
        <w:spacing w:after="0" w:line="254" w:lineRule="auto"/>
        <w:tabs>
          <w:tab w:leader="none" w:pos="1433"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Title to Properties</w:t>
      </w:r>
      <w:r>
        <w:rPr>
          <w:rFonts w:ascii="Arial" w:cs="Arial" w:eastAsia="Arial" w:hAnsi="Arial"/>
          <w:sz w:val="18"/>
          <w:szCs w:val="18"/>
          <w:color w:val="auto"/>
        </w:rPr>
        <w:t>. The Company and its subsidiaries have good and marketable title to all of the real and personal property and other assets reflected as owned in the financial statements referred to in Section 2(l) above (or elsewhere in the Registration Statement or the Prospectus), in each case free and clear of any security interests, mortgages, liens, encumbrances, equities, adverse claims and other defects, except such as would not reasonably be expected, individually or in the aggregate, to have a Material Adverse Effect. The real property, improvements, equipment and personal property held under lease by the Company or any of its subsidiaries are held under valid and enforceable leases, with such exceptions as are not material and do not materially interfere with the use made or proposed to be made of such real property, improvements, equipment or personal property by the Company or such subsidiary.</w:t>
      </w:r>
    </w:p>
    <w:p>
      <w:pPr>
        <w:spacing w:after="0" w:line="194" w:lineRule="exact"/>
        <w:rPr>
          <w:rFonts w:ascii="Arial" w:cs="Arial" w:eastAsia="Arial" w:hAnsi="Arial"/>
          <w:sz w:val="18"/>
          <w:szCs w:val="18"/>
          <w:color w:val="auto"/>
        </w:rPr>
      </w:pPr>
    </w:p>
    <w:p>
      <w:pPr>
        <w:jc w:val="both"/>
        <w:ind w:firstLine="656"/>
        <w:spacing w:after="0" w:line="289" w:lineRule="auto"/>
        <w:tabs>
          <w:tab w:leader="none" w:pos="1307"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Tax Law Compliance</w:t>
      </w:r>
      <w:r>
        <w:rPr>
          <w:rFonts w:ascii="Arial" w:cs="Arial" w:eastAsia="Arial" w:hAnsi="Arial"/>
          <w:sz w:val="16"/>
          <w:szCs w:val="16"/>
          <w:color w:val="auto"/>
        </w:rPr>
        <w:t>. The Company and its subsidiaries have filed all necessary non U.S. and U.S. (federal and state) tax returns or have properly requested extensions thereof and such returns were when filed complete and correct, and have paid all taxes required to be paid by any of them and, if due and payable, any related or similar assessment, fine or penalty levied against any of them except as may be being contested in good faith and by appropriate proceedings or where the failure to file such tax returns or to pay such taxes would not, individually or in the aggregate, result in a Material Adverse Effect. The Company and its subsidiaries do not have any tax deficiencies or claims outstanding or assessed or, to the Company’s knowledge, proposed against them except as would not, individually or in the aggregate, result in a Materially Adverse Effect. The Company has made adequate charges, accruals and reserves in the applicable financial statements referred to in Section 2(l) above in respect of all material taxes and related material liabilities for all periods as to which the tax liability of the Company or any of its subsidiaries has not been finally determined (including, for the avoidance of doubt, in respect of all material taxes and related material liabilities which are tax deficiencies or claims, whether proposed or otherwise).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jc w:val="both"/>
        <w:ind w:firstLine="656"/>
        <w:spacing w:after="0" w:line="272" w:lineRule="auto"/>
        <w:tabs>
          <w:tab w:leader="none" w:pos="1486"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Transfer Taxes</w:t>
      </w:r>
      <w:r>
        <w:rPr>
          <w:rFonts w:ascii="Arial" w:cs="Arial" w:eastAsia="Arial" w:hAnsi="Arial"/>
          <w:sz w:val="17"/>
          <w:szCs w:val="17"/>
          <w:color w:val="auto"/>
        </w:rPr>
        <w:t>. Except as disclosed in the Registration Statement and the Prospectus, no stamp duty, stamp duty reserve, issuance, registration, documentary, transfer or other similar taxes or duties (“</w:t>
      </w:r>
      <w:r>
        <w:rPr>
          <w:rFonts w:ascii="Arial" w:cs="Arial" w:eastAsia="Arial" w:hAnsi="Arial"/>
          <w:sz w:val="17"/>
          <w:szCs w:val="17"/>
          <w:b w:val="1"/>
          <w:bCs w:val="1"/>
          <w:color w:val="auto"/>
        </w:rPr>
        <w:t>Transfer Taxes</w:t>
      </w:r>
      <w:r>
        <w:rPr>
          <w:rFonts w:ascii="Arial" w:cs="Arial" w:eastAsia="Arial" w:hAnsi="Arial"/>
          <w:sz w:val="17"/>
          <w:szCs w:val="17"/>
          <w:color w:val="auto"/>
        </w:rPr>
        <w:t>”) are payable in the United Kingdom or the United States by or on behalf of the Agent in connection with (i) the allotment, creation, issuance and delivery of the Ordinary Shares and the ADSs (or the ADRs evidencing the ADSs) in the manner contemplated by this Agreement and the Deposit Agreement; (ii) the sale and delivery of the ADSs (or the ADRs evidencing such ADSs) to or for the account of the Agent, in each case in the manner contemplated by this Agreement and the Deposit Agreement; (iii) the sale and delivery by the Agent of the ADSs (or the ADRs evidencing the ADSs) to the initial purchasers thereof in the manner contemplated by this Agreement and the Deposit Agreement; or (iv) the execution and delivery of this Agreement.</w:t>
      </w:r>
    </w:p>
    <w:p>
      <w:pPr>
        <w:spacing w:after="0" w:line="177" w:lineRule="exact"/>
        <w:rPr>
          <w:sz w:val="20"/>
          <w:szCs w:val="20"/>
          <w:color w:val="auto"/>
        </w:rPr>
      </w:pPr>
    </w:p>
    <w:p>
      <w:pPr>
        <w:jc w:val="both"/>
        <w:ind w:firstLine="656"/>
        <w:spacing w:after="0" w:line="271" w:lineRule="auto"/>
        <w:tabs>
          <w:tab w:leader="none" w:pos="1314"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Each of the Company and its subsidiaries are insured by recognized, financially sound and reputable institutions with policies in such amounts and with such deductibles and covering such risks as are generally deemed adequate and customary for their businesses including, but not limited to, policies covering real and personal property owned or leased by the Company and its subsidiaries against theft, damage, destruction, acts of vandalism and earthquakes and policies covering the Company and its subsidiaries for product liability claims and clinical trial liability claims. The Company has no reason to believe that it or any of its subsidiaries will not be able (i) to renew its existing insurance coverage as and when such policies expire or (ii) to obtain coverage from similar institutions as may be necessary or appropriate to conduct its business as now conducted and at a cost that would not reasonably be expected to have a Material Adverse Effect. Neither the Company nor any of its subsidiaries has been denied any insurance coverage which it has sought or for which it has applied</w:t>
      </w:r>
    </w:p>
    <w:p>
      <w:pPr>
        <w:spacing w:after="0" w:line="178" w:lineRule="exact"/>
        <w:rPr>
          <w:rFonts w:ascii="Arial" w:cs="Arial" w:eastAsia="Arial" w:hAnsi="Arial"/>
          <w:sz w:val="17"/>
          <w:szCs w:val="17"/>
          <w:color w:val="auto"/>
        </w:rPr>
      </w:pPr>
    </w:p>
    <w:p>
      <w:pPr>
        <w:ind w:left="1320" w:hanging="664"/>
        <w:spacing w:after="0"/>
        <w:tabs>
          <w:tab w:leader="none" w:pos="1320"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Compliance with Environmental Laws</w:t>
      </w:r>
      <w:r>
        <w:rPr>
          <w:rFonts w:ascii="Arial" w:cs="Arial" w:eastAsia="Arial" w:hAnsi="Arial"/>
          <w:sz w:val="16"/>
          <w:szCs w:val="16"/>
          <w:color w:val="auto"/>
        </w:rPr>
        <w:t>. Except as would not reasonably be expected, individually or in the aggregate, to have a Material</w:t>
      </w:r>
    </w:p>
    <w:p>
      <w:pPr>
        <w:spacing w:after="0" w:line="46" w:lineRule="exact"/>
        <w:rPr>
          <w:rFonts w:ascii="Arial" w:cs="Arial" w:eastAsia="Arial" w:hAnsi="Arial"/>
          <w:sz w:val="16"/>
          <w:szCs w:val="16"/>
          <w:color w:val="auto"/>
        </w:rPr>
      </w:pPr>
    </w:p>
    <w:p>
      <w:pPr>
        <w:jc w:val="both"/>
        <w:spacing w:after="0" w:line="285" w:lineRule="auto"/>
        <w:rPr>
          <w:rFonts w:ascii="Arial" w:cs="Arial" w:eastAsia="Arial" w:hAnsi="Arial"/>
          <w:sz w:val="16"/>
          <w:szCs w:val="16"/>
          <w:color w:val="auto"/>
        </w:rPr>
      </w:pPr>
      <w:r>
        <w:rPr>
          <w:rFonts w:ascii="Arial" w:cs="Arial" w:eastAsia="Arial" w:hAnsi="Arial"/>
          <w:sz w:val="16"/>
          <w:szCs w:val="16"/>
          <w:color w:val="auto"/>
        </w:rPr>
        <w:t>Adverse Effect: (i) neither the Company nor any of its subsidiaries is in violation of any federal, state, local or foreign statute, law, rule, regulation, ordinance, code, policy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chemicals, pollutants, contaminants, wastes, toxic substances, hazardous substances, petroleum or petroleum products (collectively, “</w:t>
      </w:r>
      <w:r>
        <w:rPr>
          <w:rFonts w:ascii="Arial" w:cs="Arial" w:eastAsia="Arial" w:hAnsi="Arial"/>
          <w:sz w:val="16"/>
          <w:szCs w:val="16"/>
          <w:b w:val="1"/>
          <w:bCs w:val="1"/>
          <w:color w:val="auto"/>
        </w:rPr>
        <w:t>Hazardous</w:t>
      </w:r>
      <w:r>
        <w:rPr>
          <w:rFonts w:ascii="Arial" w:cs="Arial" w:eastAsia="Arial" w:hAnsi="Arial"/>
          <w:sz w:val="16"/>
          <w:szCs w:val="16"/>
          <w:color w:val="auto"/>
        </w:rPr>
        <w:t xml:space="preserve"> </w:t>
      </w:r>
      <w:r>
        <w:rPr>
          <w:rFonts w:ascii="Arial" w:cs="Arial" w:eastAsia="Arial" w:hAnsi="Arial"/>
          <w:sz w:val="16"/>
          <w:szCs w:val="16"/>
          <w:b w:val="1"/>
          <w:bCs w:val="1"/>
          <w:color w:val="auto"/>
        </w:rPr>
        <w:t>Materials</w:t>
      </w:r>
      <w:r>
        <w:rPr>
          <w:rFonts w:ascii="Arial" w:cs="Arial" w:eastAsia="Arial" w:hAnsi="Arial"/>
          <w:sz w:val="16"/>
          <w:szCs w:val="16"/>
          <w:color w:val="auto"/>
        </w:rPr>
        <w:t>”) or to the manufacture, processing, distribution, use, treatment, storage, disposal, transport or handling of Hazardous Materials (collectively,</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Environmental Laws</w:t>
      </w:r>
      <w:r>
        <w:rPr>
          <w:rFonts w:ascii="Arial" w:cs="Arial" w:eastAsia="Arial" w:hAnsi="Arial"/>
          <w:sz w:val="16"/>
          <w:szCs w:val="16"/>
          <w:color w:val="auto"/>
        </w:rPr>
        <w:t>”); (ii) the Company and its subsidiaries have all permits, authorizations and approvals required under any applicable Environmental Laws and are each in compliance with their requirements; (iii) there are no pending or threatened administrative, regulatory or judicial actions, suits, demands, demand letters, claims, liens, notices of noncompliance or violation, investigation or proceedings relating to any Environmental Law against the Company or any of its subsidiaries; and (iv) there are no events or circumstances that might reasonably be expected to form the basis of an order for clean-up or remediation, or an action, suit or proceeding by any private party or governmental body or agency, against or affecting the Company or any of its subsidiaries relating to Hazardous Materials or any Environmental Laws.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jc w:val="both"/>
        <w:ind w:firstLine="656"/>
        <w:spacing w:after="0" w:line="268" w:lineRule="auto"/>
        <w:tabs>
          <w:tab w:leader="none" w:pos="1440" w:val="left"/>
        </w:tabs>
        <w:numPr>
          <w:ilvl w:val="0"/>
          <w:numId w:val="73"/>
        </w:numPr>
        <w:rPr>
          <w:rFonts w:ascii="Arial" w:cs="Arial" w:eastAsia="Arial" w:hAnsi="Arial"/>
          <w:sz w:val="17"/>
          <w:szCs w:val="17"/>
          <w:color w:val="auto"/>
        </w:rPr>
      </w:pPr>
      <w:r>
        <w:rPr>
          <w:rFonts w:ascii="Arial" w:cs="Arial" w:eastAsia="Arial" w:hAnsi="Arial"/>
          <w:sz w:val="17"/>
          <w:szCs w:val="17"/>
          <w:u w:val="single" w:color="auto"/>
          <w:color w:val="auto"/>
        </w:rPr>
        <w:t>ERISA Compliance</w:t>
      </w:r>
      <w:r>
        <w:rPr>
          <w:rFonts w:ascii="Arial" w:cs="Arial" w:eastAsia="Arial" w:hAnsi="Arial"/>
          <w:sz w:val="17"/>
          <w:szCs w:val="17"/>
          <w:color w:val="auto"/>
        </w:rPr>
        <w:t>. The Company and its subsidiaries and any “employee benefit plan” (as defined under the Employee Retirement Income Security Act of 1974, as amended, and the regulations and published interpretations thereunder (collectively, “</w:t>
      </w:r>
      <w:r>
        <w:rPr>
          <w:rFonts w:ascii="Arial" w:cs="Arial" w:eastAsia="Arial" w:hAnsi="Arial"/>
          <w:sz w:val="17"/>
          <w:szCs w:val="17"/>
          <w:b w:val="1"/>
          <w:bCs w:val="1"/>
          <w:color w:val="auto"/>
        </w:rPr>
        <w:t>ERISA</w:t>
      </w:r>
      <w:r>
        <w:rPr>
          <w:rFonts w:ascii="Arial" w:cs="Arial" w:eastAsia="Arial" w:hAnsi="Arial"/>
          <w:sz w:val="17"/>
          <w:szCs w:val="17"/>
          <w:color w:val="auto"/>
        </w:rPr>
        <w:t>”)) established or maintained by the Company, its subsidiaries or their “ERISA Affiliates” (as defined below) are in compliance in all material respects with ERISA. “</w:t>
      </w:r>
      <w:r>
        <w:rPr>
          <w:rFonts w:ascii="Arial" w:cs="Arial" w:eastAsia="Arial" w:hAnsi="Arial"/>
          <w:sz w:val="17"/>
          <w:szCs w:val="17"/>
          <w:b w:val="1"/>
          <w:bCs w:val="1"/>
          <w:color w:val="auto"/>
        </w:rPr>
        <w:t>ERISA Affiliate</w:t>
      </w:r>
      <w:r>
        <w:rPr>
          <w:rFonts w:ascii="Arial" w:cs="Arial" w:eastAsia="Arial" w:hAnsi="Arial"/>
          <w:sz w:val="17"/>
          <w:szCs w:val="17"/>
          <w:color w:val="auto"/>
        </w:rPr>
        <w:t>” means, with respect to the Company or any of its subsidiaries, any member of any group of organizations described in Sections 414(b), (c), (m) or (o) of the Internal Revenue Code of 1986, as amended, and the regulations and published interpretations thereunder (the “</w:t>
      </w:r>
      <w:r>
        <w:rPr>
          <w:rFonts w:ascii="Arial" w:cs="Arial" w:eastAsia="Arial" w:hAnsi="Arial"/>
          <w:sz w:val="17"/>
          <w:szCs w:val="17"/>
          <w:b w:val="1"/>
          <w:bCs w:val="1"/>
          <w:color w:val="auto"/>
        </w:rPr>
        <w:t>Code</w:t>
      </w:r>
      <w:r>
        <w:rPr>
          <w:rFonts w:ascii="Arial" w:cs="Arial" w:eastAsia="Arial" w:hAnsi="Arial"/>
          <w:sz w:val="17"/>
          <w:szCs w:val="17"/>
          <w:color w:val="auto"/>
        </w:rPr>
        <w:t>”) of which the Company or such subsidiary is a member. No “reportable event” (as defined under ERISA) has occurred or is reasonably expected to occur with respect to any “employee benefit plan” established or maintained by the Company, its subsidiaries or any of their ERISA Affiliates. No “employee benefit plan” established or maintained by the Company, its subsidiaries or any of their ERISA Affiliates, if such “employee benefit plan” were terminated, would have any “amount of unfunded benefit liabilities” (as defined under ERISA). Neither the Company, its subsidiaries nor any of their ERISA Affiliates has incurred or reasonably expects to incur any liability under (i) Title IV of ERISA with respect to termination of, or withdrawal from, any “employee benefit plan” or (ii) Sections 412, 4971, 4975 or 4980B of the Code. Each employee benefit plan established or maintained by the Company, its subsidiaries or any of their ERISA Affiliates that is intended to be qualified under Section 401(a) of the Code is so qualified and nothing has occurred, whether by action or failure to act, which would cause the loss of such qualification.</w:t>
      </w:r>
    </w:p>
    <w:p>
      <w:pPr>
        <w:spacing w:after="0" w:line="186" w:lineRule="exact"/>
        <w:rPr>
          <w:rFonts w:ascii="Arial" w:cs="Arial" w:eastAsia="Arial" w:hAnsi="Arial"/>
          <w:sz w:val="17"/>
          <w:szCs w:val="17"/>
          <w:color w:val="auto"/>
        </w:rPr>
      </w:pPr>
    </w:p>
    <w:p>
      <w:pPr>
        <w:jc w:val="both"/>
        <w:ind w:firstLine="656"/>
        <w:spacing w:after="0" w:line="263" w:lineRule="auto"/>
        <w:tabs>
          <w:tab w:leader="none" w:pos="1321"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Company Not an “Investment Company</w:t>
      </w:r>
      <w:r>
        <w:rPr>
          <w:rFonts w:ascii="Arial" w:cs="Arial" w:eastAsia="Arial" w:hAnsi="Arial"/>
          <w:sz w:val="18"/>
          <w:szCs w:val="18"/>
          <w:color w:val="auto"/>
        </w:rPr>
        <w:t>.” The Company is not, and will not be, either after receipt of payment for the Shares or after the application of the proceeds therefrom as described under “Use of Proceeds” in the Registration Statement or the Prospectus, required to register as an “investment company” under the Investment Company Act of 1940, as amended (the “</w:t>
      </w:r>
      <w:r>
        <w:rPr>
          <w:rFonts w:ascii="Arial" w:cs="Arial" w:eastAsia="Arial" w:hAnsi="Arial"/>
          <w:sz w:val="18"/>
          <w:szCs w:val="18"/>
          <w:b w:val="1"/>
          <w:bCs w:val="1"/>
          <w:color w:val="auto"/>
        </w:rPr>
        <w:t>Investment Company Act</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656"/>
        <w:spacing w:after="0" w:line="257" w:lineRule="auto"/>
        <w:tabs>
          <w:tab w:leader="none" w:pos="1494"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No Price Stabilization or Manipulation; Compliance with Regulation M</w:t>
      </w:r>
      <w:r>
        <w:rPr>
          <w:rFonts w:ascii="Arial" w:cs="Arial" w:eastAsia="Arial" w:hAnsi="Arial"/>
          <w:sz w:val="18"/>
          <w:szCs w:val="18"/>
          <w:color w:val="auto"/>
        </w:rPr>
        <w:t>. Neither the Company nor any of its subsidiaries or, to the Company’s knowledge, any of their respective directors, officers or affiliates has taken, directly or indirectly, any action designed to or that would reasonably be expected to cause or result in stabilization or manipulation of the price of the Shares or of any “reference security” (as defined in Rule 100 of Regulation M under the Exchange Act (</w:t>
      </w:r>
      <w:r>
        <w:rPr>
          <w:rFonts w:ascii="Arial" w:cs="Arial" w:eastAsia="Arial" w:hAnsi="Arial"/>
          <w:sz w:val="18"/>
          <w:szCs w:val="18"/>
          <w:b w:val="1"/>
          <w:bCs w:val="1"/>
          <w:color w:val="auto"/>
        </w:rPr>
        <w:t>“Regulation M”</w:t>
      </w:r>
      <w:r>
        <w:rPr>
          <w:rFonts w:ascii="Arial" w:cs="Arial" w:eastAsia="Arial" w:hAnsi="Arial"/>
          <w:sz w:val="18"/>
          <w:szCs w:val="18"/>
          <w:color w:val="auto"/>
        </w:rPr>
        <w:t>)) with respect to the Shares, whether to facilitate the sale or resale of the Shares or otherwise, and has taken no action which would directly or indirectly violate Regulation M.</w:t>
      </w:r>
    </w:p>
    <w:p>
      <w:pPr>
        <w:spacing w:after="0" w:line="187" w:lineRule="exact"/>
        <w:rPr>
          <w:rFonts w:ascii="Arial" w:cs="Arial" w:eastAsia="Arial" w:hAnsi="Arial"/>
          <w:sz w:val="18"/>
          <w:szCs w:val="18"/>
          <w:color w:val="auto"/>
        </w:rPr>
      </w:pPr>
    </w:p>
    <w:p>
      <w:pPr>
        <w:ind w:firstLine="656"/>
        <w:spacing w:after="0" w:line="342" w:lineRule="auto"/>
        <w:tabs>
          <w:tab w:leader="none" w:pos="1563"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Related-Party Transactions</w:t>
      </w:r>
      <w:r>
        <w:rPr>
          <w:rFonts w:ascii="Arial" w:cs="Arial" w:eastAsia="Arial" w:hAnsi="Arial"/>
          <w:sz w:val="16"/>
          <w:szCs w:val="16"/>
          <w:color w:val="auto"/>
        </w:rPr>
        <w:t>. There are no business relationships or related-party transactions involving the Company or any of its subsidiaries or any other person required to be described in the Registration Statement or the Prospectus that have not been described as required.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both"/>
        <w:ind w:firstLine="656"/>
        <w:spacing w:after="0" w:line="257" w:lineRule="auto"/>
        <w:tabs>
          <w:tab w:leader="none" w:pos="1348"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FINRA Matters</w:t>
      </w:r>
      <w:r>
        <w:rPr>
          <w:rFonts w:ascii="Arial" w:cs="Arial" w:eastAsia="Arial" w:hAnsi="Arial"/>
          <w:sz w:val="18"/>
          <w:szCs w:val="18"/>
          <w:color w:val="auto"/>
        </w:rPr>
        <w:t>. The information provided to the Agent or to counsel for the Agent by the Company and, to the Company’s knowledge, its counsel, its officers and directors and the holders of any securities (debt or equity) or options to acquire any securities of the Company in connection with the offering of the Shares is true, complete, correct in all material respects and compliant with FINRA’s rules and any letters, filings or other supplemental information provided to FINRA pursuant to FINRA Rules or NASD Conduct Rules is true, complete and correct in all material respects. The Company meets the definition of the term “experienced issuer” specified in FINRA Rule 5110(j)(6).</w:t>
      </w:r>
    </w:p>
    <w:p>
      <w:pPr>
        <w:spacing w:after="0" w:line="187" w:lineRule="exact"/>
        <w:rPr>
          <w:rFonts w:ascii="Arial" w:cs="Arial" w:eastAsia="Arial" w:hAnsi="Arial"/>
          <w:sz w:val="18"/>
          <w:szCs w:val="18"/>
          <w:color w:val="auto"/>
        </w:rPr>
      </w:pPr>
    </w:p>
    <w:p>
      <w:pPr>
        <w:jc w:val="both"/>
        <w:ind w:firstLine="656"/>
        <w:spacing w:after="0" w:line="311" w:lineRule="auto"/>
        <w:tabs>
          <w:tab w:leader="none" w:pos="1370"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Statistical and Market-Related Data</w:t>
      </w:r>
      <w:r>
        <w:rPr>
          <w:rFonts w:ascii="Arial" w:cs="Arial" w:eastAsia="Arial" w:hAnsi="Arial"/>
          <w:sz w:val="16"/>
          <w:szCs w:val="16"/>
          <w:color w:val="auto"/>
        </w:rPr>
        <w:t>. All statistical, demographic and market-related data included or incorporated by reference in the Registration Statement or the Prospectus are based on or derived from sources that the Company believes, after reasonable inquiry, to be reliable and accurate in all material respects. To the extent required, the Company has obtained the written consent to the use of such data from such sources.</w:t>
      </w:r>
    </w:p>
    <w:p>
      <w:pPr>
        <w:spacing w:after="0" w:line="148" w:lineRule="exact"/>
        <w:rPr>
          <w:rFonts w:ascii="Arial" w:cs="Arial" w:eastAsia="Arial" w:hAnsi="Arial"/>
          <w:sz w:val="16"/>
          <w:szCs w:val="16"/>
          <w:color w:val="auto"/>
        </w:rPr>
      </w:pPr>
    </w:p>
    <w:p>
      <w:pPr>
        <w:jc w:val="both"/>
        <w:ind w:firstLine="656"/>
        <w:spacing w:after="0" w:line="286" w:lineRule="auto"/>
        <w:tabs>
          <w:tab w:leader="none" w:pos="1372"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No Unlawful Contributions or Other Payments</w:t>
      </w:r>
      <w:r>
        <w:rPr>
          <w:rFonts w:ascii="Arial" w:cs="Arial" w:eastAsia="Arial" w:hAnsi="Arial"/>
          <w:sz w:val="17"/>
          <w:szCs w:val="17"/>
          <w:color w:val="auto"/>
        </w:rPr>
        <w:t>. Neither the Company nor any of its subsidiaries nor, to the Company’s knowledge, any employee or agent of the Company or any subsidiary, has made any contribution or other payment to any official of, or candidate for, any federal, state or foreign office in violation of any law or of the character required to be disclosed in the Registration Statement or the Prospectus.</w:t>
      </w:r>
    </w:p>
    <w:p>
      <w:pPr>
        <w:spacing w:after="0" w:line="165" w:lineRule="exact"/>
        <w:rPr>
          <w:rFonts w:ascii="Arial" w:cs="Arial" w:eastAsia="Arial" w:hAnsi="Arial"/>
          <w:sz w:val="17"/>
          <w:szCs w:val="17"/>
          <w:color w:val="auto"/>
        </w:rPr>
      </w:pPr>
    </w:p>
    <w:p>
      <w:pPr>
        <w:jc w:val="both"/>
        <w:ind w:firstLine="656"/>
        <w:spacing w:after="0" w:line="285" w:lineRule="auto"/>
        <w:tabs>
          <w:tab w:leader="none" w:pos="1399"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Anti-Corruption Laws</w:t>
      </w:r>
      <w:r>
        <w:rPr>
          <w:rFonts w:ascii="Arial" w:cs="Arial" w:eastAsia="Arial" w:hAnsi="Arial"/>
          <w:sz w:val="16"/>
          <w:szCs w:val="16"/>
          <w:color w:val="auto"/>
        </w:rPr>
        <w:t>. Neither the Company nor any of its subsidiaries or, to the Company’s knowledge, their respective affiliates nor any director, officer or employee of the Company or any of its subsidiaries or their respective affiliates, any agent, representative or other person associated with or acting on behalf of the Company or any of its subsidiaries or their respective affiliates has, in the course of its actions for, or on behalf of, the Company or any of its subsidiaries (i) used any corporate funds for any unlawful contribution, gift, entertainment or other unlawful expenses relating to political activity; (ii) made or taken an act in furtherance of an offer, promise or authorization of any direct or indirect unlawful payment or benefit to any domestic government official, “foreign official” (as defined in the U.S. Foreign Corrupt Practices Act of 1977, as amended, and the rules and regulations thereunder (collectively, the “</w:t>
      </w:r>
      <w:r>
        <w:rPr>
          <w:rFonts w:ascii="Arial" w:cs="Arial" w:eastAsia="Arial" w:hAnsi="Arial"/>
          <w:sz w:val="16"/>
          <w:szCs w:val="16"/>
          <w:b w:val="1"/>
          <w:bCs w:val="1"/>
          <w:color w:val="auto"/>
        </w:rPr>
        <w:t>FCPA</w:t>
      </w:r>
      <w:r>
        <w:rPr>
          <w:rFonts w:ascii="Arial" w:cs="Arial" w:eastAsia="Arial" w:hAnsi="Arial"/>
          <w:sz w:val="16"/>
          <w:szCs w:val="16"/>
          <w:color w:val="auto"/>
        </w:rPr>
        <w:t>”))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FCPA, the UK Bribery Act 2010 or any other applicable anti-bribery or anti-corruption laws; or (iv) made, offered, agreed, requested or taken an act in furtherance of any unlawful bribe, rebate, payoff, influence payment, kickback or other unlawful or improper payment or benefit; and the Company and its subsidiaries and, to the Company’s knowledge, its affiliates have conducted their respective businesses in compliance with the applicable anti-bribery and anti-corruption laws and have instituted and maintain and continue to maintain policies and procedures designed to ensure, and which are reasonably expected to continue to ensure, continued compliance with such laws and with the representation and warranty contained herein. In addition, the Company and its subsidiaries have adequate procedures in accordance with guidelines published under section 9 of the UK Bribery Act 2010 by the Secretary of State in place to prevent any persons who perform services for or on behalf of the Company or any of its subsidiaries from bribing another person (within the meaning given in section 7(3) of the UK Bribery Act 2010) intending to obtain or retain business or an advantage in the conduct of business for the Company or any of its subsidiaries.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jc w:val="both"/>
        <w:ind w:firstLine="656"/>
        <w:spacing w:after="0" w:line="273" w:lineRule="auto"/>
        <w:tabs>
          <w:tab w:leader="none" w:pos="1362" w:val="left"/>
        </w:tabs>
        <w:numPr>
          <w:ilvl w:val="0"/>
          <w:numId w:val="75"/>
        </w:numPr>
        <w:rPr>
          <w:rFonts w:ascii="Arial" w:cs="Arial" w:eastAsia="Arial" w:hAnsi="Arial"/>
          <w:sz w:val="17"/>
          <w:szCs w:val="17"/>
          <w:color w:val="auto"/>
        </w:rPr>
      </w:pPr>
      <w:r>
        <w:rPr>
          <w:rFonts w:ascii="Arial" w:cs="Arial" w:eastAsia="Arial" w:hAnsi="Arial"/>
          <w:sz w:val="17"/>
          <w:szCs w:val="17"/>
          <w:u w:val="single" w:color="auto"/>
          <w:color w:val="auto"/>
        </w:rPr>
        <w:t>Money Laundering Laws</w:t>
      </w:r>
      <w:r>
        <w:rPr>
          <w:rFonts w:ascii="Arial" w:cs="Arial" w:eastAsia="Arial" w:hAnsi="Arial"/>
          <w:sz w:val="17"/>
          <w:szCs w:val="17"/>
          <w:color w:val="auto"/>
        </w:rPr>
        <w:t>. The operations of the Company and its subsidiaries are, and have been conducted at all times, in compliance with applicable financial recordkeeping and reporting requirements of the Currency and Foreign Transactions Reporting Act of 1970, as amended, the money laundering statutes of all applicable jurisdictions, the rules and regulations thereunder and any related or similar applicable rules, regulations or guidelines, issued, administered or enforced by any governmental agency (collectively, the “</w:t>
      </w:r>
      <w:r>
        <w:rPr>
          <w:rFonts w:ascii="Arial" w:cs="Arial" w:eastAsia="Arial" w:hAnsi="Arial"/>
          <w:sz w:val="17"/>
          <w:szCs w:val="17"/>
          <w:b w:val="1"/>
          <w:bCs w:val="1"/>
          <w:color w:val="auto"/>
        </w:rPr>
        <w:t>Money Laundering Laws</w:t>
      </w:r>
      <w:r>
        <w:rPr>
          <w:rFonts w:ascii="Arial" w:cs="Arial" w:eastAsia="Arial" w:hAnsi="Arial"/>
          <w:sz w:val="17"/>
          <w:szCs w:val="17"/>
          <w:color w:val="auto"/>
        </w:rPr>
        <w:t>”)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177" w:lineRule="exact"/>
        <w:rPr>
          <w:rFonts w:ascii="Arial" w:cs="Arial" w:eastAsia="Arial" w:hAnsi="Arial"/>
          <w:sz w:val="17"/>
          <w:szCs w:val="17"/>
          <w:color w:val="auto"/>
        </w:rPr>
      </w:pPr>
    </w:p>
    <w:p>
      <w:pPr>
        <w:jc w:val="both"/>
        <w:ind w:firstLine="656"/>
        <w:spacing w:after="0" w:line="287" w:lineRule="auto"/>
        <w:tabs>
          <w:tab w:leader="none" w:pos="1484"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Sanctions</w:t>
      </w:r>
      <w:r>
        <w:rPr>
          <w:rFonts w:ascii="Arial" w:cs="Arial" w:eastAsia="Arial" w:hAnsi="Arial"/>
          <w:sz w:val="16"/>
          <w:szCs w:val="16"/>
          <w:color w:val="auto"/>
        </w:rPr>
        <w:t>. Neither the Company nor any of its subsidiaries, directors, officers, or employees, nor, to the knowledge of the Company, after due inquiry, any agent, affiliate or other person acting on behalf of the Company or any of its subsidiaries is currently the subject or the target of any U.S. sanctions administered by the Office of Foreign Assets Control of the U.S. Department of the Treasury (“</w:t>
      </w:r>
      <w:r>
        <w:rPr>
          <w:rFonts w:ascii="Arial" w:cs="Arial" w:eastAsia="Arial" w:hAnsi="Arial"/>
          <w:sz w:val="16"/>
          <w:szCs w:val="16"/>
          <w:b w:val="1"/>
          <w:bCs w:val="1"/>
          <w:color w:val="auto"/>
        </w:rPr>
        <w:t>OFAC</w:t>
      </w:r>
      <w:r>
        <w:rPr>
          <w:rFonts w:ascii="Arial" w:cs="Arial" w:eastAsia="Arial" w:hAnsi="Arial"/>
          <w:sz w:val="16"/>
          <w:szCs w:val="16"/>
          <w:color w:val="auto"/>
        </w:rPr>
        <w:t>”) or the U.S. Department of State, the United Nations Security Council, the European Union, Her Majesty’s Treasury of the United Kingdom, or other relevant sanctions authority (collectively, “</w:t>
      </w:r>
      <w:r>
        <w:rPr>
          <w:rFonts w:ascii="Arial" w:cs="Arial" w:eastAsia="Arial" w:hAnsi="Arial"/>
          <w:sz w:val="16"/>
          <w:szCs w:val="16"/>
          <w:b w:val="1"/>
          <w:bCs w:val="1"/>
          <w:color w:val="auto"/>
        </w:rPr>
        <w:t>Sanctions</w:t>
      </w:r>
      <w:r>
        <w:rPr>
          <w:rFonts w:ascii="Arial" w:cs="Arial" w:eastAsia="Arial" w:hAnsi="Arial"/>
          <w:sz w:val="16"/>
          <w:szCs w:val="16"/>
          <w:color w:val="auto"/>
        </w:rPr>
        <w:t>”); nor is the Company or any of its subsidiaries located, organized or resident in a country or territory that is the subject or the target of Sanctions, including, without limitation, Crimea, Cuba, Iran, North Korea, and Syria; and the Company will not directly or indirectly use the proceeds of this offering, or lend, contribute or otherwise make available such proceeds to any subsidiary, or any joint venture partner or other person or entity, for the purpose of financing the activities of or business with any person, or in any country or territory, other than Russia, that at the time of such financing, is the subject or the target of Sanctions prohibiting such financing or in any other manner that will result in a violation by any person (including any person participating in the transaction whether as underwriter, advisor, investor or otherwise) of applicable Sanctions. For the past five years,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spacing w:after="0" w:line="167" w:lineRule="exact"/>
        <w:rPr>
          <w:rFonts w:ascii="Arial" w:cs="Arial" w:eastAsia="Arial" w:hAnsi="Arial"/>
          <w:sz w:val="16"/>
          <w:szCs w:val="16"/>
          <w:color w:val="auto"/>
        </w:rPr>
      </w:pPr>
    </w:p>
    <w:p>
      <w:pPr>
        <w:ind w:firstLine="656"/>
        <w:spacing w:after="0" w:line="277" w:lineRule="auto"/>
        <w:tabs>
          <w:tab w:leader="none" w:pos="143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Except pursuant to this Agreement, there is no broker, finder or other party that is entitled to receive from the Company any brokerage or finder’s fee or other fee or commission as a result of any transactions contemplated by this Agreement.</w:t>
      </w:r>
    </w:p>
    <w:p>
      <w:pPr>
        <w:spacing w:after="0" w:line="170" w:lineRule="exact"/>
        <w:rPr>
          <w:rFonts w:ascii="Arial" w:cs="Arial" w:eastAsia="Arial" w:hAnsi="Arial"/>
          <w:sz w:val="18"/>
          <w:szCs w:val="18"/>
          <w:color w:val="auto"/>
        </w:rPr>
      </w:pPr>
    </w:p>
    <w:p>
      <w:pPr>
        <w:jc w:val="both"/>
        <w:ind w:firstLine="656"/>
        <w:spacing w:after="0" w:line="293" w:lineRule="auto"/>
        <w:tabs>
          <w:tab w:leader="none" w:pos="1316" w:val="left"/>
        </w:tabs>
        <w:numPr>
          <w:ilvl w:val="0"/>
          <w:numId w:val="75"/>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The Company has the power to submit, and pursuant to Section 8(g) of this Agreement, has legally, validly, effectively and irrevocably submitted, to the personal jurisdiction of each United States federal court and New York state court located in the Borough of Manhattan, in the City of New York, New York, U.S.A. (each, a “</w:t>
      </w:r>
      <w:r>
        <w:rPr>
          <w:rFonts w:ascii="Arial" w:cs="Arial" w:eastAsia="Arial" w:hAnsi="Arial"/>
          <w:sz w:val="16"/>
          <w:szCs w:val="16"/>
          <w:b w:val="1"/>
          <w:bCs w:val="1"/>
          <w:color w:val="auto"/>
        </w:rPr>
        <w:t>New York Court</w:t>
      </w:r>
      <w:r>
        <w:rPr>
          <w:rFonts w:ascii="Arial" w:cs="Arial" w:eastAsia="Arial" w:hAnsi="Arial"/>
          <w:sz w:val="16"/>
          <w:szCs w:val="16"/>
          <w:color w:val="auto"/>
        </w:rPr>
        <w:t>”), and the Company has the power to designate, appoint and authorize, and pursuant to Section 8(g) of this Agreement, has legally, validly, effectively and irrevocably designated, appointed and authorized an agent for service of process in any action arising out of or relating to this Agreement or the Shares in any New York Court, and service of process effected on such authorized agent will be effective to confer valid personal jurisdiction over the Company as provided in Section 8(g) hereof.</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jc w:val="both"/>
        <w:ind w:firstLine="656"/>
        <w:spacing w:after="0" w:line="267" w:lineRule="auto"/>
        <w:tabs>
          <w:tab w:leader="none" w:pos="1362"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Enforceability of Judgement</w:t>
      </w:r>
      <w:r>
        <w:rPr>
          <w:rFonts w:ascii="Arial" w:cs="Arial" w:eastAsia="Arial" w:hAnsi="Arial"/>
          <w:sz w:val="17"/>
          <w:szCs w:val="17"/>
          <w:color w:val="auto"/>
        </w:rPr>
        <w:t>. Any final judgment for a fixed or readily calculable sum of money rendered by a New York Court having jurisdiction under its own domestic laws and recognized by the English courts as having jurisdiction (according to English conflicts of laws principles and rules of English private international law at the time when proceedings were initiated) to give such final judgment in respect of any suit, action or proceeding against the Company based upon this Agreement or the Deposit Agreement and any instruments or agreements entered into for the consummation of the transactions contemplated herein and therein would be declared enforceable against the Company, without re-examination or review of the merits of the cause of action in respect of which the original judgment was given or re-litigation of the matters adjudicated upon, by the courts of England and Wales; provided, however, that the Company may have defenses open to it and enforcement may not be permitted if, among other things, (a) the judgment was obtained by fraud, or in proceedings contrary to natural or substantial justice, or contravenes public policy in England or the Human Rights Act 1998 (or any subordinate legislation made thereunder, to the extent applicable); (b) the judgment is for a sum payable in respect of taxes, or other charges of a like nature or is in respect of a fine or other penalty or otherwise based on a foreign law that an English court considers to relate to a penal, revenue or other public law; (c) the judgment amounts to judgment on a matter previously determined by an English court or conflicts with a judgment on the same matter given by a court other than a New York Court or was obtained in breach of a jurisdiction or arbitration clause except with the agreement of the defendant or the defendant’s subsequent submission to the jurisdiction of the court; (d) the judgment is given in proceedings brought in breach of an agreement for the settlement of disputes; (e) the judgment has been arrived at by doubling, trebling or otherwise multiplying a sum assessed as compensation for the loss or damage sustained, or is a judgment that is otherwise specified in section 5 of the Protection of Trading Interests Act 1980, or is a judgment based on measures designated by the Secretary of State under section 1 of that Act; and (f) enforcement proceedings are not commenced within six years of the date of such judgment. The Company is not aware of any reason why the enforcement in England and Wales of such a New York Court judgment would be, as of the date hereof, contrary to public policy of England and Wales or the Human Rights Act 1998 (or any subordinate legislation made thereunder, to the extent applicable.</w:t>
      </w:r>
    </w:p>
    <w:p>
      <w:pPr>
        <w:spacing w:after="0" w:line="188" w:lineRule="exact"/>
        <w:rPr>
          <w:rFonts w:ascii="Arial" w:cs="Arial" w:eastAsia="Arial" w:hAnsi="Arial"/>
          <w:sz w:val="17"/>
          <w:szCs w:val="17"/>
          <w:color w:val="auto"/>
        </w:rPr>
      </w:pPr>
    </w:p>
    <w:p>
      <w:pPr>
        <w:jc w:val="both"/>
        <w:ind w:firstLine="656"/>
        <w:spacing w:after="0" w:line="253" w:lineRule="auto"/>
        <w:tabs>
          <w:tab w:leader="none" w:pos="1524"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No Rights of Immunity</w:t>
      </w:r>
      <w:r>
        <w:rPr>
          <w:rFonts w:ascii="Arial" w:cs="Arial" w:eastAsia="Arial" w:hAnsi="Arial"/>
          <w:sz w:val="18"/>
          <w:szCs w:val="18"/>
          <w:color w:val="auto"/>
        </w:rPr>
        <w:t>. Except as provided by laws or statutes generally applicable to transactions of the type described in this Agreement, neither the Company nor any of its respective properties, assets or revenues has any right of immunity under United Kingdom, New York or United States law, from any legal action, suit or proceeding, from the giving of any relief in any such legal action, suit or proceeding, from set-off or counterclaim, from the jurisdiction of any law of the United Kingdom, New York or United States federal court, from service of process, attachment upon or prior judgment, or attachment in aid of execution of judgment, or from execution of a judgment, or other legal process or proceeding for the giving of any relief or for the enforcement of a judgment, in any such court, with respect to its obligations, liabilities or any other matter under or arising out of or in connection with this Agreement or the Deposit Agreement. To the extent that the Company or any of its respective properties, assets or revenues may have or may hereafter become entitled to any such right of immunity in any such court in which proceedings may at any time be commenced, the Company waives or will waive such right to the extent permitted by law and has consented to such relief and enforcement as provided in Section 8(g) of this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jc w:val="both"/>
        <w:ind w:firstLine="656"/>
        <w:spacing w:after="0" w:line="255" w:lineRule="auto"/>
        <w:tabs>
          <w:tab w:leader="none" w:pos="138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Forward-Looking Statements</w:t>
      </w:r>
      <w:r>
        <w:rPr>
          <w:rFonts w:ascii="Arial" w:cs="Arial" w:eastAsia="Arial" w:hAnsi="Arial"/>
          <w:sz w:val="18"/>
          <w:szCs w:val="18"/>
          <w:color w:val="auto"/>
        </w:rPr>
        <w:t>. Each financial or operational projection or other “forward-looking statement” (as defined by Section 27A of the Securities Act or Section 21E of the Exchange Act) contained in the Registration Statement or the Prospectus (i) was so included by the Company in good faith and with reasonable basis after due consideration by the Company of the underlying assumptions, estimates and other applicable facts and circumstances and (ii) is accompanied by meaningful cautionary statements identifying those factors that could cause actual results to differ materially from those in such forward-looking statement. No such statement was made with the knowledge of an executive officer or director of the Company that it was false or misleading.</w:t>
      </w:r>
    </w:p>
    <w:p>
      <w:pPr>
        <w:spacing w:after="0" w:line="192" w:lineRule="exact"/>
        <w:rPr>
          <w:rFonts w:ascii="Arial" w:cs="Arial" w:eastAsia="Arial" w:hAnsi="Arial"/>
          <w:sz w:val="18"/>
          <w:szCs w:val="18"/>
          <w:color w:val="auto"/>
        </w:rPr>
      </w:pPr>
    </w:p>
    <w:p>
      <w:pPr>
        <w:ind w:firstLine="656"/>
        <w:spacing w:after="0" w:line="277" w:lineRule="auto"/>
        <w:tabs>
          <w:tab w:leader="none" w:pos="1337"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Emerging Growth Company Status</w:t>
      </w:r>
      <w:r>
        <w:rPr>
          <w:rFonts w:ascii="Arial" w:cs="Arial" w:eastAsia="Arial" w:hAnsi="Arial"/>
          <w:sz w:val="18"/>
          <w:szCs w:val="18"/>
          <w:color w:val="auto"/>
        </w:rPr>
        <w:t>. The Company is an “emerging growth company,” as defined in Section 2(a) of the Securities Act (an “</w:t>
      </w:r>
      <w:r>
        <w:rPr>
          <w:rFonts w:ascii="Arial" w:cs="Arial" w:eastAsia="Arial" w:hAnsi="Arial"/>
          <w:sz w:val="18"/>
          <w:szCs w:val="18"/>
          <w:b w:val="1"/>
          <w:bCs w:val="1"/>
          <w:color w:val="auto"/>
        </w:rPr>
        <w:t>Emerging Growth Company</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jc w:val="both"/>
        <w:ind w:firstLine="656"/>
        <w:spacing w:after="0" w:line="287" w:lineRule="auto"/>
        <w:tabs>
          <w:tab w:leader="none" w:pos="1448"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Clinical Data and Regulatory Compliance</w:t>
      </w:r>
      <w:r>
        <w:rPr>
          <w:rFonts w:ascii="Arial" w:cs="Arial" w:eastAsia="Arial" w:hAnsi="Arial"/>
          <w:sz w:val="16"/>
          <w:szCs w:val="16"/>
          <w:color w:val="auto"/>
        </w:rPr>
        <w:t>. The preclinical tests and clinical trials, and other studies (collectively, “</w:t>
      </w:r>
      <w:r>
        <w:rPr>
          <w:rFonts w:ascii="Arial" w:cs="Arial" w:eastAsia="Arial" w:hAnsi="Arial"/>
          <w:sz w:val="16"/>
          <w:szCs w:val="16"/>
          <w:b w:val="1"/>
          <w:bCs w:val="1"/>
          <w:color w:val="auto"/>
        </w:rPr>
        <w:t>studies</w:t>
      </w:r>
      <w:r>
        <w:rPr>
          <w:rFonts w:ascii="Arial" w:cs="Arial" w:eastAsia="Arial" w:hAnsi="Arial"/>
          <w:sz w:val="16"/>
          <w:szCs w:val="16"/>
          <w:color w:val="auto"/>
        </w:rPr>
        <w:t>”) that are described in, or the results of which are referred to in, the Registration Statement or the Prospectus were and, if still pending, are being conducted in all material respects in accordance with applicable laws, rules, regulations and policies of the Food and Drug Administration of the U.S. Department of Health and Human Services (the “</w:t>
      </w:r>
      <w:r>
        <w:rPr>
          <w:rFonts w:ascii="Arial" w:cs="Arial" w:eastAsia="Arial" w:hAnsi="Arial"/>
          <w:sz w:val="16"/>
          <w:szCs w:val="16"/>
          <w:b w:val="1"/>
          <w:bCs w:val="1"/>
          <w:color w:val="auto"/>
        </w:rPr>
        <w:t>FDA</w:t>
      </w:r>
      <w:r>
        <w:rPr>
          <w:rFonts w:ascii="Arial" w:cs="Arial" w:eastAsia="Arial" w:hAnsi="Arial"/>
          <w:sz w:val="16"/>
          <w:szCs w:val="16"/>
          <w:color w:val="auto"/>
        </w:rPr>
        <w:t>”) or any committee thereof or of any other U.S. or foreign government or drug or medical device regulatory agency, or health care facility Institutional Review Board; each description of the results of such studies is accurate in all material respects, and the Company and its subsidiaries have no knowledge of any other studies the results of which are materially inconsistent with, or otherwise call into question, the results described or referred to in the Registration Statement or the Prospectus; for such studies that have been or are being conducted, the Company and its subsidiaries have made all such material filings and obtained all such approvals as may be required by foreign government or drug or medical device regulatory agencies, or foreign health care facility Institutional Review Boards; and no investigational new drug application filed by or on behalf of the Company or any of its subsidiaries with the FDA has been terminated or suspended by the FDA, and neither the FDA nor any applicable foreign regulatory agency has commenced, or, to the knowledge of the Company, threatened to initiate, any action to place a clinical hold order on, or otherwise terminate, or suspend, any proposed or ongoing studies conducted or proposed to be conducted by or on behalf of the Company or any of its subsidiaries.</w:t>
      </w:r>
    </w:p>
    <w:p>
      <w:pPr>
        <w:spacing w:after="0" w:line="171" w:lineRule="exact"/>
        <w:rPr>
          <w:rFonts w:ascii="Arial" w:cs="Arial" w:eastAsia="Arial" w:hAnsi="Arial"/>
          <w:sz w:val="16"/>
          <w:szCs w:val="16"/>
          <w:color w:val="auto"/>
        </w:rPr>
      </w:pPr>
    </w:p>
    <w:p>
      <w:pPr>
        <w:jc w:val="both"/>
        <w:ind w:right="20" w:firstLine="656"/>
        <w:spacing w:after="0" w:line="301" w:lineRule="auto"/>
        <w:tabs>
          <w:tab w:leader="none" w:pos="1318"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No Rights to Purchase Preferred Shares</w:t>
      </w:r>
      <w:r>
        <w:rPr>
          <w:rFonts w:ascii="Arial" w:cs="Arial" w:eastAsia="Arial" w:hAnsi="Arial"/>
          <w:sz w:val="16"/>
          <w:szCs w:val="16"/>
          <w:color w:val="auto"/>
        </w:rPr>
        <w:t>. The issuance and sale of the Shares by the Company and the deposit of the Ordinary Shares with the Custodian and the issuance of the ADRs evidencing the Shares as contemplated by this Agreement and the Deposit Agreement will not cause any holder of any ADSs or Ordinary Shares, securities convertible into or exchangeable or exercisable for ADSs or Ordinary Shares or options, warrants or other rights to purchase ADSs or Ordinary Shares or any other securities of the Company to have any right to acquire any preferred shares of the Company.</w:t>
      </w:r>
    </w:p>
    <w:p>
      <w:pPr>
        <w:spacing w:after="0" w:line="157" w:lineRule="exact"/>
        <w:rPr>
          <w:rFonts w:ascii="Arial" w:cs="Arial" w:eastAsia="Arial" w:hAnsi="Arial"/>
          <w:sz w:val="16"/>
          <w:szCs w:val="16"/>
          <w:color w:val="auto"/>
        </w:rPr>
      </w:pPr>
    </w:p>
    <w:p>
      <w:pPr>
        <w:jc w:val="both"/>
        <w:ind w:firstLine="656"/>
        <w:spacing w:after="0" w:line="275" w:lineRule="auto"/>
        <w:tabs>
          <w:tab w:leader="none" w:pos="1564"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No Contract Terminations</w:t>
      </w:r>
      <w:r>
        <w:rPr>
          <w:rFonts w:ascii="Arial" w:cs="Arial" w:eastAsia="Arial" w:hAnsi="Arial"/>
          <w:sz w:val="17"/>
          <w:szCs w:val="17"/>
          <w:color w:val="auto"/>
        </w:rPr>
        <w:t>. Neither the Company nor any of its subsidiaries has sent or received any communication regarding termination of, or intent not to renew, any of the contracts or agreements referred to or described in any preliminary prospectus, the Prospectus or any free writing prospectus, or referred to or described in, or filed as an exhibit to, the Registration Statement or the ADS Registration Statement, and no such termination or non-renewal has been threatened by the Company or any of its subsidiaries or, to the Company’s knowledge, any other party to any such contract or agreement, which threat of termination or non-renewal has not been rescinded as of the date hereof.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jc w:val="both"/>
        <w:ind w:firstLine="656"/>
        <w:spacing w:after="0" w:line="259" w:lineRule="auto"/>
        <w:tabs>
          <w:tab w:leader="none" w:pos="1443"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Dividend Restrictions</w:t>
      </w:r>
      <w:r>
        <w:rPr>
          <w:rFonts w:ascii="Arial" w:cs="Arial" w:eastAsia="Arial" w:hAnsi="Arial"/>
          <w:sz w:val="18"/>
          <w:szCs w:val="18"/>
          <w:color w:val="auto"/>
        </w:rPr>
        <w:t>. No subsidiary of the Company is prohibited or restricted, directly or indirectly, from paying dividends to the Company, or from making any other distribution with respect to such subsidiary’s equity securities or from repaying to the Company or any other subsidiary of the Company any amounts that may from time to time become due under any loans or advances to such subsidiary from the Company or from transferring any property or assets to the Company or to any other subsidiary.</w:t>
      </w:r>
    </w:p>
    <w:p>
      <w:pPr>
        <w:spacing w:after="0" w:line="186" w:lineRule="exact"/>
        <w:rPr>
          <w:rFonts w:ascii="Arial" w:cs="Arial" w:eastAsia="Arial" w:hAnsi="Arial"/>
          <w:sz w:val="18"/>
          <w:szCs w:val="18"/>
          <w:color w:val="auto"/>
        </w:rPr>
      </w:pPr>
    </w:p>
    <w:p>
      <w:pPr>
        <w:ind w:firstLine="656"/>
        <w:spacing w:after="0" w:line="277" w:lineRule="auto"/>
        <w:tabs>
          <w:tab w:leader="none" w:pos="1383"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No Public Offering in European Economic Area or the United Kingdom</w:t>
      </w:r>
      <w:r>
        <w:rPr>
          <w:rFonts w:ascii="Arial" w:cs="Arial" w:eastAsia="Arial" w:hAnsi="Arial"/>
          <w:sz w:val="18"/>
          <w:szCs w:val="18"/>
          <w:color w:val="auto"/>
        </w:rPr>
        <w:t>. The Company has not made and will not make an offer to the public of the Shares in any member state of the European Economic Area or the United Kingdom.</w:t>
      </w:r>
    </w:p>
    <w:p>
      <w:pPr>
        <w:spacing w:after="0" w:line="386" w:lineRule="exact"/>
        <w:rPr>
          <w:rFonts w:ascii="Arial" w:cs="Arial" w:eastAsia="Arial" w:hAnsi="Arial"/>
          <w:sz w:val="18"/>
          <w:szCs w:val="18"/>
          <w:color w:val="auto"/>
        </w:rPr>
      </w:pPr>
    </w:p>
    <w:p>
      <w:pPr>
        <w:jc w:val="both"/>
        <w:ind w:firstLine="656"/>
        <w:spacing w:after="0" w:line="285" w:lineRule="auto"/>
        <w:tabs>
          <w:tab w:leader="none" w:pos="1366" w:val="left"/>
        </w:tabs>
        <w:numPr>
          <w:ilvl w:val="0"/>
          <w:numId w:val="78"/>
        </w:numPr>
        <w:rPr>
          <w:rFonts w:ascii="Arial" w:cs="Arial" w:eastAsia="Arial" w:hAnsi="Arial"/>
          <w:sz w:val="16"/>
          <w:szCs w:val="16"/>
          <w:color w:val="auto"/>
        </w:rPr>
      </w:pPr>
      <w:r>
        <w:rPr>
          <w:rFonts w:ascii="Arial" w:cs="Arial" w:eastAsia="Arial" w:hAnsi="Arial"/>
          <w:sz w:val="16"/>
          <w:szCs w:val="16"/>
          <w:u w:val="single" w:color="auto"/>
          <w:color w:val="auto"/>
        </w:rPr>
        <w:t>Regulatory Compliance</w:t>
      </w:r>
      <w:r>
        <w:rPr>
          <w:rFonts w:ascii="Arial" w:cs="Arial" w:eastAsia="Arial" w:hAnsi="Arial"/>
          <w:sz w:val="16"/>
          <w:szCs w:val="16"/>
          <w:color w:val="auto"/>
        </w:rPr>
        <w:t>. Except as described in the Registration Statement or the Prospectus, and except as would not, individually or in the aggregate, has had or may reasonably be expected to have a Material Adverse Effect, the Company and its subsidiaries are, and at all time since January 1, 2018 have been, in compliance with all applicable Health Care Laws, and have not engaged in activities which are, as applicable, cause for false claims liability, civil penalties, or mandatory or permissive exclusion from Medicare, Medicaid, or any other state health care program or federal health care program. For purposes of this Agreement, “</w:t>
      </w:r>
      <w:r>
        <w:rPr>
          <w:rFonts w:ascii="Arial" w:cs="Arial" w:eastAsia="Arial" w:hAnsi="Arial"/>
          <w:sz w:val="16"/>
          <w:szCs w:val="16"/>
          <w:b w:val="1"/>
          <w:bCs w:val="1"/>
          <w:color w:val="auto"/>
        </w:rPr>
        <w:t>Health Care Laws</w:t>
      </w:r>
      <w:r>
        <w:rPr>
          <w:rFonts w:ascii="Arial" w:cs="Arial" w:eastAsia="Arial" w:hAnsi="Arial"/>
          <w:sz w:val="16"/>
          <w:szCs w:val="16"/>
          <w:color w:val="auto"/>
        </w:rPr>
        <w:t>” means: the federal Food, Drug and Cosmetic Act (21 U.S.C. § 301 et seq.), the federal Anti-Kickback Statute (42 U.S.C. § 1320a-7b(b)), the civil False Claims Act (31 U.S.C. §3729 et seq.), the federal False Statements Law (42 U.S.C. § 1320a-7b(a)), the Civil Monetary Penalties Law (42 U.S.C. §1320a-7a), all criminal laws relating to health care fraud and abuse, including, but not limited, to 18 U.S.C. §§ 286 and 287, the exclusions law (42 U.S.C. § 1320a-7), the statutes, regulations and directives of Medicare (Title XVIII of the Social Security Act), Medicaid (Title XIX of the Social Security Act) and all other government funded or sponsored healthcare programs, the Health Insurance Portability and Accountability Act of 1996 (42 U.S.C. § 1320d et seq.), as amended by the Health Information Technology for Economic and Clinical Health Act of 2009 (42 U.S.C. §17921 et seq.), the regulations promulgated pursuant to such laws, and all other comparable local, state, federal, national, and foreign laws relating to the regulation of the Company. The Company is not a party to any corporate integrity agreements, monitoring agreements, consent decrees, settlement orders, or similar agreements with or imposed by any governmental authority regarding any alleged non-compliance with applicable Health Care Laws in any material respects. In addition, none of the Company or its subsidiaries or, to the Company’s knowledge, any of their respective directors, officers, employees or agents is or has been since January 1, 2018 debarred, suspended or excluded from any federal or state government health care program or human clinical research, or, to the knowledge of the Company, is subject to any inquiry, investigation, proceeding, or other similar action by a governmental authority that could reasonably be expected to result in any such debarment, suspension, or exclusion.</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6" w:name="page97"/>
    <w:bookmarkEnd w:id="96"/>
    <w:p>
      <w:pPr>
        <w:ind w:firstLine="656"/>
        <w:spacing w:after="0" w:line="308" w:lineRule="auto"/>
        <w:tabs>
          <w:tab w:leader="none" w:pos="1353"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No Rated Debt or Preferred Securities</w:t>
      </w:r>
      <w:r>
        <w:rPr>
          <w:rFonts w:ascii="Arial" w:cs="Arial" w:eastAsia="Arial" w:hAnsi="Arial"/>
          <w:sz w:val="17"/>
          <w:szCs w:val="17"/>
          <w:color w:val="auto"/>
        </w:rPr>
        <w:t>. There are no debt or preferred securities issued, or guaranteed, by the Company or its subsidiaries that are rated by a “nationally recognized statistical rating organization,” as such term is defined in Section 3(a)(62) of the Exchange Act.</w:t>
      </w:r>
    </w:p>
    <w:p>
      <w:pPr>
        <w:spacing w:after="0" w:line="146" w:lineRule="exact"/>
        <w:rPr>
          <w:rFonts w:ascii="Arial" w:cs="Arial" w:eastAsia="Arial" w:hAnsi="Arial"/>
          <w:sz w:val="17"/>
          <w:szCs w:val="17"/>
          <w:color w:val="auto"/>
        </w:rPr>
      </w:pPr>
    </w:p>
    <w:p>
      <w:pPr>
        <w:jc w:val="both"/>
        <w:ind w:right="20" w:firstLine="656"/>
        <w:spacing w:after="0" w:line="263" w:lineRule="auto"/>
        <w:tabs>
          <w:tab w:leader="none" w:pos="1404"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No Outstanding Loans or Other Extensions of Credit</w:t>
      </w:r>
      <w:r>
        <w:rPr>
          <w:rFonts w:ascii="Arial" w:cs="Arial" w:eastAsia="Arial" w:hAnsi="Arial"/>
          <w:sz w:val="18"/>
          <w:szCs w:val="18"/>
          <w:color w:val="auto"/>
        </w:rPr>
        <w:t>. The Company does not have any outstanding extension of credit, in the form of a personal loan, to or for any director or executive officer (or equivalent thereof) of the Company except for such extensions of credit as are expressly permitted by Section 13(k) of the Exchange Act.</w:t>
      </w:r>
    </w:p>
    <w:p>
      <w:pPr>
        <w:spacing w:after="0" w:line="184" w:lineRule="exact"/>
        <w:rPr>
          <w:sz w:val="20"/>
          <w:szCs w:val="20"/>
          <w:color w:val="auto"/>
        </w:rPr>
      </w:pPr>
    </w:p>
    <w:p>
      <w:pPr>
        <w:ind w:firstLine="656"/>
        <w:spacing w:after="0" w:line="277" w:lineRule="auto"/>
        <w:tabs>
          <w:tab w:leader="none" w:pos="1448"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Sarbanes-Oxley</w:t>
      </w:r>
      <w:r>
        <w:rPr>
          <w:rFonts w:ascii="Arial" w:cs="Arial" w:eastAsia="Arial" w:hAnsi="Arial"/>
          <w:sz w:val="18"/>
          <w:szCs w:val="18"/>
          <w:color w:val="auto"/>
        </w:rPr>
        <w:t>. The Company is in compliance, in all material respects, with all applicable provisions of the Sarbanes-Oxley Act of 2002 and the rules and regulations promulgated thereunder.</w:t>
      </w:r>
    </w:p>
    <w:p>
      <w:pPr>
        <w:spacing w:after="0" w:line="170" w:lineRule="exact"/>
        <w:rPr>
          <w:rFonts w:ascii="Arial" w:cs="Arial" w:eastAsia="Arial" w:hAnsi="Arial"/>
          <w:sz w:val="18"/>
          <w:szCs w:val="18"/>
          <w:color w:val="auto"/>
        </w:rPr>
      </w:pPr>
    </w:p>
    <w:p>
      <w:pPr>
        <w:jc w:val="both"/>
        <w:ind w:firstLine="656"/>
        <w:spacing w:after="0" w:line="267" w:lineRule="auto"/>
        <w:tabs>
          <w:tab w:leader="none" w:pos="1474"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Cybersecurity</w:t>
      </w:r>
      <w:r>
        <w:rPr>
          <w:rFonts w:ascii="Arial" w:cs="Arial" w:eastAsia="Arial" w:hAnsi="Arial"/>
          <w:sz w:val="17"/>
          <w:szCs w:val="17"/>
          <w:color w:val="auto"/>
        </w:rPr>
        <w:t>. Except as described in the Registration Statement or the Prospectus, and except as would not, individually or in the aggregate, have had or may reasonably be expected to have a Material Adverse Effect, the Company’s and its subsidiaries’ information technology assets and equipment, computers, systems, networks, hardware, software, websites, applications, and databases (collectively, “</w:t>
      </w:r>
      <w:r>
        <w:rPr>
          <w:rFonts w:ascii="Arial" w:cs="Arial" w:eastAsia="Arial" w:hAnsi="Arial"/>
          <w:sz w:val="17"/>
          <w:szCs w:val="17"/>
          <w:b w:val="1"/>
          <w:bCs w:val="1"/>
          <w:color w:val="auto"/>
        </w:rPr>
        <w:t>IT Systems</w:t>
      </w:r>
      <w:r>
        <w:rPr>
          <w:rFonts w:ascii="Arial" w:cs="Arial" w:eastAsia="Arial" w:hAnsi="Arial"/>
          <w:sz w:val="17"/>
          <w:szCs w:val="17"/>
          <w:color w:val="auto"/>
        </w:rPr>
        <w:t>”) are adequate for, and operate and perform as required in connection with the operation of the business of the Company and its subsidiaries as currently conducted, and to the knowledge of the Company, free and clear of all material bugs, errors, defects, Trojan horses, time bombs, malware and other corruptants. The Company and its subsidiaries have implemented and maintained commercially reasonable physical, technical and administrative controls, policies, procedures, and safeguards to maintain and protect their material confidential information and the integrity, continuous operation, redundancy and security of all IT Systems and data, including “Personal Data,” used in connection with their businesses. “</w:t>
      </w:r>
      <w:r>
        <w:rPr>
          <w:rFonts w:ascii="Arial" w:cs="Arial" w:eastAsia="Arial" w:hAnsi="Arial"/>
          <w:sz w:val="17"/>
          <w:szCs w:val="17"/>
          <w:b w:val="1"/>
          <w:bCs w:val="1"/>
          <w:color w:val="auto"/>
        </w:rPr>
        <w:t>Personal Data</w:t>
      </w:r>
      <w:r>
        <w:rPr>
          <w:rFonts w:ascii="Arial" w:cs="Arial" w:eastAsia="Arial" w:hAnsi="Arial"/>
          <w:sz w:val="17"/>
          <w:szCs w:val="17"/>
          <w:color w:val="auto"/>
        </w:rPr>
        <w:t>” means (i) a natural person’s name, street address, telephone number, e-mail address, photograph, social security number or tax identification number, driver’s license number, passport number, credit card number, bank information, or customer or account number; (ii) any information which would qualify as “personally identifying information” under the Federal Trade Commission Act, as amended; (iii) “personal data” as defined by GDPR (as defined below); (iv) any information which would qualify as “protected health information” under the Health Insurance Portability and Accountability Act of 1996, as amended by the Health Information Technology for Economic and Clinical Health Act (collectively, “</w:t>
      </w:r>
      <w:r>
        <w:rPr>
          <w:rFonts w:ascii="Arial" w:cs="Arial" w:eastAsia="Arial" w:hAnsi="Arial"/>
          <w:sz w:val="17"/>
          <w:szCs w:val="17"/>
          <w:b w:val="1"/>
          <w:bCs w:val="1"/>
          <w:color w:val="auto"/>
        </w:rPr>
        <w:t>HIPAA</w:t>
      </w:r>
      <w:r>
        <w:rPr>
          <w:rFonts w:ascii="Arial" w:cs="Arial" w:eastAsia="Arial" w:hAnsi="Arial"/>
          <w:sz w:val="17"/>
          <w:szCs w:val="17"/>
          <w:color w:val="auto"/>
        </w:rPr>
        <w:t>”); and (v) any other piece of information that allows the identification of such natural person, or his or her family, or permits the collection or analysis of any data related to an identified person’s health or sexual orientation. To the knowledge of the Company, since January 1, 2018,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w:t>
      </w:r>
    </w:p>
    <w:p>
      <w:pPr>
        <w:spacing w:after="0" w:line="191" w:lineRule="exact"/>
        <w:rPr>
          <w:rFonts w:ascii="Arial" w:cs="Arial" w:eastAsia="Arial" w:hAnsi="Arial"/>
          <w:sz w:val="17"/>
          <w:szCs w:val="17"/>
          <w:color w:val="auto"/>
        </w:rPr>
      </w:pPr>
    </w:p>
    <w:p>
      <w:pPr>
        <w:jc w:val="both"/>
        <w:ind w:firstLine="656"/>
        <w:spacing w:after="0" w:line="268" w:lineRule="auto"/>
        <w:tabs>
          <w:tab w:leader="none" w:pos="1610"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t>Compliance with Data Privacy Laws</w:t>
      </w:r>
      <w:r>
        <w:rPr>
          <w:rFonts w:ascii="Arial" w:cs="Arial" w:eastAsia="Arial" w:hAnsi="Arial"/>
          <w:sz w:val="17"/>
          <w:szCs w:val="17"/>
          <w:color w:val="auto"/>
        </w:rPr>
        <w:t>. The Company and its subsidiaries are, and since January 1, 2018 have been, in material compliance with (i) their respective contractual obligations relating to privacy, data protection or data security and (ii) all applicable state and federal data privacy and security laws and regulations, including to the extent applicable, HIPAA and the European Union General Data Protection Regulation (“</w:t>
      </w:r>
      <w:r>
        <w:rPr>
          <w:rFonts w:ascii="Arial" w:cs="Arial" w:eastAsia="Arial" w:hAnsi="Arial"/>
          <w:sz w:val="17"/>
          <w:szCs w:val="17"/>
          <w:b w:val="1"/>
          <w:bCs w:val="1"/>
          <w:color w:val="auto"/>
        </w:rPr>
        <w:t>GDPR</w:t>
      </w:r>
      <w:r>
        <w:rPr>
          <w:rFonts w:ascii="Arial" w:cs="Arial" w:eastAsia="Arial" w:hAnsi="Arial"/>
          <w:sz w:val="17"/>
          <w:szCs w:val="17"/>
          <w:color w:val="auto"/>
        </w:rPr>
        <w:t>”) (EU 2016/679) including the GDPR as incorporated into the law of the United Kingdom and as amended, and as implemented and supplemented by the Data Protection Act 2018 (collectively, the “</w:t>
      </w:r>
      <w:r>
        <w:rPr>
          <w:rFonts w:ascii="Arial" w:cs="Arial" w:eastAsia="Arial" w:hAnsi="Arial"/>
          <w:sz w:val="17"/>
          <w:szCs w:val="17"/>
          <w:b w:val="1"/>
          <w:bCs w:val="1"/>
          <w:color w:val="auto"/>
        </w:rPr>
        <w:t>Privacy Laws</w:t>
      </w:r>
      <w:r>
        <w:rPr>
          <w:rFonts w:ascii="Arial" w:cs="Arial" w:eastAsia="Arial" w:hAnsi="Arial"/>
          <w:sz w:val="17"/>
          <w:szCs w:val="17"/>
          <w:color w:val="auto"/>
        </w:rPr>
        <w:t>”). To the extent required by the Privacy Laws, the Company and its subsidiaries have in place, comply in all material respects with, and take commercially reasonable steps reasonably designed to ensure compliance in all material respects with their policies and procedures relating to data privacy and security and the collection, storage, use, disclosure, handling, and analysis of Personal Data (the “</w:t>
      </w:r>
      <w:r>
        <w:rPr>
          <w:rFonts w:ascii="Arial" w:cs="Arial" w:eastAsia="Arial" w:hAnsi="Arial"/>
          <w:sz w:val="17"/>
          <w:szCs w:val="17"/>
          <w:b w:val="1"/>
          <w:bCs w:val="1"/>
          <w:color w:val="auto"/>
        </w:rPr>
        <w:t>Policies</w:t>
      </w:r>
      <w:r>
        <w:rPr>
          <w:rFonts w:ascii="Arial" w:cs="Arial" w:eastAsia="Arial" w:hAnsi="Arial"/>
          <w:sz w:val="17"/>
          <w:szCs w:val="17"/>
          <w:color w:val="auto"/>
        </w:rPr>
        <w:t>”). Since January 1, 2018, (i) the Company and its subsidiaries have made disclosures to users or customers required by Privacy Laws, and (ii) none of such disclosures made or contained in any Policy have been inaccurate or in violation of any applicable Privacy Laws, except, with respect to (i) and (ii) above, as would not, individually or in the aggregate, reasonably be expected to have a Material Adverse Effect. Since January 1, 2018, neither the Company nor any subsidiary: (i) has received written notice of any actual or potential liability under, or actual or potential violation of, any of the Privacy Laws; (ii) is currently conducting or paying for, in whole or in part, any investigation, remediation, or other corrective action pursuant to any such written notice ; or (iii) is a party to any order, decree, or agreement that imposes any obligation or liability by any governmental or regulatory authority under any Privacy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ind w:firstLine="656"/>
        <w:spacing w:after="0" w:line="277" w:lineRule="auto"/>
        <w:tabs>
          <w:tab w:leader="none" w:pos="1487"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Other Underwriting Agreements</w:t>
      </w:r>
      <w:r>
        <w:rPr>
          <w:rFonts w:ascii="Arial" w:cs="Arial" w:eastAsia="Arial" w:hAnsi="Arial"/>
          <w:sz w:val="18"/>
          <w:szCs w:val="18"/>
          <w:color w:val="auto"/>
        </w:rPr>
        <w:t>. The Company is not a party to any agreement with an agent or underwriter for any other “at the market” or continuous equity transaction.</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certificate signed by any officer or representative of the Company or any of its subsidiaries and delivered to the Agent or counsel for the Agent in connection with an issuance of Shares shall be deemed a representation and warranty by the Company to the Agent as to the matters covered thereby on the date of such certificate.</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The Company acknowledges that the Agent and, for purposes of the opinions to be delivered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hereof, counsel to the Company and counsel to the Agent, will rely upon the accuracy and truthfulness of the foregoing representations and hereby consents to such reliance.</w:t>
      </w:r>
    </w:p>
    <w:p>
      <w:pPr>
        <w:spacing w:after="0" w:line="120"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b w:val="1"/>
          <w:bCs w:val="1"/>
          <w:color w:val="auto"/>
        </w:rPr>
        <w:t>ISSUANCE AND SALE OF ORDINARY SHARES</w:t>
      </w:r>
    </w:p>
    <w:p>
      <w:pPr>
        <w:spacing w:after="0" w:line="229" w:lineRule="exact"/>
        <w:rPr>
          <w:sz w:val="20"/>
          <w:szCs w:val="20"/>
          <w:color w:val="auto"/>
        </w:rPr>
      </w:pPr>
    </w:p>
    <w:p>
      <w:pPr>
        <w:jc w:val="both"/>
        <w:ind w:firstLine="656"/>
        <w:spacing w:after="0" w:line="259" w:lineRule="auto"/>
        <w:tabs>
          <w:tab w:leader="none" w:pos="161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Sale of Securities</w:t>
      </w:r>
      <w:r>
        <w:rPr>
          <w:rFonts w:ascii="Arial" w:cs="Arial" w:eastAsia="Arial" w:hAnsi="Arial"/>
          <w:sz w:val="18"/>
          <w:szCs w:val="18"/>
          <w:color w:val="auto"/>
        </w:rPr>
        <w:t>. On the basis of the representations, warranties and agreements herein contained, but subject to the terms and conditions herein set forth, the Company and the Agent agree that the Company may from time to time seek to sell Shares through the Agent, acting as sales agent, or directly to the Agent, acting as principal, as follows, with an aggregate Sales Price of up to the Maximum Program Amount, based on and in accordance with Issuance Notices as the Company may deliver, during the Agency Period.</w:t>
      </w:r>
    </w:p>
    <w:p>
      <w:pPr>
        <w:spacing w:after="0" w:line="186" w:lineRule="exact"/>
        <w:rPr>
          <w:rFonts w:ascii="Arial" w:cs="Arial" w:eastAsia="Arial" w:hAnsi="Arial"/>
          <w:sz w:val="18"/>
          <w:szCs w:val="18"/>
          <w:color w:val="auto"/>
        </w:rPr>
      </w:pPr>
    </w:p>
    <w:p>
      <w:pPr>
        <w:ind w:left="1360" w:hanging="704"/>
        <w:spacing w:after="0"/>
        <w:tabs>
          <w:tab w:leader="none" w:pos="136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Mechanics of Issuances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Issuance Notice</w:t>
      </w:r>
      <w:r>
        <w:rPr>
          <w:rFonts w:ascii="Arial" w:cs="Arial" w:eastAsia="Arial" w:hAnsi="Arial"/>
          <w:sz w:val="18"/>
          <w:szCs w:val="18"/>
          <w:color w:val="auto"/>
        </w:rPr>
        <w:t xml:space="preserve">. Upon the terms and subject to the conditions set forth herein, on any Trading Day during the Agency Period on which the conditions set forth in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shall have been satisfied, the Company may exercise its right to request a sale of Shares by delivering to the Agent an Issuance Notice; provided, however, that (A) in no event may the Company deliver an Issuance Notice to the extent that (I) the sum of (x) the aggregate Sales Price of the requested Issuance Amount, plus (y) the aggregate Sales Price of all Shares issued under all previous Issuance Notices effected pursuant to this Agreement, would exceed the Maximum Program Amount; and (B) prior to delivery of any Issuance Notice, the period set forth for any previous Issuance Notice shall have expired or been terminated. An Issuance Notice shall be considered delivered on the Trading Day that it is received by e mail to the persons set forth in Schedule A hereto and confirmed by the Company by telephone (including a voicemail message to the persons so identified), with the understanding that, with adequate prior written notice, the Agent may modify the list of such persons from time to time.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jc w:val="both"/>
        <w:ind w:firstLine="648"/>
        <w:spacing w:after="0" w:line="275" w:lineRule="auto"/>
        <w:rPr>
          <w:sz w:val="20"/>
          <w:szCs w:val="20"/>
          <w:color w:val="auto"/>
        </w:rPr>
      </w:pPr>
      <w:r>
        <w:rPr>
          <w:rFonts w:ascii="Arial" w:cs="Arial" w:eastAsia="Arial" w:hAnsi="Arial"/>
          <w:sz w:val="17"/>
          <w:szCs w:val="17"/>
          <w:color w:val="auto"/>
        </w:rPr>
        <w:t xml:space="preserve">(ii) </w:t>
      </w:r>
      <w:r>
        <w:rPr>
          <w:rFonts w:ascii="Arial" w:cs="Arial" w:eastAsia="Arial" w:hAnsi="Arial"/>
          <w:sz w:val="17"/>
          <w:szCs w:val="17"/>
          <w:u w:val="single" w:color="auto"/>
          <w:color w:val="auto"/>
        </w:rPr>
        <w:t>Agent Efforts</w:t>
      </w:r>
      <w:r>
        <w:rPr>
          <w:rFonts w:ascii="Arial" w:cs="Arial" w:eastAsia="Arial" w:hAnsi="Arial"/>
          <w:sz w:val="17"/>
          <w:szCs w:val="17"/>
          <w:color w:val="auto"/>
        </w:rPr>
        <w:t>. Upon the terms and subject to the conditions set forth in this Agreement, upon the receipt of an Issuance Notice, the Agent will use its commercially reasonable efforts consistent with its normal sales and trading practices to place the Shares with respect to which the Agent has agreed to act as sales agent, subject to, and in accordance with the information specified in, the Issuance Notice, unless the sale of the Shares described therein has been suspended, cancelled or otherwise terminated in accordance with the terms of this Agreement. For the avoidance of doubt, the parties to this Agreement may modify an Issuance Notice at any time provided they both agree in writing to any such modification.</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(iii) </w:t>
      </w:r>
      <w:r>
        <w:rPr>
          <w:rFonts w:ascii="Arial" w:cs="Arial" w:eastAsia="Arial" w:hAnsi="Arial"/>
          <w:sz w:val="17"/>
          <w:szCs w:val="17"/>
          <w:u w:val="single" w:color="auto"/>
          <w:color w:val="auto"/>
        </w:rPr>
        <w:t>Method of Offer and Sale</w:t>
      </w:r>
      <w:r>
        <w:rPr>
          <w:rFonts w:ascii="Arial" w:cs="Arial" w:eastAsia="Arial" w:hAnsi="Arial"/>
          <w:sz w:val="17"/>
          <w:szCs w:val="17"/>
          <w:color w:val="auto"/>
        </w:rPr>
        <w:t>. The Shares may be offered and sold (A) in negotiated transactions with the consent of the Company or (B) by any other method permitted by law deemed to be an “</w:t>
      </w:r>
      <w:r>
        <w:rPr>
          <w:rFonts w:ascii="Arial" w:cs="Arial" w:eastAsia="Arial" w:hAnsi="Arial"/>
          <w:sz w:val="17"/>
          <w:szCs w:val="17"/>
          <w:b w:val="1"/>
          <w:bCs w:val="1"/>
          <w:color w:val="auto"/>
        </w:rPr>
        <w:t>at the market offering</w:t>
      </w:r>
      <w:r>
        <w:rPr>
          <w:rFonts w:ascii="Arial" w:cs="Arial" w:eastAsia="Arial" w:hAnsi="Arial"/>
          <w:sz w:val="17"/>
          <w:szCs w:val="17"/>
          <w:color w:val="auto"/>
        </w:rPr>
        <w:t>” as defined in Rule 415(a)(4) under the Securities Act, including block transactions, sales made directly on the Principal Market or sales made into any other existing trading market of the ADSs. Nothing in this Agreement shall be deemed to require either party to agree to the method of offer and sale specified in the preceding sentence, and (except as specified in clause (A) above) the method of placement of any Shares by the Agent shall be at the Agent’s discretion.</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(iv) </w:t>
      </w:r>
      <w:r>
        <w:rPr>
          <w:rFonts w:ascii="Arial" w:cs="Arial" w:eastAsia="Arial" w:hAnsi="Arial"/>
          <w:sz w:val="18"/>
          <w:szCs w:val="18"/>
          <w:u w:val="single" w:color="auto"/>
          <w:color w:val="auto"/>
        </w:rPr>
        <w:t>Confirmation to the Company</w:t>
      </w:r>
      <w:r>
        <w:rPr>
          <w:rFonts w:ascii="Arial" w:cs="Arial" w:eastAsia="Arial" w:hAnsi="Arial"/>
          <w:sz w:val="18"/>
          <w:szCs w:val="18"/>
          <w:color w:val="auto"/>
        </w:rPr>
        <w:t>. If acting as sales agent hereunder, the Agent will provide written confirmation to the Company no later than the opening of the Trading Day next following the Trading Day on which it has placed Shares hereunder setting forth the number of shares sold on such Trading Day, the corresponding Sales Price and the Issuance Price payable to the Company in respect thereof.</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(v) </w:t>
      </w:r>
      <w:r>
        <w:rPr>
          <w:rFonts w:ascii="Arial" w:cs="Arial" w:eastAsia="Arial" w:hAnsi="Arial"/>
          <w:sz w:val="17"/>
          <w:szCs w:val="17"/>
          <w:u w:val="single" w:color="auto"/>
          <w:color w:val="auto"/>
        </w:rPr>
        <w:t>Settlement</w:t>
      </w:r>
      <w:r>
        <w:rPr>
          <w:rFonts w:ascii="Arial" w:cs="Arial" w:eastAsia="Arial" w:hAnsi="Arial"/>
          <w:sz w:val="17"/>
          <w:szCs w:val="17"/>
          <w:color w:val="auto"/>
        </w:rPr>
        <w:t xml:space="preserve">. Each issuance of Shares will be settled on the applicable Settlement Date for such issuance of Shares and, subject to the provisions of </w:t>
      </w:r>
      <w:r>
        <w:rPr>
          <w:rFonts w:ascii="Arial" w:cs="Arial" w:eastAsia="Arial" w:hAnsi="Arial"/>
          <w:sz w:val="17"/>
          <w:szCs w:val="17"/>
          <w:u w:val="single" w:color="auto"/>
          <w:color w:val="auto"/>
        </w:rPr>
        <w:t>Section 5</w:t>
      </w:r>
      <w:r>
        <w:rPr>
          <w:rFonts w:ascii="Arial" w:cs="Arial" w:eastAsia="Arial" w:hAnsi="Arial"/>
          <w:sz w:val="17"/>
          <w:szCs w:val="17"/>
          <w:color w:val="auto"/>
        </w:rPr>
        <w:t>, on or before each Settlement Date, the Company will, or will cause its transfer agent to, electronically transfer the Shares being sold against the prior deposit with the Custodian of the corresponding number of Ordinary Shares necessary for the issuance of the Shares by crediting the Agent or its designee’s account at The Depository Trust Company through its Deposit/Withdrawal At Custodian (DWAC) System, or by such other means of delivery as may be mutually agreed upon by the parties hereto and, upon receipt of such Shares, which in all cases shall be freely tradable, transferable, registered shares in good deliverable form, the Agent will deliver, by wire transfer of immediately available funds, the related Issuance Price in same day funds delivered to an account designated by the Company prior to the Settlement Date. The Company may sell Shares to the Agent as principal at a price agreed upon at each relevant time Shares are sold pursuant to this Agreement (each, a “</w:t>
      </w:r>
      <w:r>
        <w:rPr>
          <w:rFonts w:ascii="Arial" w:cs="Arial" w:eastAsia="Arial" w:hAnsi="Arial"/>
          <w:sz w:val="17"/>
          <w:szCs w:val="17"/>
          <w:b w:val="1"/>
          <w:bCs w:val="1"/>
          <w:color w:val="auto"/>
        </w:rPr>
        <w:t>Time of Sale</w:t>
      </w:r>
      <w:r>
        <w:rPr>
          <w:rFonts w:ascii="Arial" w:cs="Arial" w:eastAsia="Arial" w:hAnsi="Arial"/>
          <w:sz w:val="17"/>
          <w:szCs w:val="17"/>
          <w:color w:val="auto"/>
        </w:rPr>
        <w:t>”).</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(vi) </w:t>
      </w:r>
      <w:r>
        <w:rPr>
          <w:rFonts w:ascii="Arial" w:cs="Arial" w:eastAsia="Arial" w:hAnsi="Arial"/>
          <w:sz w:val="17"/>
          <w:szCs w:val="17"/>
          <w:u w:val="single" w:color="auto"/>
          <w:color w:val="auto"/>
        </w:rPr>
        <w:t>Suspension or Termination of Sales</w:t>
      </w:r>
      <w:r>
        <w:rPr>
          <w:rFonts w:ascii="Arial" w:cs="Arial" w:eastAsia="Arial" w:hAnsi="Arial"/>
          <w:sz w:val="17"/>
          <w:szCs w:val="17"/>
          <w:color w:val="auto"/>
        </w:rPr>
        <w:t xml:space="preserve">. Consistent with standard market settlement practices, the Company or the Agent may, upon notice to the other party hereto in writing or by telephone (confirmed immediately by verifiable email), suspend any sale of Shares, and the period set forth in an Issuance Notice shall immediately terminate; provided, however, that (A) such suspension and termination shall not affect or impair either party’s obligations with respect to any Shares placed or sold hereunder prior to the receipt of such notice; (B) if the Company suspends or terminates any sale of Shares after the Agent confirms such sale to the Company, the Company shall still be obligated to comply with </w:t>
      </w:r>
      <w:r>
        <w:rPr>
          <w:rFonts w:ascii="Arial" w:cs="Arial" w:eastAsia="Arial" w:hAnsi="Arial"/>
          <w:sz w:val="17"/>
          <w:szCs w:val="17"/>
          <w:u w:val="single" w:color="auto"/>
          <w:color w:val="auto"/>
        </w:rPr>
        <w:t>Section 3(b)(v)</w:t>
      </w:r>
      <w:r>
        <w:rPr>
          <w:rFonts w:ascii="Arial" w:cs="Arial" w:eastAsia="Arial" w:hAnsi="Arial"/>
          <w:sz w:val="17"/>
          <w:szCs w:val="17"/>
          <w:color w:val="auto"/>
        </w:rPr>
        <w:t xml:space="preserve"> with respect to such Shares; and (C) if the Company defaults in its obligation to deliver Shares on a Settlement Date, the Company agrees that it will hold the Agent harmless against any loss, claim, damage or expense (including, without limitation, penalties, interest and reasonable legal fees and expenses), as incurred, arising out of or in connection with such default by the Company. The parties hereto acknowledge and agree that, in performing its obligations under this Agreement, the Agent may borrow ADSs from stock lenders in the event that the Company has not delivered Shares to settle sales as required by subsection (v) above, and may use the Shares to settle or close out such borrowings. The Company agrees that no such notice shall be effective against the Agent unless it is made to the persons identified in writing by the Agent pursuant to </w:t>
      </w:r>
      <w:r>
        <w:rPr>
          <w:rFonts w:ascii="Arial" w:cs="Arial" w:eastAsia="Arial" w:hAnsi="Arial"/>
          <w:sz w:val="17"/>
          <w:szCs w:val="17"/>
          <w:u w:val="single" w:color="auto"/>
          <w:color w:val="auto"/>
        </w:rPr>
        <w:t>Section 3(b)(i)</w:t>
      </w:r>
      <w:r>
        <w:rPr>
          <w:rFonts w:ascii="Arial" w:cs="Arial" w:eastAsia="Arial" w:hAnsi="Arial"/>
          <w:sz w:val="17"/>
          <w:szCs w:val="17"/>
          <w:color w:val="auto"/>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jc w:val="both"/>
        <w:ind w:firstLine="648"/>
        <w:spacing w:after="0" w:line="259" w:lineRule="auto"/>
        <w:rPr>
          <w:sz w:val="20"/>
          <w:szCs w:val="20"/>
          <w:color w:val="auto"/>
        </w:rPr>
      </w:pPr>
      <w:r>
        <w:rPr>
          <w:rFonts w:ascii="Arial" w:cs="Arial" w:eastAsia="Arial" w:hAnsi="Arial"/>
          <w:sz w:val="18"/>
          <w:szCs w:val="18"/>
          <w:color w:val="auto"/>
        </w:rPr>
        <w:t xml:space="preserve">(vii) </w:t>
      </w:r>
      <w:r>
        <w:rPr>
          <w:rFonts w:ascii="Arial" w:cs="Arial" w:eastAsia="Arial" w:hAnsi="Arial"/>
          <w:sz w:val="18"/>
          <w:szCs w:val="18"/>
          <w:u w:val="single" w:color="auto"/>
          <w:color w:val="auto"/>
        </w:rPr>
        <w:t>No Guarantee of Placement, Etc</w:t>
      </w:r>
      <w:r>
        <w:rPr>
          <w:rFonts w:ascii="Arial" w:cs="Arial" w:eastAsia="Arial" w:hAnsi="Arial"/>
          <w:sz w:val="18"/>
          <w:szCs w:val="18"/>
          <w:color w:val="auto"/>
        </w:rPr>
        <w:t>. The Company acknowledges and agrees that (A) there can be no assurance that the Agent will be successful in placing Shares; (B) the Agent will incur no liability or obligation to the Company or any other Person if it does not sell Shares; and (C) the Agent shall be under no obligation to purchase Shares on a principal basis pursuant to this Agreement, except as otherwise specifically agreed by the Agent and the Company.</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(viii) </w:t>
      </w:r>
      <w:r>
        <w:rPr>
          <w:rFonts w:ascii="Arial" w:cs="Arial" w:eastAsia="Arial" w:hAnsi="Arial"/>
          <w:sz w:val="18"/>
          <w:szCs w:val="18"/>
          <w:u w:val="single" w:color="auto"/>
          <w:color w:val="auto"/>
        </w:rPr>
        <w:t>Material Non-Public Information</w:t>
      </w:r>
      <w:r>
        <w:rPr>
          <w:rFonts w:ascii="Arial" w:cs="Arial" w:eastAsia="Arial" w:hAnsi="Arial"/>
          <w:sz w:val="18"/>
          <w:szCs w:val="18"/>
          <w:color w:val="auto"/>
        </w:rPr>
        <w:t>. Notwithstanding any other provision of this Agreement, the Company and the Agent agree that the Company shall not deliver any Issuance Notice to the Agent, and the Agent shall not be obligated to place any Shares, during any period in which the Company is in possession of material non-public information.</w:t>
      </w:r>
    </w:p>
    <w:p>
      <w:pPr>
        <w:spacing w:after="0" w:line="184" w:lineRule="exact"/>
        <w:rPr>
          <w:sz w:val="20"/>
          <w:szCs w:val="20"/>
          <w:color w:val="auto"/>
        </w:rPr>
      </w:pPr>
    </w:p>
    <w:p>
      <w:pPr>
        <w:jc w:val="both"/>
        <w:ind w:firstLine="656"/>
        <w:spacing w:after="0" w:line="263" w:lineRule="auto"/>
        <w:tabs>
          <w:tab w:leader="none" w:pos="1513"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Fees</w:t>
      </w:r>
      <w:r>
        <w:rPr>
          <w:rFonts w:ascii="Arial" w:cs="Arial" w:eastAsia="Arial" w:hAnsi="Arial"/>
          <w:sz w:val="18"/>
          <w:szCs w:val="18"/>
          <w:color w:val="auto"/>
        </w:rPr>
        <w:t xml:space="preserve">. As compensation for services rendered, the Company shall pay to the Agent, on the applicable Settlement Date, the Selling Commission for the applicable Issuance Amount (including with respect to any suspended or terminated sale pursuant to </w:t>
      </w:r>
      <w:r>
        <w:rPr>
          <w:rFonts w:ascii="Arial" w:cs="Arial" w:eastAsia="Arial" w:hAnsi="Arial"/>
          <w:sz w:val="18"/>
          <w:szCs w:val="18"/>
          <w:u w:val="single" w:color="auto"/>
          <w:color w:val="auto"/>
        </w:rPr>
        <w:t>Section 3(b)(vi)</w:t>
      </w:r>
      <w:r>
        <w:rPr>
          <w:rFonts w:ascii="Arial" w:cs="Arial" w:eastAsia="Arial" w:hAnsi="Arial"/>
          <w:sz w:val="18"/>
          <w:szCs w:val="18"/>
          <w:color w:val="auto"/>
        </w:rPr>
        <w:t>) by the Agent deducting the Selling Commission from the applicable Issuance Amount.</w:t>
      </w:r>
    </w:p>
    <w:p>
      <w:pPr>
        <w:spacing w:after="0" w:line="183" w:lineRule="exact"/>
        <w:rPr>
          <w:rFonts w:ascii="Arial" w:cs="Arial" w:eastAsia="Arial" w:hAnsi="Arial"/>
          <w:sz w:val="18"/>
          <w:szCs w:val="18"/>
          <w:color w:val="auto"/>
        </w:rPr>
      </w:pPr>
    </w:p>
    <w:p>
      <w:pPr>
        <w:jc w:val="both"/>
        <w:ind w:firstLine="656"/>
        <w:spacing w:after="0" w:line="273" w:lineRule="auto"/>
        <w:tabs>
          <w:tab w:leader="none" w:pos="1406"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Transfer Taxes</w:t>
      </w:r>
      <w:r>
        <w:rPr>
          <w:rFonts w:ascii="Arial" w:cs="Arial" w:eastAsia="Arial" w:hAnsi="Arial"/>
          <w:sz w:val="17"/>
          <w:szCs w:val="17"/>
          <w:color w:val="auto"/>
        </w:rPr>
        <w:t>. The Company shall pay, and shall indemnify and hold the Agent harmless against, any Transfer Taxes, and any interest and penalties, which are payable in connection with (i) the allotment, creation, issuance and delivery of the Ordinary Shares and the ADSs (or the ADRs evidencing the ADSs) in the manner contemplated by this Agreement and the Deposit Agreement; (ii) the sale and delivery of the ADSs (or the ADRs evidencing such ADSs) to or for the account of the Agent, in each case in the manner contemplated by this Agreement and the Deposit Agreement; (iii) the sale and delivery by the Agent of the ADSs (or the ADRs evidencing the ADSs) to the initial purchasers thereof in the manner contemplated by this Agreement and the Deposit Agreement; or (iv) the execution and delivery of this Agreement.</w:t>
      </w:r>
    </w:p>
    <w:p>
      <w:pPr>
        <w:spacing w:after="0" w:line="177" w:lineRule="exact"/>
        <w:rPr>
          <w:rFonts w:ascii="Arial" w:cs="Arial" w:eastAsia="Arial" w:hAnsi="Arial"/>
          <w:sz w:val="17"/>
          <w:szCs w:val="17"/>
          <w:color w:val="auto"/>
        </w:rPr>
      </w:pPr>
    </w:p>
    <w:p>
      <w:pPr>
        <w:jc w:val="both"/>
        <w:ind w:firstLine="656"/>
        <w:spacing w:after="0" w:line="284" w:lineRule="auto"/>
        <w:tabs>
          <w:tab w:leader="none" w:pos="1590" w:val="left"/>
        </w:tabs>
        <w:numPr>
          <w:ilvl w:val="0"/>
          <w:numId w:val="83"/>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The Company agrees to pay all costs, fees and expenses incurred in connection with the performance of its obligations hereunder and in connection with the transactions contemplated hereby, including without limitation (i) all expenses incident to the issuance and delivery of the Shares (including all printing and engraving costs); (ii) all fees and expenses of the registrar and transfer agent of the Shares; (iii) all fees and expenses of the Company’s counsel, independent public or certified public accountants and other advisors; (iv) all costs and expenses incurred in connection with the preparation, printing, filing, shipping and distribution of the Registration Statement (including financial statements, exhibits, schedules, consents and certificates of experts), the Prospectus, any Free Writing Prospectus (as defined below) prepared by or on behalf of, used by, or referred to by the Company, and all amendments and supplements thereto, and this Agreement; (v) all filing fees, attorneys’ fees and expenses incurred by the Company or the Agent in connection with qualifying or registering (or obtaining exemptions from the qualification or registration of) all or any part of the Shares for offer and sale under the state securities or blue sky laws or the provincial securities laws of Canada, and, if requested by the Agent, preparing and printing a “</w:t>
      </w:r>
      <w:r>
        <w:rPr>
          <w:rFonts w:ascii="Arial" w:cs="Arial" w:eastAsia="Arial" w:hAnsi="Arial"/>
          <w:sz w:val="16"/>
          <w:szCs w:val="16"/>
          <w:b w:val="1"/>
          <w:bCs w:val="1"/>
          <w:color w:val="auto"/>
        </w:rPr>
        <w:t>Blue Sky</w:t>
      </w:r>
      <w:r>
        <w:rPr>
          <w:rFonts w:ascii="Arial" w:cs="Arial" w:eastAsia="Arial" w:hAnsi="Arial"/>
          <w:sz w:val="16"/>
          <w:szCs w:val="16"/>
          <w:color w:val="auto"/>
        </w:rPr>
        <w:t xml:space="preserve"> </w:t>
      </w:r>
      <w:r>
        <w:rPr>
          <w:rFonts w:ascii="Arial" w:cs="Arial" w:eastAsia="Arial" w:hAnsi="Arial"/>
          <w:sz w:val="16"/>
          <w:szCs w:val="16"/>
          <w:b w:val="1"/>
          <w:bCs w:val="1"/>
          <w:color w:val="auto"/>
        </w:rPr>
        <w:t>Survey</w:t>
      </w:r>
      <w:r>
        <w:rPr>
          <w:rFonts w:ascii="Arial" w:cs="Arial" w:eastAsia="Arial" w:hAnsi="Arial"/>
          <w:sz w:val="16"/>
          <w:szCs w:val="16"/>
          <w:color w:val="auto"/>
        </w:rPr>
        <w:t>” or memorandum and a “Canadian wrapper”, and any supplements thereto, advising the Agent of such qualifications, registrations, determinations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exemptions; (vi) the reasonable and documented fees and disbursements of the Agent’s counsel, including the reasonable and documented fees and expenses of counsel for the Agent in connection with, FINRA review, if any, and approval of the Agent’s participation in the offering and distribution of the Shares; (vii) the filing fees incident to FINRA review, if any; (viii)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employees and officers of the Company and of the Agent and any such consultants, and the cost of any aircraft chartered in connection with the road show; and (ix) the fees and expenses associated with listing the Shares on the Principal Market. The fees and disbursements of Agent’s counsel pursuant to subsections (vi) and (vii) above shall not exceed (A) $100,000 in connection with execution of this Agreement [and (B) $20,000 in connection with each Triggering Event Date (as defined below) on which the Company is required to provide a certificate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ind w:left="660"/>
        <w:spacing w:after="0"/>
        <w:tabs>
          <w:tab w:leader="none" w:pos="206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8"/>
          <w:szCs w:val="18"/>
          <w:b w:val="1"/>
          <w:bCs w:val="1"/>
          <w:color w:val="auto"/>
        </w:rPr>
        <w:t>ADDITIONAL 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covenants and agrees with the Agent as follows, in addition to any other covenants and agreements made elsewhere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jc w:val="both"/>
        <w:ind w:firstLine="656"/>
        <w:spacing w:after="0" w:line="287" w:lineRule="auto"/>
        <w:tabs>
          <w:tab w:leader="none" w:pos="1342" w:val="left"/>
        </w:tabs>
        <w:numPr>
          <w:ilvl w:val="1"/>
          <w:numId w:val="84"/>
        </w:numPr>
        <w:rPr>
          <w:rFonts w:ascii="Arial" w:cs="Arial" w:eastAsia="Arial" w:hAnsi="Arial"/>
          <w:sz w:val="16"/>
          <w:szCs w:val="16"/>
          <w:color w:val="auto"/>
        </w:rPr>
      </w:pPr>
      <w:r>
        <w:rPr>
          <w:rFonts w:ascii="Arial" w:cs="Arial" w:eastAsia="Arial" w:hAnsi="Arial"/>
          <w:sz w:val="16"/>
          <w:szCs w:val="16"/>
          <w:u w:val="single" w:color="auto"/>
          <w:color w:val="auto"/>
        </w:rPr>
        <w:t>Exchange Act Compliance</w:t>
      </w:r>
      <w:r>
        <w:rPr>
          <w:rFonts w:ascii="Arial" w:cs="Arial" w:eastAsia="Arial" w:hAnsi="Arial"/>
          <w:sz w:val="16"/>
          <w:szCs w:val="16"/>
          <w:color w:val="auto"/>
        </w:rPr>
        <w:t>. During the Agency Period, the Company shall (i) file, on a timely basis, with the Commission all reports and documents required to be filed under Section 13, 14 or 15 of the Exchange Act in the manner and within the time periods required by the Exchange Act; and (ii) either (A) include in its quarterly reports on Form 10-Q and its annual reports on Form 10-K, a summary detailing, for the relevant reporting period,</w:t>
      </w:r>
    </w:p>
    <w:p>
      <w:pPr>
        <w:spacing w:after="0" w:line="2" w:lineRule="exact"/>
        <w:rPr>
          <w:rFonts w:ascii="Arial" w:cs="Arial" w:eastAsia="Arial" w:hAnsi="Arial"/>
          <w:sz w:val="16"/>
          <w:szCs w:val="16"/>
          <w:color w:val="auto"/>
        </w:rPr>
      </w:pPr>
    </w:p>
    <w:p>
      <w:pPr>
        <w:jc w:val="both"/>
        <w:ind w:firstLine="8"/>
        <w:spacing w:after="0" w:line="295" w:lineRule="auto"/>
        <w:tabs>
          <w:tab w:leader="none" w:pos="271"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number of Shares sold through the Agent pursuant to this Agreement and (2) the net proceeds received by the Company from such sales or (B) prepare a prospectus supplement containing, or include in such other filing permitted by the Securities Act or Exchange Act (each an “</w:t>
      </w:r>
      <w:r>
        <w:rPr>
          <w:rFonts w:ascii="Arial" w:cs="Arial" w:eastAsia="Arial" w:hAnsi="Arial"/>
          <w:sz w:val="16"/>
          <w:szCs w:val="16"/>
          <w:b w:val="1"/>
          <w:bCs w:val="1"/>
          <w:color w:val="auto"/>
        </w:rPr>
        <w:t>Interim Prospectus</w:t>
      </w:r>
      <w:r>
        <w:rPr>
          <w:rFonts w:ascii="Arial" w:cs="Arial" w:eastAsia="Arial" w:hAnsi="Arial"/>
          <w:sz w:val="16"/>
          <w:szCs w:val="16"/>
          <w:color w:val="auto"/>
        </w:rPr>
        <w:t xml:space="preserve"> </w:t>
      </w:r>
      <w:r>
        <w:rPr>
          <w:rFonts w:ascii="Arial" w:cs="Arial" w:eastAsia="Arial" w:hAnsi="Arial"/>
          <w:sz w:val="16"/>
          <w:szCs w:val="16"/>
          <w:b w:val="1"/>
          <w:bCs w:val="1"/>
          <w:color w:val="auto"/>
        </w:rPr>
        <w:t>Supplement</w:t>
      </w:r>
      <w:r>
        <w:rPr>
          <w:rFonts w:ascii="Arial" w:cs="Arial" w:eastAsia="Arial" w:hAnsi="Arial"/>
          <w:sz w:val="16"/>
          <w:szCs w:val="16"/>
          <w:color w:val="auto"/>
        </w:rPr>
        <w:t>”), such summary information and, at least once a quarter and subject to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w:t>
      </w:r>
      <w:r>
        <w:rPr>
          <w:rFonts w:ascii="Arial" w:cs="Arial" w:eastAsia="Arial" w:hAnsi="Arial"/>
          <w:sz w:val="16"/>
          <w:szCs w:val="16"/>
          <w:color w:val="auto"/>
        </w:rPr>
        <w:t>, file such Interim Prospectus Supplement pursuant to</w:t>
      </w:r>
      <w:r>
        <w:rPr>
          <w:rFonts w:ascii="Arial" w:cs="Arial" w:eastAsia="Arial" w:hAnsi="Arial"/>
          <w:sz w:val="16"/>
          <w:szCs w:val="16"/>
          <w:b w:val="1"/>
          <w:bCs w:val="1"/>
          <w:color w:val="auto"/>
        </w:rPr>
        <w:t xml:space="preserve"> </w:t>
      </w:r>
      <w:r>
        <w:rPr>
          <w:rFonts w:ascii="Arial" w:cs="Arial" w:eastAsia="Arial" w:hAnsi="Arial"/>
          <w:sz w:val="16"/>
          <w:szCs w:val="16"/>
          <w:color w:val="auto"/>
        </w:rPr>
        <w:t>Rule 424(b) under the Securities Act (and within the time periods required by Rule 424(b) and Rule 430B under the Securities Act)).</w:t>
      </w:r>
    </w:p>
    <w:p>
      <w:pPr>
        <w:spacing w:after="0" w:line="161" w:lineRule="exact"/>
        <w:rPr>
          <w:rFonts w:ascii="Arial" w:cs="Arial" w:eastAsia="Arial" w:hAnsi="Arial"/>
          <w:sz w:val="16"/>
          <w:szCs w:val="16"/>
          <w:color w:val="auto"/>
        </w:rPr>
      </w:pPr>
    </w:p>
    <w:p>
      <w:pPr>
        <w:jc w:val="both"/>
        <w:ind w:firstLine="656"/>
        <w:spacing w:after="0" w:line="268" w:lineRule="auto"/>
        <w:tabs>
          <w:tab w:leader="none" w:pos="1406" w:val="left"/>
        </w:tabs>
        <w:numPr>
          <w:ilvl w:val="1"/>
          <w:numId w:val="85"/>
        </w:numPr>
        <w:rPr>
          <w:rFonts w:ascii="Arial" w:cs="Arial" w:eastAsia="Arial" w:hAnsi="Arial"/>
          <w:sz w:val="17"/>
          <w:szCs w:val="17"/>
          <w:color w:val="auto"/>
        </w:rPr>
      </w:pPr>
      <w:r>
        <w:rPr>
          <w:rFonts w:ascii="Arial" w:cs="Arial" w:eastAsia="Arial" w:hAnsi="Arial"/>
          <w:sz w:val="17"/>
          <w:szCs w:val="17"/>
          <w:u w:val="single" w:color="auto"/>
          <w:color w:val="auto"/>
        </w:rPr>
        <w:t>Securities Act Compliance</w:t>
      </w:r>
      <w:r>
        <w:rPr>
          <w:rFonts w:ascii="Arial" w:cs="Arial" w:eastAsia="Arial" w:hAnsi="Arial"/>
          <w:sz w:val="17"/>
          <w:szCs w:val="17"/>
          <w:color w:val="auto"/>
        </w:rPr>
        <w:t>. After the date of this Agreement, the Company shall promptly advise the Agent in writing (i) of the receipt of any comments of, or requests for additional or supplemental information from, the Commission; (ii) of the time and date of any filing of any post-effective amendment to the Registration Statement, the ADS Registration Statement, any Rule 462(b) Registration Statement or any amendment or supplement to the Prospectus, any Free Writing Prospectus; (iii) of the time and date that any post-effective amendment to the Registration Statement, the ADS Registration Statement or any Rule 462(b) Registration Statement becomes effective; and (iv) of the issuance by the Commission of any stop order suspending the effectiveness of the Registration Statement, the ADS Registration Statement or any post-effective amendment thereto, any Rule 462(b) Registration Statement or any amendment or supplement to the Prospectus or of any order preventing or suspending the use of any Free Writing Prospectus or the Prospectus, or of any proceedings to remove, suspend or terminate from listing or quotation the ADSs from any securities exchange upon which they are listed for trading or included or designated for quotation, or of the threatening or initiation of any proceedings for any of such purposes. If the Commission shall enter any such stop order at any time, the Company will use its reasonable best efforts to obtain the lifting of such order as soon as practicable. Additionally, the Company agrees that it shall comply with the provisions of Rule 424(b) and Rule 433, as applicable, under the Securities Act and will use its reasonable efforts to confirm that any filings made by the Company under such Rule 424(b) or Rule 433 were received in a timely manner by the Commission.</w:t>
      </w:r>
    </w:p>
    <w:p>
      <w:pPr>
        <w:spacing w:after="0" w:line="186" w:lineRule="exact"/>
        <w:rPr>
          <w:rFonts w:ascii="Arial" w:cs="Arial" w:eastAsia="Arial" w:hAnsi="Arial"/>
          <w:sz w:val="17"/>
          <w:szCs w:val="17"/>
          <w:color w:val="auto"/>
        </w:rPr>
      </w:pPr>
    </w:p>
    <w:p>
      <w:pPr>
        <w:jc w:val="both"/>
        <w:ind w:firstLine="656"/>
        <w:spacing w:after="0" w:line="269" w:lineRule="auto"/>
        <w:tabs>
          <w:tab w:leader="none" w:pos="1369" w:val="left"/>
        </w:tabs>
        <w:numPr>
          <w:ilvl w:val="1"/>
          <w:numId w:val="85"/>
        </w:numPr>
        <w:rPr>
          <w:rFonts w:ascii="Arial" w:cs="Arial" w:eastAsia="Arial" w:hAnsi="Arial"/>
          <w:sz w:val="17"/>
          <w:szCs w:val="17"/>
          <w:color w:val="auto"/>
        </w:rPr>
      </w:pPr>
      <w:r>
        <w:rPr>
          <w:rFonts w:ascii="Arial" w:cs="Arial" w:eastAsia="Arial" w:hAnsi="Arial"/>
          <w:sz w:val="17"/>
          <w:szCs w:val="17"/>
          <w:u w:val="single" w:color="auto"/>
          <w:color w:val="auto"/>
        </w:rPr>
        <w:t>Amendments and Supplements to the Prospectus and Other Securities Act Matters</w:t>
      </w:r>
      <w:r>
        <w:rPr>
          <w:rFonts w:ascii="Arial" w:cs="Arial" w:eastAsia="Arial" w:hAnsi="Arial"/>
          <w:sz w:val="17"/>
          <w:szCs w:val="17"/>
          <w:color w:val="auto"/>
        </w:rPr>
        <w:t xml:space="preserve">. If any event shall occur or condition exist as a result of which it is necessary to amend or supplement the Prospectus so that the Prospectus does not include an untrue statement of a material fact or omit to state a material fact necessary in order to make the statements therein, in the light of the circumstances when the Prospectus is delivered to a purchaser, not misleading, or if in the opinion of the Agent or counsel for the Agent it is otherwise necessary to amend or supplement the Prospectus to comply with applicable law, including the Securities Act, the Company agrees (subject to </w:t>
      </w:r>
      <w:r>
        <w:rPr>
          <w:rFonts w:ascii="Arial" w:cs="Arial" w:eastAsia="Arial" w:hAnsi="Arial"/>
          <w:sz w:val="17"/>
          <w:szCs w:val="17"/>
          <w:u w:val="single" w:color="auto"/>
          <w:color w:val="auto"/>
        </w:rPr>
        <w:t>Section 4(d)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4(f)</w:t>
      </w:r>
      <w:r>
        <w:rPr>
          <w:rFonts w:ascii="Arial" w:cs="Arial" w:eastAsia="Arial" w:hAnsi="Arial"/>
          <w:sz w:val="17"/>
          <w:szCs w:val="17"/>
          <w:color w:val="auto"/>
        </w:rPr>
        <w:t xml:space="preserve">) to promptly prepare, file with the Commission and furnish at its own expense to the Agent, amendments or supplements to the Prospectus so that the statements in the Prospectus as so amended or supplemented will not include an untrue statement of a material fact or omit to state a material fact necessary in order to make the statements therein, in the light of the circumstances when the Prospectus is delivered to a purchaser, be misleading or so that the Prospectus, as amended or supplemented, will comply with applicable law including the Securities Act. Neither the Agent’s consent to, or delivery of, any such amendment or supplement shall constitute a waiver of any of the Company’s obligations under </w:t>
      </w:r>
      <w:r>
        <w:rPr>
          <w:rFonts w:ascii="Arial" w:cs="Arial" w:eastAsia="Arial" w:hAnsi="Arial"/>
          <w:sz w:val="17"/>
          <w:szCs w:val="17"/>
          <w:u w:val="single" w:color="auto"/>
          <w:color w:val="auto"/>
        </w:rPr>
        <w:t>Section 4(d)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4(f)</w:t>
      </w:r>
      <w:r>
        <w:rPr>
          <w:rFonts w:ascii="Arial" w:cs="Arial" w:eastAsia="Arial" w:hAnsi="Arial"/>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jc w:val="both"/>
        <w:ind w:firstLine="656"/>
        <w:spacing w:after="0" w:line="255" w:lineRule="auto"/>
        <w:tabs>
          <w:tab w:leader="none" w:pos="1582"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Agent’s Review of Proposed Amendments and Supplements</w:t>
      </w:r>
      <w:r>
        <w:rPr>
          <w:rFonts w:ascii="Arial" w:cs="Arial" w:eastAsia="Arial" w:hAnsi="Arial"/>
          <w:sz w:val="18"/>
          <w:szCs w:val="18"/>
          <w:color w:val="auto"/>
        </w:rPr>
        <w:t>. During any period in which an Issuance Notice is pending, prior to amending or supplementing the Registration Statement (including any registration statement filed under Rule 462(b) under the Securities Act), the ADS Registration Statement or the Prospectus (excluding any amendment or supplement through incorporation of any report filed under the Exchange Act), the Company shall furnish to the Agent for review, a reasonable amount of time prior to the proposed time of filing or use thereof, a copy of each such proposed amendment or supplement, file with the Commission within the applicable period specified in Rule 424(b) under the Securities Act any prospectus required to be filed pursuant to such Rule.</w:t>
      </w:r>
    </w:p>
    <w:p>
      <w:pPr>
        <w:spacing w:after="0" w:line="192" w:lineRule="exact"/>
        <w:rPr>
          <w:rFonts w:ascii="Arial" w:cs="Arial" w:eastAsia="Arial" w:hAnsi="Arial"/>
          <w:sz w:val="18"/>
          <w:szCs w:val="18"/>
          <w:color w:val="auto"/>
        </w:rPr>
      </w:pPr>
    </w:p>
    <w:p>
      <w:pPr>
        <w:jc w:val="both"/>
        <w:ind w:firstLine="656"/>
        <w:spacing w:after="0" w:line="259" w:lineRule="auto"/>
        <w:tabs>
          <w:tab w:leader="none" w:pos="1441"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Use of Free Writing Prospectus</w:t>
      </w:r>
      <w:r>
        <w:rPr>
          <w:rFonts w:ascii="Arial" w:cs="Arial" w:eastAsia="Arial" w:hAnsi="Arial"/>
          <w:sz w:val="18"/>
          <w:szCs w:val="18"/>
          <w:color w:val="auto"/>
        </w:rPr>
        <w:t>. Neither the Company nor the Agent has prepared, used, referred to or distributed, or will prepare, use, refer to or distribute, without the other party’s prior written consent, any “written communication” that constitutes a “free writing prospectus” as such terms are defined in Rule 405 under the Securities Act with respect to the offering contemplated by this Agreement (any such free writing prospectus being referred to herein as a “</w:t>
      </w:r>
      <w:r>
        <w:rPr>
          <w:rFonts w:ascii="Arial" w:cs="Arial" w:eastAsia="Arial" w:hAnsi="Arial"/>
          <w:sz w:val="18"/>
          <w:szCs w:val="18"/>
          <w:b w:val="1"/>
          <w:bCs w:val="1"/>
          <w:color w:val="auto"/>
        </w:rPr>
        <w:t>Free Writing Prospectus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firstLine="656"/>
        <w:spacing w:after="0" w:line="285" w:lineRule="auto"/>
        <w:tabs>
          <w:tab w:leader="none" w:pos="1422"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Free Writing Prospectuses</w:t>
      </w:r>
      <w:r>
        <w:rPr>
          <w:rFonts w:ascii="Arial" w:cs="Arial" w:eastAsia="Arial" w:hAnsi="Arial"/>
          <w:sz w:val="16"/>
          <w:szCs w:val="16"/>
          <w:color w:val="auto"/>
        </w:rPr>
        <w:t>. The Company shall furnish to the Agent for review, a reasonable amount of time prior to the proposed time of filing or use thereof, a copy of each proposed free writing prospectus or any amendment or supplement thereto to be prepared by or on behalf of, used by, or referred to by the Company and the Company shall not file, use or refer to any proposed free writing prospectus or any amendment or supplement thereto without the Agent’s consent. The Company shall furnish to the Agent, without charge, as many copies of any free writing prospectus prepared by or on behalf of, or used by the Company, as the Agent may reasonably request. If at any time when a prospectus is required by the Securities Act (including, without limitation, pursuant to Rule 173(d)) to be delivered in connection with sales of the Shares (but in any event if at any time through and including the date of this Agreement) there occurred or occurs an event or development as a result of which any free writing prospectus prepared by or on behalf of, used by, or referred to by the Company conflicted or would conflict with the information contained in the Registration Statement or the ADS Registration Statement or included or would include an untrue statement of a material fact or omitted or would omit to state a material fact necessary in order to make the statements therein, in the light of the circumstances prevailing at that subsequent time, not misleading, the Company shall promptly amend or supplement such free writing prospectus to eliminate or correct such conflict or so that the statements in such free writing prospectus as so amended or supplemented will not include an untrue statement of a material fact or omit to state a material fact necessary in order to make the statements therein, in the light of the circumstances prevailing at such subsequent time, not misleading, as the case may be; provided, however, that prior to amending or supplementing any such free writing prospectus, the Company shall furnish to the Agent for review, a reasonable amount of time prior to the proposed time of filing or use thereof, a copy of such proposed amended or supplemented free writing prospectus and the Company shall not file, use or refer to any such amended or supplemented free writing prospectus without the Agent’s consent.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2" w:name="page103"/>
    <w:bookmarkEnd w:id="102"/>
    <w:p>
      <w:pPr>
        <w:jc w:val="both"/>
        <w:ind w:firstLine="656"/>
        <w:spacing w:after="0" w:line="263" w:lineRule="auto"/>
        <w:tabs>
          <w:tab w:leader="none" w:pos="1379"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Filing of Agent Free Writing Prospectuses</w:t>
      </w:r>
      <w:r>
        <w:rPr>
          <w:rFonts w:ascii="Arial" w:cs="Arial" w:eastAsia="Arial" w:hAnsi="Arial"/>
          <w:sz w:val="18"/>
          <w:szCs w:val="18"/>
          <w:color w:val="auto"/>
        </w:rPr>
        <w:t>. The Company shall not take any action that would result in the Agent or the Company being required to file with the Commission pursuant to Rule 433(d) under the Securities Act a free writing prospectus prepared by or on behalf of the Agent that the Agent otherwise would not have been required to file thereunder.</w:t>
      </w:r>
    </w:p>
    <w:p>
      <w:pPr>
        <w:spacing w:after="0" w:line="183" w:lineRule="exact"/>
        <w:rPr>
          <w:rFonts w:ascii="Arial" w:cs="Arial" w:eastAsia="Arial" w:hAnsi="Arial"/>
          <w:sz w:val="18"/>
          <w:szCs w:val="18"/>
          <w:color w:val="auto"/>
        </w:rPr>
      </w:pPr>
    </w:p>
    <w:p>
      <w:pPr>
        <w:jc w:val="both"/>
        <w:ind w:firstLine="656"/>
        <w:spacing w:after="0" w:line="285" w:lineRule="auto"/>
        <w:tabs>
          <w:tab w:leader="none" w:pos="1424"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Copies of Registration Statement and Prospectus</w:t>
      </w:r>
      <w:r>
        <w:rPr>
          <w:rFonts w:ascii="Arial" w:cs="Arial" w:eastAsia="Arial" w:hAnsi="Arial"/>
          <w:sz w:val="16"/>
          <w:szCs w:val="16"/>
          <w:color w:val="auto"/>
        </w:rPr>
        <w:t>. After the date of this Agreement through the last time that a prospectus is required by the Securities Act (including, without limitation, pursuant to Rule 173(d)) to be delivered in connection with sales of the Shares, the Company agrees to furnish the Agent with copies (which may be electronic copies) of the Registration Statement and each amendment thereto, and with copies of the Prospectus and each amendment or supplement thereto in the form in which it is filed with the Commission pursuant to the Securities Act or Rule 424(b) under the Securities Act, both in such quantities as the Agent may reasonably request from time to time; and, if the delivery of a prospectus is required under the Securities Act or under the blue sky or securities laws of any jurisdiction at any time on or prior to the applicable Settlement Date for any period set forth in an Issuance Notice in connection with the offering or sale of the Shares and if at such time any event has occurred as a result of which the Prospectus as then amended or supplemented would include an untrue statement of a material fact or omit to state any material fact necessary in order to make the statements therein, in the light of the circumstances under which they were made when such Prospectus is delivered, not misleading, or, if for any other reason it is necessary during such same period to amend or supplement the Prospectus or to file under the Exchange Act any document incorporated by reference in the Prospectus in order to comply with the Securities Act or the Exchange Act, to notify the Agent and to request that the Agent suspend offers to sell Shares (and, if so notified, the Agent shall cease such offers as soon as practicable); and if the Company decides to amend or supplement the Registration Statement, the ADS Registration Statement or the Prospectus as then amended or supplemented, to advise the Agent promptly by telephone (with confirmation in writing) and to prepare and cause to be filed promptly with the Commission an amendment or supplement to the Registration Statement, the ADS Registration Statement or the Prospectus as then amended or supplemented that will correct such statement or omission or effect such compliance; provided, however, that if during such same period the Agent is required to deliver a prospectus in respect of transactions in the Shares, the Company shall promptly prepare and file with the Commission such an amendment or supplement.</w:t>
      </w:r>
    </w:p>
    <w:p>
      <w:pPr>
        <w:spacing w:after="0" w:line="173" w:lineRule="exact"/>
        <w:rPr>
          <w:rFonts w:ascii="Arial" w:cs="Arial" w:eastAsia="Arial" w:hAnsi="Arial"/>
          <w:sz w:val="16"/>
          <w:szCs w:val="16"/>
          <w:color w:val="auto"/>
        </w:rPr>
      </w:pPr>
    </w:p>
    <w:p>
      <w:pPr>
        <w:jc w:val="both"/>
        <w:ind w:firstLine="656"/>
        <w:spacing w:after="0" w:line="290" w:lineRule="auto"/>
        <w:tabs>
          <w:tab w:leader="none" w:pos="1430" w:val="left"/>
        </w:tabs>
        <w:numPr>
          <w:ilvl w:val="0"/>
          <w:numId w:val="87"/>
        </w:numPr>
        <w:rPr>
          <w:rFonts w:ascii="Arial" w:cs="Arial" w:eastAsia="Arial" w:hAnsi="Arial"/>
          <w:sz w:val="16"/>
          <w:szCs w:val="16"/>
          <w:color w:val="auto"/>
        </w:rPr>
      </w:pPr>
      <w:r>
        <w:rPr>
          <w:rFonts w:ascii="Arial" w:cs="Arial" w:eastAsia="Arial" w:hAnsi="Arial"/>
          <w:sz w:val="16"/>
          <w:szCs w:val="16"/>
          <w:u w:val="single" w:color="auto"/>
          <w:color w:val="auto"/>
        </w:rPr>
        <w:t>Blue Sky Compliance</w:t>
      </w:r>
      <w:r>
        <w:rPr>
          <w:rFonts w:ascii="Arial" w:cs="Arial" w:eastAsia="Arial" w:hAnsi="Arial"/>
          <w:sz w:val="16"/>
          <w:szCs w:val="16"/>
          <w:color w:val="auto"/>
        </w:rPr>
        <w:t>. The Company shall cooperate with the Agent and counsel for the Agent to qualify or register the Shares for sale under (or obtain exemptions from the application of) the state securities or blue sky laws or Canadian provincial securities laws of those jurisdictions designated by the Agent, shall comply with such laws and shall continue such qualifications, registrations and exemptions in effect so long as required for the distribution of the Shares. The Company shall not be required to qualify as a foreign corporation or to take any action that would subject it to general service of process in any such jurisdiction where it is not presently qualified or where it would be subject to taxation as a foreign corporation. The Company will advise the Agent promptly of the suspension of the qualification or registration of (or any such exemption relating to) the Shares for offering, sale or trading in any jurisdiction or any initiation or threat of any proceeding for any such purpose, and in the event of the issuance of any order suspending such qualification, registration or exemption, the Company shall use its best efforts to obtain the withdrawal thereof as soon as practicable.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3" w:name="page104"/>
    <w:bookmarkEnd w:id="103"/>
    <w:p>
      <w:pPr>
        <w:jc w:val="both"/>
        <w:ind w:firstLine="656"/>
        <w:spacing w:after="0" w:line="311" w:lineRule="auto"/>
        <w:tabs>
          <w:tab w:leader="none" w:pos="1578"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Earnings Statement</w:t>
      </w:r>
      <w:r>
        <w:rPr>
          <w:rFonts w:ascii="Arial" w:cs="Arial" w:eastAsia="Arial" w:hAnsi="Arial"/>
          <w:sz w:val="16"/>
          <w:szCs w:val="16"/>
          <w:color w:val="auto"/>
        </w:rPr>
        <w:t>. As soon as practicable, the Company will make generally available to its security holders and to the Agent an earnings statement (which need not be audited) covering a period of at least twelve months beginning with the first fiscal quarter of the Company occurring after the date of this Agreement which shall satisfy the provisions of Section 11(a) of the Securities Act and Rule 158 under the Securities Act.</w:t>
      </w:r>
    </w:p>
    <w:p>
      <w:pPr>
        <w:spacing w:after="0" w:line="148" w:lineRule="exact"/>
        <w:rPr>
          <w:rFonts w:ascii="Arial" w:cs="Arial" w:eastAsia="Arial" w:hAnsi="Arial"/>
          <w:sz w:val="16"/>
          <w:szCs w:val="16"/>
          <w:color w:val="auto"/>
        </w:rPr>
      </w:pPr>
    </w:p>
    <w:p>
      <w:pPr>
        <w:jc w:val="both"/>
        <w:ind w:firstLine="656"/>
        <w:spacing w:after="0" w:line="263" w:lineRule="auto"/>
        <w:tabs>
          <w:tab w:leader="none" w:pos="1451"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Listing; Reservation of Shares</w:t>
      </w:r>
      <w:r>
        <w:rPr>
          <w:rFonts w:ascii="Arial" w:cs="Arial" w:eastAsia="Arial" w:hAnsi="Arial"/>
          <w:sz w:val="18"/>
          <w:szCs w:val="18"/>
          <w:color w:val="auto"/>
        </w:rPr>
        <w:t>. (a) The Company will maintain the listing of the Shares on the Principal Market; and (b) the Company will reserve and keep available at all times, free of preemptive rights, a sufficient number of Authorized Shares for the purpose of enabling the Company to satisfy its obligations pursuant to an outstanding Issuance Notice under this Agreement.</w:t>
      </w:r>
    </w:p>
    <w:p>
      <w:pPr>
        <w:spacing w:after="0" w:line="183" w:lineRule="exact"/>
        <w:rPr>
          <w:rFonts w:ascii="Arial" w:cs="Arial" w:eastAsia="Arial" w:hAnsi="Arial"/>
          <w:sz w:val="18"/>
          <w:szCs w:val="18"/>
          <w:color w:val="auto"/>
        </w:rPr>
      </w:pPr>
    </w:p>
    <w:p>
      <w:pPr>
        <w:ind w:left="1420" w:hanging="764"/>
        <w:spacing w:after="0"/>
        <w:tabs>
          <w:tab w:leader="none" w:pos="1420"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Transfer Agent</w:t>
      </w:r>
      <w:r>
        <w:rPr>
          <w:rFonts w:ascii="Arial" w:cs="Arial" w:eastAsia="Arial" w:hAnsi="Arial"/>
          <w:sz w:val="18"/>
          <w:szCs w:val="18"/>
          <w:color w:val="auto"/>
        </w:rPr>
        <w:t>. The Company shall engage and maintain, at its expense, a registrar and transfer agent for the Shares.</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452" w:val="left"/>
        </w:tabs>
        <w:numPr>
          <w:ilvl w:val="1"/>
          <w:numId w:val="88"/>
        </w:numPr>
        <w:rPr>
          <w:rFonts w:ascii="Arial" w:cs="Arial" w:eastAsia="Arial" w:hAnsi="Arial"/>
          <w:sz w:val="18"/>
          <w:szCs w:val="18"/>
          <w:color w:val="auto"/>
        </w:rPr>
      </w:pPr>
      <w:r>
        <w:rPr>
          <w:rFonts w:ascii="Arial" w:cs="Arial" w:eastAsia="Arial" w:hAnsi="Arial"/>
          <w:sz w:val="18"/>
          <w:szCs w:val="18"/>
          <w:u w:val="single" w:color="auto"/>
          <w:color w:val="auto"/>
        </w:rPr>
        <w:t>Due Diligence</w:t>
      </w:r>
      <w:r>
        <w:rPr>
          <w:rFonts w:ascii="Arial" w:cs="Arial" w:eastAsia="Arial" w:hAnsi="Arial"/>
          <w:sz w:val="18"/>
          <w:szCs w:val="18"/>
          <w:color w:val="auto"/>
        </w:rPr>
        <w:t>. During the term of this Agreement, the Company will reasonably cooperate with any reasonable due diligence review conducted by the Agent in connection with the transactions contemplated hereby, including, without limitation, providing information and making available documents and senior corporate officers, during normal business hours and at the Company’s principal offices, as the Agent may reasonably request from time to time.</w:t>
      </w:r>
    </w:p>
    <w:p>
      <w:pPr>
        <w:spacing w:after="0" w:line="186" w:lineRule="exact"/>
        <w:rPr>
          <w:rFonts w:ascii="Arial" w:cs="Arial" w:eastAsia="Arial" w:hAnsi="Arial"/>
          <w:sz w:val="18"/>
          <w:szCs w:val="18"/>
          <w:color w:val="auto"/>
        </w:rPr>
      </w:pPr>
    </w:p>
    <w:p>
      <w:pPr>
        <w:jc w:val="both"/>
        <w:ind w:firstLine="656"/>
        <w:spacing w:after="0" w:line="286" w:lineRule="auto"/>
        <w:tabs>
          <w:tab w:leader="none" w:pos="1393" w:val="left"/>
        </w:tabs>
        <w:numPr>
          <w:ilvl w:val="1"/>
          <w:numId w:val="88"/>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acknowledges that each delivery of an Issuance Notice and each delivery of Shares on a Settlement Date shall be deemed to be (i) an affirmation to the Agent that the representations and warranties of the Company contained in or made pursuant to this Agreement are true and correct as of the date of such Issuance Notice or of such Settlement Date, as the case may be, as though made at and as of each such date, except as may be disclosed in the Prospectus (including any documents incorporated by reference therein and any supplements thereto); and</w:t>
      </w:r>
    </w:p>
    <w:p>
      <w:pPr>
        <w:spacing w:after="0" w:line="1" w:lineRule="exact"/>
        <w:rPr>
          <w:rFonts w:ascii="Arial" w:cs="Arial" w:eastAsia="Arial" w:hAnsi="Arial"/>
          <w:sz w:val="16"/>
          <w:szCs w:val="16"/>
          <w:color w:val="auto"/>
        </w:rPr>
      </w:pPr>
    </w:p>
    <w:p>
      <w:pPr>
        <w:jc w:val="both"/>
        <w:ind w:firstLine="8"/>
        <w:spacing w:after="0" w:line="277" w:lineRule="auto"/>
        <w:tabs>
          <w:tab w:leader="none" w:pos="275" w:val="left"/>
        </w:tabs>
        <w:numPr>
          <w:ilvl w:val="0"/>
          <w:numId w:val="89"/>
        </w:numPr>
        <w:rPr>
          <w:rFonts w:ascii="Arial" w:cs="Arial" w:eastAsia="Arial" w:hAnsi="Arial"/>
          <w:sz w:val="17"/>
          <w:szCs w:val="17"/>
          <w:color w:val="auto"/>
        </w:rPr>
      </w:pPr>
      <w:r>
        <w:rPr>
          <w:rFonts w:ascii="Arial" w:cs="Arial" w:eastAsia="Arial" w:hAnsi="Arial"/>
          <w:sz w:val="17"/>
          <w:szCs w:val="17"/>
          <w:color w:val="auto"/>
        </w:rPr>
        <w:t>an undertaking that the Company will advise the Agent if any of such representations and warranties will not be true and correct as of the Settlement Date for the Shares relating to such Issuance Notice, as though made at and as of each such date (except that such representations and warranties shall be deemed to relate to the Registration Statement and the Prospectus as amended and supplemented relating to such Shares).</w:t>
      </w:r>
    </w:p>
    <w:p>
      <w:pPr>
        <w:spacing w:after="0" w:line="172" w:lineRule="exact"/>
        <w:rPr>
          <w:rFonts w:ascii="Arial" w:cs="Arial" w:eastAsia="Arial" w:hAnsi="Arial"/>
          <w:sz w:val="17"/>
          <w:szCs w:val="17"/>
          <w:color w:val="auto"/>
        </w:rPr>
      </w:pPr>
    </w:p>
    <w:p>
      <w:pPr>
        <w:ind w:firstLine="656"/>
        <w:spacing w:after="0" w:line="277" w:lineRule="auto"/>
        <w:tabs>
          <w:tab w:leader="none" w:pos="1478" w:val="left"/>
        </w:tabs>
        <w:numPr>
          <w:ilvl w:val="1"/>
          <w:numId w:val="89"/>
        </w:numPr>
        <w:rPr>
          <w:rFonts w:ascii="Arial" w:cs="Arial" w:eastAsia="Arial" w:hAnsi="Arial"/>
          <w:sz w:val="18"/>
          <w:szCs w:val="18"/>
          <w:color w:val="auto"/>
        </w:rPr>
      </w:pPr>
      <w:r>
        <w:rPr>
          <w:rFonts w:ascii="Arial" w:cs="Arial" w:eastAsia="Arial" w:hAnsi="Arial"/>
          <w:sz w:val="18"/>
          <w:szCs w:val="18"/>
          <w:u w:val="single" w:color="auto"/>
          <w:color w:val="auto"/>
        </w:rPr>
        <w:t>Deliverables at Triggering Event Dates; Certificates</w:t>
      </w:r>
      <w:r>
        <w:rPr>
          <w:rFonts w:ascii="Arial" w:cs="Arial" w:eastAsia="Arial" w:hAnsi="Arial"/>
          <w:sz w:val="18"/>
          <w:szCs w:val="18"/>
          <w:color w:val="auto"/>
        </w:rPr>
        <w:t>. The Company agrees that on or prior to the date of the first Issuance Notice and, during the term of this Agreement after the date of the first Issuance Notice, upon: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4" w:name="page105"/>
    <w:bookmarkEnd w:id="104"/>
    <w:p>
      <w:pPr>
        <w:jc w:val="both"/>
        <w:ind w:firstLine="648"/>
        <w:spacing w:after="0" w:line="259" w:lineRule="auto"/>
        <w:rPr>
          <w:sz w:val="20"/>
          <w:szCs w:val="20"/>
          <w:color w:val="auto"/>
        </w:rPr>
      </w:pPr>
      <w:r>
        <w:rPr>
          <w:rFonts w:ascii="Arial" w:cs="Arial" w:eastAsia="Arial" w:hAnsi="Arial"/>
          <w:sz w:val="18"/>
          <w:szCs w:val="18"/>
          <w:color w:val="auto"/>
        </w:rPr>
        <w:t xml:space="preserve">(A) the filing of the Prospectus or the amendment or supplement of any Registration Statement or Prospectus (other than a prospectus supplement relating solely to an offering of securities other than the Shares or a prospectus filed pursuant to </w:t>
      </w:r>
      <w:r>
        <w:rPr>
          <w:rFonts w:ascii="Arial" w:cs="Arial" w:eastAsia="Arial" w:hAnsi="Arial"/>
          <w:sz w:val="18"/>
          <w:szCs w:val="18"/>
          <w:u w:val="single" w:color="auto"/>
          <w:color w:val="auto"/>
        </w:rPr>
        <w:t>Section 4(a)(ii)(B)</w:t>
      </w:r>
      <w:r>
        <w:rPr>
          <w:rFonts w:ascii="Arial" w:cs="Arial" w:eastAsia="Arial" w:hAnsi="Arial"/>
          <w:sz w:val="18"/>
          <w:szCs w:val="18"/>
          <w:color w:val="auto"/>
        </w:rPr>
        <w:t>), by means of a post-effective amendment, sticker or supplement, but not by means of incorporation of documents by reference into the Registration Statement or Prospectus;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 the filing with the Commission of an annual report on Form 10-K or a quarterly report on Form 10-Q (including any Form 10-K/A or Form 10-Q/A containing amended financial information or a material amendment to the previously filed annual report on Form 10-K or quarterly report on Form 10-Q), in each case, of the Company; or</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 the filing with the Commission of a current report on Form 8-K of the Company containing amended financial information (other than information “furnished” pursuant to Item 2.02 or 7.01 of Form 8-K or to provide disclosure pursuant to Item 8.01 of Form 8-K relating to reclassification of certain properties as discontinued operations in accordance with Statement of Financial Accounting Standards No. 144) that is material to the offering of securities of the Company in the Agent’s reasonable discretion;</w:t>
      </w:r>
    </w:p>
    <w:p>
      <w:pPr>
        <w:spacing w:after="0" w:line="18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(any such event, a “</w:t>
      </w:r>
      <w:r>
        <w:rPr>
          <w:rFonts w:ascii="Arial" w:cs="Arial" w:eastAsia="Arial" w:hAnsi="Arial"/>
          <w:sz w:val="17"/>
          <w:szCs w:val="17"/>
          <w:b w:val="1"/>
          <w:bCs w:val="1"/>
          <w:color w:val="auto"/>
        </w:rPr>
        <w:t>Triggering Event Date</w:t>
      </w:r>
      <w:r>
        <w:rPr>
          <w:rFonts w:ascii="Arial" w:cs="Arial" w:eastAsia="Arial" w:hAnsi="Arial"/>
          <w:sz w:val="17"/>
          <w:szCs w:val="17"/>
          <w:color w:val="auto"/>
        </w:rPr>
        <w:t xml:space="preserve">”), the Company shall furnish the Agent (but in the case of clause (C) above only if the Agent reasonably determines that the information contained in such current report on Form 8-K of the Company is material) with a certificate as of the Triggering Event Date, in the form and substance satisfactory to the Agent and its counsel, substantially similar to the form previously provided to the Agent and its counsel, modified, as necessary, to relate to the Registration Statement and the Prospectus as amended or supplemented, (A) confirming that the representations and warranties of the Company contained in this Agreement are true and correct, (B) confirming that the Company has performed all of its obligations hereunder to be performed on or prior to the date of such certificate and as to the matters set forth in </w:t>
      </w:r>
      <w:r>
        <w:rPr>
          <w:rFonts w:ascii="Arial" w:cs="Arial" w:eastAsia="Arial" w:hAnsi="Arial"/>
          <w:sz w:val="17"/>
          <w:szCs w:val="17"/>
          <w:u w:val="single" w:color="auto"/>
          <w:color w:val="auto"/>
        </w:rPr>
        <w:t>Section 5(a)(iii)</w:t>
      </w:r>
      <w:r>
        <w:rPr>
          <w:rFonts w:ascii="Arial" w:cs="Arial" w:eastAsia="Arial" w:hAnsi="Arial"/>
          <w:sz w:val="17"/>
          <w:szCs w:val="17"/>
          <w:color w:val="auto"/>
        </w:rPr>
        <w:t xml:space="preserve"> hereof, and (C) containing any other certification that the Agent shall reasonably request. The requirement to provide a certificate under this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shall be automatically waived for any Triggering Event Date occurring at a time when no Issuance Notice is pending or a suspension is in effect, which automatic waiver shall continue until the Company delivers instructions for the sale of Shares hereunder (which for such calendar quarter shall be considered a Triggering Event Date). Notwithstanding the foregoing, if the Company subsequently decides to sell Shares following a Triggering Event Date when a suspension was in effect and did not provide the Agent with a certificate under this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then before the Company delivers the instructions for the sale of Shares or the Agent sells any Shares pursuant to such instructions, the Company shall provide the Agent with a certificate in conformity with this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dated as of the date that the instructions for the sale of Shares are issued.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5" w:name="page106"/>
    <w:bookmarkEnd w:id="105"/>
    <w:p>
      <w:pPr>
        <w:jc w:val="both"/>
        <w:ind w:firstLine="656"/>
        <w:spacing w:after="0" w:line="287" w:lineRule="auto"/>
        <w:tabs>
          <w:tab w:leader="none" w:pos="1393"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Legal Opinions</w:t>
      </w:r>
      <w:r>
        <w:rPr>
          <w:rFonts w:ascii="Arial" w:cs="Arial" w:eastAsia="Arial" w:hAnsi="Arial"/>
          <w:sz w:val="16"/>
          <w:szCs w:val="16"/>
          <w:color w:val="auto"/>
        </w:rPr>
        <w:t xml:space="preserve">. On or prior to the date of the first Issuance Notice and on or prior to each Triggering Event Date with respect to which the Company is obligated to deliver a certificate pursuant to </w:t>
      </w:r>
      <w:r>
        <w:rPr>
          <w:rFonts w:ascii="Arial" w:cs="Arial" w:eastAsia="Arial" w:hAnsi="Arial"/>
          <w:sz w:val="16"/>
          <w:szCs w:val="16"/>
          <w:u w:val="single" w:color="auto"/>
          <w:color w:val="auto"/>
        </w:rPr>
        <w:t>Section 4(o)</w:t>
      </w:r>
      <w:r>
        <w:rPr>
          <w:rFonts w:ascii="Arial" w:cs="Arial" w:eastAsia="Arial" w:hAnsi="Arial"/>
          <w:sz w:val="16"/>
          <w:szCs w:val="16"/>
          <w:color w:val="auto"/>
        </w:rPr>
        <w:t xml:space="preserve"> for which no waiver is applicable and excluding the date of this Agreement, the Company shall cause to be furnished, at the request of the Agent, a negative assurances letter and the written legal opinion of Latham &amp; Watkins LLP, U.S. counsel to the Company, and written legal opinions from Latham &amp; Watkins (London) LLP, UK counsel for the Company, and J A Kemp, intellectual property counsel to the Company, each dated the date of delivery, in form and substance reasonably satisfactory to Agent and its counsel, substantially similar to the form previously provided to the Agent and its counsel, modified, as necessary, to relate to the Registration Statement and the Prospectus as then amended or supplemented;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be required to furnish no more than one legal opinion and negative assurance letter hereunder per each filing of an annual report on Form 10-K or a quarterly report on Form 10-Q. In lieu of such opinions for subsequent periodic filings, in the discretion of the Agent, the Company may furnish a reliance letter from such counsel to the Agent, permitting the Agent to rely on a previously delivered opinion letter, modified as appropriate for any passage of time or Triggering Event Date (except that statements in such prior opinion shall be deemed to relate to the Registration Statement and the Prospectus as amended or supplemented as of such Triggering Event Date).</w:t>
      </w:r>
    </w:p>
    <w:p>
      <w:pPr>
        <w:spacing w:after="0" w:line="171" w:lineRule="exact"/>
        <w:rPr>
          <w:rFonts w:ascii="Arial" w:cs="Arial" w:eastAsia="Arial" w:hAnsi="Arial"/>
          <w:sz w:val="16"/>
          <w:szCs w:val="16"/>
          <w:color w:val="auto"/>
        </w:rPr>
      </w:pPr>
    </w:p>
    <w:p>
      <w:pPr>
        <w:jc w:val="both"/>
        <w:ind w:firstLine="656"/>
        <w:spacing w:after="0" w:line="269" w:lineRule="auto"/>
        <w:tabs>
          <w:tab w:leader="none" w:pos="1406"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Comfort Letter</w:t>
      </w:r>
      <w:r>
        <w:rPr>
          <w:rFonts w:ascii="Arial" w:cs="Arial" w:eastAsia="Arial" w:hAnsi="Arial"/>
          <w:sz w:val="17"/>
          <w:szCs w:val="17"/>
          <w:color w:val="auto"/>
        </w:rPr>
        <w:t xml:space="preserve">. On or prior to the date of the first Issuance Notice and on or prior to each Triggering Event Date with respect to which the Company is obligated to deliver a certificate pursuant to </w:t>
      </w:r>
      <w:r>
        <w:rPr>
          <w:rFonts w:ascii="Arial" w:cs="Arial" w:eastAsia="Arial" w:hAnsi="Arial"/>
          <w:sz w:val="17"/>
          <w:szCs w:val="17"/>
          <w:u w:val="single" w:color="auto"/>
          <w:color w:val="auto"/>
        </w:rPr>
        <w:t>Section 4(o)</w:t>
      </w:r>
      <w:r>
        <w:rPr>
          <w:rFonts w:ascii="Arial" w:cs="Arial" w:eastAsia="Arial" w:hAnsi="Arial"/>
          <w:sz w:val="17"/>
          <w:szCs w:val="17"/>
          <w:color w:val="auto"/>
        </w:rPr>
        <w:t xml:space="preserve"> for which no waiver is applicable and excluding the date of this Agreement, the Company shall cause PricewaterhouseCoopers LLP, the independent registered public accounting firm who has audited the financial statements included or incorporated by reference in the Registration Statement, to furnish the Agent a comfort letter, dated the date of delivery, in form and substance reasonably satisfactory to the Agent and its counsel, substantially similar to the form previously provided to the Agent and its counsel; provided, however, that any such comfort letter will only be required on the Triggering Event Date specified to the extent that it contains financial statements filed with the Commission under the Exchange Act and incorporated or deemed to be incorporated by reference into a Prospectus. If requested by the Agent, the Company shall also cause a comfort letter to be furnished to the Agent within ten (10) Trading Days of the date of occurrence of any material transaction or event requiring the filing of a current report on Form 8-K containing material amended financial information of the Company, including the restatement of the Company’s financial statements. The Company shall be required to furnish no more than one comfort letter hereunder per each filing of an annual report on Form 10-K or a quarterly report on Form 10-Q.</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6" w:name="page107"/>
    <w:bookmarkEnd w:id="106"/>
    <w:p>
      <w:pPr>
        <w:jc w:val="both"/>
        <w:ind w:firstLine="656"/>
        <w:spacing w:after="0" w:line="254" w:lineRule="auto"/>
        <w:tabs>
          <w:tab w:leader="none" w:pos="1601"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Secretary’s Certificate</w:t>
      </w:r>
      <w:r>
        <w:rPr>
          <w:rFonts w:ascii="Arial" w:cs="Arial" w:eastAsia="Arial" w:hAnsi="Arial"/>
          <w:sz w:val="18"/>
          <w:szCs w:val="18"/>
          <w:color w:val="auto"/>
        </w:rPr>
        <w:t>. On or prior to the date of the first Issuance Notice and on or prior to each Triggering Event Date with respect to which the Company is obligated to deliver a certificate pursuant to Section 4(o), the Company shall furnish the Agent a certificate executed by the Secretary of the Company, signing in such capacity, dated the date of delivery (i) certifying that attached thereto are true and complete copies of the resolutions duly adopted by the Board of Directors of the Company authorizing the execution and delivery of this Agreement and the consummation of the transactions contemplated hereby (including, without limitation, the issuance of the Shares pursuant to this Agreement), which authorization shall be in full force and effect on and as of the date of such certificate, (ii) certifying and attesting to the office, incumbency, due authority and specimen signatures of each Person who executed this Agreement for or on behalf of the Company, and (iii) containing any other certification that the Agent shall reasonably request.</w:t>
      </w:r>
    </w:p>
    <w:p>
      <w:pPr>
        <w:spacing w:after="0" w:line="191" w:lineRule="exact"/>
        <w:rPr>
          <w:rFonts w:ascii="Arial" w:cs="Arial" w:eastAsia="Arial" w:hAnsi="Arial"/>
          <w:sz w:val="18"/>
          <w:szCs w:val="18"/>
          <w:color w:val="auto"/>
        </w:rPr>
      </w:pPr>
    </w:p>
    <w:p>
      <w:pPr>
        <w:ind w:firstLine="656"/>
        <w:spacing w:after="0" w:line="308" w:lineRule="auto"/>
        <w:tabs>
          <w:tab w:leader="none" w:pos="1760"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Agent’s Own Account; Clients’ Account</w:t>
      </w:r>
      <w:r>
        <w:rPr>
          <w:rFonts w:ascii="Arial" w:cs="Arial" w:eastAsia="Arial" w:hAnsi="Arial"/>
          <w:sz w:val="17"/>
          <w:szCs w:val="17"/>
          <w:color w:val="auto"/>
        </w:rPr>
        <w:t>. The Company consents to the Agent trading, in compliance with applicable law, in the ADSs for the Agent’s own account and for the account of its clients at the same time as sales of the Shares occur pursuant to this Agreement.</w:t>
      </w:r>
    </w:p>
    <w:p>
      <w:pPr>
        <w:spacing w:after="0" w:line="146" w:lineRule="exact"/>
        <w:rPr>
          <w:rFonts w:ascii="Arial" w:cs="Arial" w:eastAsia="Arial" w:hAnsi="Arial"/>
          <w:sz w:val="17"/>
          <w:szCs w:val="17"/>
          <w:color w:val="auto"/>
        </w:rPr>
      </w:pPr>
    </w:p>
    <w:p>
      <w:pPr>
        <w:jc w:val="both"/>
        <w:ind w:right="20" w:firstLine="656"/>
        <w:spacing w:after="0" w:line="342" w:lineRule="auto"/>
        <w:tabs>
          <w:tab w:leader="none" w:pos="1717"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Investment Limitation</w:t>
      </w:r>
      <w:r>
        <w:rPr>
          <w:rFonts w:ascii="Arial" w:cs="Arial" w:eastAsia="Arial" w:hAnsi="Arial"/>
          <w:sz w:val="16"/>
          <w:szCs w:val="16"/>
          <w:color w:val="auto"/>
        </w:rPr>
        <w:t>. The Company shall not invest, or otherwise use the proceeds received by the Company from its sale of the Shares in such a manner as would require the Company or any of its subsidiaries to register as an investment company under the Investment Company Act.</w:t>
      </w:r>
    </w:p>
    <w:p>
      <w:pPr>
        <w:spacing w:after="0" w:line="123" w:lineRule="exact"/>
        <w:rPr>
          <w:rFonts w:ascii="Arial" w:cs="Arial" w:eastAsia="Arial" w:hAnsi="Arial"/>
          <w:sz w:val="16"/>
          <w:szCs w:val="16"/>
          <w:color w:val="auto"/>
        </w:rPr>
      </w:pPr>
    </w:p>
    <w:p>
      <w:pPr>
        <w:jc w:val="both"/>
        <w:ind w:firstLine="656"/>
        <w:spacing w:after="0" w:line="271" w:lineRule="auto"/>
        <w:tabs>
          <w:tab w:leader="none" w:pos="1627"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Market Activities</w:t>
      </w:r>
      <w:r>
        <w:rPr>
          <w:rFonts w:ascii="Arial" w:cs="Arial" w:eastAsia="Arial" w:hAnsi="Arial"/>
          <w:sz w:val="17"/>
          <w:szCs w:val="17"/>
          <w:color w:val="auto"/>
        </w:rPr>
        <w:t>. The Company will not take, directly or indirectly, any action designed to or that might be reasonably expected to cause or result in stabilization or manipulation of the price of the Shares or any other reference security, whether to facilitate the sale or resale of the Shares or otherwise, and the Company will, and shall use commercially reasonable efforts to cause each of its affiliates to, comply with all applicable provisions of Regulation M. If the limitations of Rule 102 of Regulation M (“</w:t>
      </w:r>
      <w:r>
        <w:rPr>
          <w:rFonts w:ascii="Arial" w:cs="Arial" w:eastAsia="Arial" w:hAnsi="Arial"/>
          <w:sz w:val="17"/>
          <w:szCs w:val="17"/>
          <w:b w:val="1"/>
          <w:bCs w:val="1"/>
          <w:color w:val="auto"/>
        </w:rPr>
        <w:t>Rule 102</w:t>
      </w:r>
      <w:r>
        <w:rPr>
          <w:rFonts w:ascii="Arial" w:cs="Arial" w:eastAsia="Arial" w:hAnsi="Arial"/>
          <w:sz w:val="17"/>
          <w:szCs w:val="17"/>
          <w:color w:val="auto"/>
        </w:rPr>
        <w:t>”) do not apply with respect to the Shares or any other reference security pursuant to any exception set forth in Section (d) of Rule 102, then promptly upon notice from the Agent (or, if later, at the time stated in the notice), the Company will, and shall use commercially reasonable efforts to cause each of its affiliates to, comply with Rule 102 as though such exception were not available but the other provisions of Rule 102 (as interpreted by the Commission) did apply. The Company shall promptly notify the Agent if it no longer meets the requirements set forth in Section (d) of Rule 102.</w:t>
      </w:r>
    </w:p>
    <w:p>
      <w:pPr>
        <w:spacing w:after="0" w:line="178" w:lineRule="exact"/>
        <w:rPr>
          <w:sz w:val="20"/>
          <w:szCs w:val="20"/>
          <w:color w:val="auto"/>
        </w:rPr>
      </w:pPr>
    </w:p>
    <w:p>
      <w:pPr>
        <w:jc w:val="both"/>
        <w:ind w:firstLine="656"/>
        <w:spacing w:after="0" w:line="283" w:lineRule="auto"/>
        <w:tabs>
          <w:tab w:leader="none" w:pos="1546" w:val="left"/>
        </w:tabs>
        <w:numPr>
          <w:ilvl w:val="1"/>
          <w:numId w:val="92"/>
        </w:numPr>
        <w:rPr>
          <w:rFonts w:ascii="Arial" w:cs="Arial" w:eastAsia="Arial" w:hAnsi="Arial"/>
          <w:sz w:val="16"/>
          <w:szCs w:val="16"/>
          <w:b w:val="1"/>
          <w:bCs w:val="1"/>
          <w:color w:val="auto"/>
        </w:rPr>
      </w:pPr>
      <w:r>
        <w:rPr>
          <w:rFonts w:ascii="Arial" w:cs="Arial" w:eastAsia="Arial" w:hAnsi="Arial"/>
          <w:sz w:val="16"/>
          <w:szCs w:val="16"/>
          <w:u w:val="single" w:color="auto"/>
          <w:color w:val="auto"/>
        </w:rPr>
        <w:t>Notice of Other Sale</w:t>
      </w:r>
      <w:r>
        <w:rPr>
          <w:rFonts w:ascii="Arial" w:cs="Arial" w:eastAsia="Arial" w:hAnsi="Arial"/>
          <w:sz w:val="16"/>
          <w:szCs w:val="16"/>
          <w:color w:val="auto"/>
        </w:rPr>
        <w:t>. Without the written consent of the Agent, the Company will not, directly or indirectly, offer to sell, sell, contract to sell, grant any option to sell or otherwise dispose of any Ordinary Shares or securities convertible into or exchangeable for Ordinary Shares (other than Shares hereunder), warrants or any rights to purchase or acquire Ordinary Shares, or effect a reverse share split, recapitalization, share consolidation, reclassification or similar transaction affecting the outstanding Ordinary Shares, during the period beginning on the third Trading Day immediately prior to the date on which any Issuance Notice is delivered to the Agent hereunder and ending on the third Trading Day immediately following the Settlement Date with respect to Shares sold pursuant to such Issuance Notice; and will not directly or indirectly enter into any other “at the market” or continuous equity transaction offer to sell, sell, contract to sell, grant any option to sell or otherwise dispose of any Ordinary Shares (other than the Shares offered pursuant to this Agreement) or securities convertible into or exchangeable for Ordinary Shares, warrants or any rights to purchase or acquire, Ordinary Shares prior to the termination of this Agreement; provided, however, that such restrictions will not be required in connection with the Company’s (i) issuance or sale of Ordinary Shares or ADSs, options to purchase Ordinary Shares or ADSs or Ordinary Shares or ADSs issuable upon the exercise of options or other equity awards pursuant to any employee or director share option, incentive or benefit plan, share purchase or ownership plan, long-term incentive plan, dividend reinvestment plan, inducement award under Nasdaq rules or other compensation plan of the Company or its subsidiaries, whether now in effect or hereafter implemented, (ii) issuance or sale of Ordinary Shares or ADSs issuable upon exchange, conversion or redemption of securities or the exercise or vesting of warrants, options or other equity awards outstanding at the date of this Agreement or disclosed in filings by the Company available on EDGAR or otherwise in writing to the Agent, (iii) modification of any outstanding options, warrants of any rights to purchase or acquire Ordinary Shares or ADSs, and</w:t>
      </w:r>
    </w:p>
    <w:p>
      <w:pPr>
        <w:jc w:val="both"/>
        <w:ind w:firstLine="8"/>
        <w:spacing w:after="0" w:line="253" w:lineRule="auto"/>
        <w:tabs>
          <w:tab w:leader="none" w:pos="323" w:val="left"/>
        </w:tabs>
        <w:numPr>
          <w:ilvl w:val="0"/>
          <w:numId w:val="93"/>
        </w:numPr>
        <w:rPr>
          <w:rFonts w:ascii="Arial" w:cs="Arial" w:eastAsia="Arial" w:hAnsi="Arial"/>
          <w:sz w:val="18"/>
          <w:szCs w:val="18"/>
          <w:color w:val="auto"/>
        </w:rPr>
      </w:pPr>
      <w:r>
        <w:rPr>
          <w:rFonts w:ascii="Arial" w:cs="Arial" w:eastAsia="Arial" w:hAnsi="Arial"/>
          <w:sz w:val="18"/>
          <w:szCs w:val="18"/>
          <w:color w:val="auto"/>
        </w:rPr>
        <w:t>Ordinary Shares or ADSs issued in connection with any joint venture, commercial or collaborative relationship or the acquisition or license by the Company of the securities, businesses, property or other assets of another person or entity or pursuant to any employee benefit plan as assumed by the Company in connection with any such acquisition, provided that the aggregate number of Ordinary Shares or Ordinary Shares underlying ADSs issued or sold under this subsection (iv) shall not exceed 5% of the number of Ordinary Shares outstanding immediately prior to giving effect to such sale of issuance.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07" w:name="page108"/>
    <w:bookmarkEnd w:id="107"/>
    <w:p>
      <w:pPr>
        <w:ind w:left="660"/>
        <w:spacing w:after="0"/>
        <w:tabs>
          <w:tab w:leader="none" w:pos="206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8"/>
          <w:szCs w:val="18"/>
          <w:b w:val="1"/>
          <w:bCs w:val="1"/>
          <w:color w:val="auto"/>
        </w:rPr>
        <w:t>CONDITIONS TO DELIVERY OF ISSUANCE NOTICES AND TO SETTLEMENT</w:t>
      </w:r>
    </w:p>
    <w:p>
      <w:pPr>
        <w:spacing w:after="0" w:line="229" w:lineRule="exact"/>
        <w:rPr>
          <w:sz w:val="20"/>
          <w:szCs w:val="20"/>
          <w:color w:val="auto"/>
        </w:rPr>
      </w:pPr>
    </w:p>
    <w:p>
      <w:pPr>
        <w:jc w:val="both"/>
        <w:ind w:firstLine="656"/>
        <w:spacing w:after="0" w:line="279" w:lineRule="auto"/>
        <w:tabs>
          <w:tab w:leader="none" w:pos="1576"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Conditions Precedent to the Right of the Company to Deliver an Issuance Notice and the Obligation of the Agent to Sell Shares</w:t>
      </w:r>
      <w:r>
        <w:rPr>
          <w:rFonts w:ascii="Arial" w:cs="Arial" w:eastAsia="Arial" w:hAnsi="Arial"/>
          <w:sz w:val="17"/>
          <w:szCs w:val="17"/>
          <w:color w:val="auto"/>
        </w:rPr>
        <w:t>. The right of the Company to deliver an Issuance Notice hereunder is subject to the satisfaction, on the date of delivery of such Issuance Notice, and the obligation of the Agent to use its commercially reasonable efforts to place Shares during the applicable period set forth in the Issuance Notice is subject to the satisfaction, on each Trading Day during the applicable period set forth in the Issuance Notice, of each of the following conditions:</w:t>
      </w:r>
    </w:p>
    <w:p>
      <w:pPr>
        <w:spacing w:after="0" w:line="171" w:lineRule="exact"/>
        <w:rPr>
          <w:sz w:val="20"/>
          <w:szCs w:val="20"/>
          <w:color w:val="auto"/>
        </w:rPr>
      </w:pPr>
    </w:p>
    <w:p>
      <w:pPr>
        <w:ind w:left="660"/>
        <w:spacing w:after="0"/>
        <w:tabs>
          <w:tab w:leader="none" w:pos="2720" w:val="left"/>
        </w:tabs>
        <w:rPr>
          <w:sz w:val="20"/>
          <w:szCs w:val="20"/>
          <w:color w:val="auto"/>
        </w:rPr>
      </w:pPr>
      <w:r>
        <w:rPr>
          <w:rFonts w:ascii="Arial" w:cs="Arial" w:eastAsia="Arial" w:hAnsi="Arial"/>
          <w:sz w:val="16"/>
          <w:szCs w:val="16"/>
          <w:color w:val="auto"/>
        </w:rPr>
        <w:t>(i)</w:t>
      </w:r>
      <w:r>
        <w:rPr>
          <w:sz w:val="20"/>
          <w:szCs w:val="20"/>
          <w:color w:val="auto"/>
        </w:rPr>
        <w:tab/>
      </w:r>
      <w:r>
        <w:rPr>
          <w:rFonts w:ascii="Arial" w:cs="Arial" w:eastAsia="Arial" w:hAnsi="Arial"/>
          <w:sz w:val="16"/>
          <w:szCs w:val="16"/>
          <w:u w:val="single" w:color="auto"/>
          <w:color w:val="auto"/>
        </w:rPr>
        <w:t>Accuracy of the Company’s Representations and Warranties; Performance by the Company</w:t>
      </w:r>
      <w:r>
        <w:rPr>
          <w:rFonts w:ascii="Arial" w:cs="Arial" w:eastAsia="Arial" w:hAnsi="Arial"/>
          <w:sz w:val="16"/>
          <w:szCs w:val="16"/>
          <w:color w:val="auto"/>
        </w:rPr>
        <w:t>. The Company shall have</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delivered the certificate required to be delivered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on or before the date on which delivery of such certificate is required pursuant to </w:t>
      </w:r>
      <w:r>
        <w:rPr>
          <w:rFonts w:ascii="Arial" w:cs="Arial" w:eastAsia="Arial" w:hAnsi="Arial"/>
          <w:sz w:val="18"/>
          <w:szCs w:val="18"/>
          <w:u w:val="single" w:color="auto"/>
          <w:color w:val="auto"/>
        </w:rPr>
        <w:t>Section 4(o)</w:t>
      </w:r>
      <w:r>
        <w:rPr>
          <w:rFonts w:ascii="Arial" w:cs="Arial" w:eastAsia="Arial" w:hAnsi="Arial"/>
          <w:sz w:val="18"/>
          <w:szCs w:val="18"/>
          <w:color w:val="auto"/>
        </w:rPr>
        <w:t xml:space="preserve">. The Company shall have performed, satisfied and complied with all covenants, agreements and conditions required by this Agreement to be performed, satisfied or complied with by the Company at or prior to such date, including, but not limited to, the covenants contained in </w:t>
      </w:r>
      <w:r>
        <w:rPr>
          <w:rFonts w:ascii="Arial" w:cs="Arial" w:eastAsia="Arial" w:hAnsi="Arial"/>
          <w:sz w:val="18"/>
          <w:szCs w:val="18"/>
          <w:u w:val="single" w:color="auto"/>
          <w:color w:val="auto"/>
        </w:rPr>
        <w:t>Section 4(p)</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4(q)</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4(r)</w:t>
      </w:r>
      <w:r>
        <w:rPr>
          <w:rFonts w:ascii="Arial" w:cs="Arial" w:eastAsia="Arial" w:hAnsi="Arial"/>
          <w:sz w:val="18"/>
          <w:szCs w:val="18"/>
          <w:color w:val="auto"/>
        </w:rPr>
        <w:t>.</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(ii) </w:t>
      </w:r>
      <w:r>
        <w:rPr>
          <w:rFonts w:ascii="Arial" w:cs="Arial" w:eastAsia="Arial" w:hAnsi="Arial"/>
          <w:sz w:val="18"/>
          <w:szCs w:val="18"/>
          <w:u w:val="single" w:color="auto"/>
          <w:color w:val="auto"/>
        </w:rPr>
        <w:t>No Injunction</w:t>
      </w:r>
      <w:r>
        <w:rPr>
          <w:rFonts w:ascii="Arial" w:cs="Arial" w:eastAsia="Arial" w:hAnsi="Arial"/>
          <w:sz w:val="18"/>
          <w:szCs w:val="18"/>
          <w:color w:val="auto"/>
        </w:rPr>
        <w:t>. No statute, rule, regulation, executive order, decree, ruling or injunction shall have been enacted, entered, promulgated or endorsed by any court or governmental authority of competent jurisdiction or any self-regulatory organization having authority over the matters contemplated hereby that prohibits or directly and materially adversely affects any of the transactions contemplated by this Agreement, and no proceeding shall have been commenced that may have the effect of prohibiting or materially adversely affecting any of the transactions contemplated by this Agreement.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ind w:firstLine="648"/>
        <w:spacing w:after="0" w:line="255" w:lineRule="auto"/>
        <w:rPr>
          <w:sz w:val="20"/>
          <w:szCs w:val="20"/>
          <w:color w:val="auto"/>
        </w:rPr>
      </w:pPr>
      <w:r>
        <w:rPr>
          <w:rFonts w:ascii="Arial" w:cs="Arial" w:eastAsia="Arial" w:hAnsi="Arial"/>
          <w:sz w:val="18"/>
          <w:szCs w:val="18"/>
          <w:color w:val="auto"/>
        </w:rPr>
        <w:t xml:space="preserve">(iii) </w:t>
      </w:r>
      <w:r>
        <w:rPr>
          <w:rFonts w:ascii="Arial" w:cs="Arial" w:eastAsia="Arial" w:hAnsi="Arial"/>
          <w:sz w:val="18"/>
          <w:szCs w:val="18"/>
          <w:u w:val="single" w:color="auto"/>
          <w:color w:val="auto"/>
        </w:rPr>
        <w:t>Material Adverse Changes</w:t>
      </w:r>
      <w:r>
        <w:rPr>
          <w:rFonts w:ascii="Arial" w:cs="Arial" w:eastAsia="Arial" w:hAnsi="Arial"/>
          <w:sz w:val="18"/>
          <w:szCs w:val="18"/>
          <w:color w:val="auto"/>
        </w:rPr>
        <w:t>. Except as disclosed in the Prospectus and the Time of Sale Information, (a) in the judgment of the Agent there shall not have occurred any Material Adverse Change that makes it impractical and inadvisable to market the Shares on the terms and in the manner contemplated in the Prospectus; and (b) there shall not have occurred any downgrading, nor shall any notice have been given of any intended or potential downgrading or of any review for a possible change that does not indicate the direction of the possible change, in the rating accorded any securities of the Company or any of its subsidiaries by any “nationally recognized statistical rating organization” as such term is defined for purposes of Section 3(a)(62) of the Exchange Act.</w:t>
      </w:r>
    </w:p>
    <w:p>
      <w:pPr>
        <w:spacing w:after="0" w:line="192" w:lineRule="exact"/>
        <w:rPr>
          <w:sz w:val="20"/>
          <w:szCs w:val="20"/>
          <w:color w:val="auto"/>
        </w:rPr>
      </w:pPr>
    </w:p>
    <w:p>
      <w:pPr>
        <w:ind w:left="660"/>
        <w:spacing w:after="0"/>
        <w:tabs>
          <w:tab w:leader="none" w:pos="3060" w:val="left"/>
        </w:tabs>
        <w:rPr>
          <w:sz w:val="20"/>
          <w:szCs w:val="20"/>
          <w:color w:val="auto"/>
        </w:rPr>
      </w:pPr>
      <w:r>
        <w:rPr>
          <w:rFonts w:ascii="Arial" w:cs="Arial" w:eastAsia="Arial" w:hAnsi="Arial"/>
          <w:sz w:val="17"/>
          <w:szCs w:val="17"/>
          <w:color w:val="auto"/>
        </w:rPr>
        <w:t>(iv)</w:t>
      </w:r>
      <w:r>
        <w:rPr>
          <w:sz w:val="20"/>
          <w:szCs w:val="20"/>
          <w:color w:val="auto"/>
        </w:rPr>
        <w:tab/>
      </w:r>
      <w:r>
        <w:rPr>
          <w:rFonts w:ascii="Arial" w:cs="Arial" w:eastAsia="Arial" w:hAnsi="Arial"/>
          <w:sz w:val="17"/>
          <w:szCs w:val="17"/>
          <w:u w:val="single" w:color="auto"/>
          <w:color w:val="auto"/>
        </w:rPr>
        <w:t>No Suspension of Trading in or Delisting of ADSs; Other Events</w:t>
      </w:r>
      <w:r>
        <w:rPr>
          <w:rFonts w:ascii="Arial" w:cs="Arial" w:eastAsia="Arial" w:hAnsi="Arial"/>
          <w:sz w:val="17"/>
          <w:szCs w:val="17"/>
          <w:color w:val="auto"/>
        </w:rPr>
        <w:t>. The trading of the ADSs (including without</w:t>
      </w:r>
    </w:p>
    <w:p>
      <w:pPr>
        <w:spacing w:after="0" w:line="3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limitation the Shares) shall not have been suspended by the Commission, the Principal Market or FINRA and the ADSs (including without limitation the Shares) shall have been approved for listing or quotation on and shall not have been delisted from the Nasdaq Stock Market, the New York Stock Exchange or any of their constituent markets. There shall not have occurred (and be continuing in the case of occurrences under clauses (i) and (ii) below) any of the following: (i) trading or quotation in any of the Company’s securities shall have been suspended or limited by the Commission or by the Principal Market or trading in securities generally on either the Principal Market shall have been suspended or limited, or minimum or maximum prices shall have been generally established on any of such stock exchanges by the Commission or the FINRA; (ii) a general banking moratorium shall have been declared by any of federal or New York, authorities; or (iii) there shall have occurred any outbreak or escalation of national or international hostilities or any crisis or calamity, or any change in the United States or international financial markets, or any substantial change or development involving a prospective substantial change in United States’ or international political, financial or economic conditions, as in the judgment of the Agent is material and adverse and makes it impracticable and inadvisable to market the Shares in the manner and on the terms described in the Prospectus or to enforce contracts for the sale of securities.</w:t>
      </w:r>
    </w:p>
    <w:p>
      <w:pPr>
        <w:spacing w:after="0" w:line="186" w:lineRule="exact"/>
        <w:rPr>
          <w:sz w:val="20"/>
          <w:szCs w:val="20"/>
          <w:color w:val="auto"/>
        </w:rPr>
      </w:pPr>
    </w:p>
    <w:p>
      <w:pPr>
        <w:jc w:val="both"/>
        <w:ind w:firstLine="656"/>
        <w:spacing w:after="0" w:line="257" w:lineRule="auto"/>
        <w:tabs>
          <w:tab w:leader="none" w:pos="1546"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Documents Required to be Delivered on each Issuance Notice Date</w:t>
      </w:r>
      <w:r>
        <w:rPr>
          <w:rFonts w:ascii="Arial" w:cs="Arial" w:eastAsia="Arial" w:hAnsi="Arial"/>
          <w:sz w:val="18"/>
          <w:szCs w:val="18"/>
          <w:color w:val="auto"/>
        </w:rPr>
        <w:t>. The Agent’s obligation to use its commercially reasonable efforts to place Shares hereunder shall additionally be conditioned upon the delivery to the Agent on or before the Issuance Notice Date of a certificate in form and substance reasonably satisfactory to the Agent, executed by the Chief Executive Officer, President or Chief Financial Officer of the Company, to the effect that all conditions to the delivery of such Issuance Notice shall have been satisfied as at the date of such certificate (which certificate shall not be required if the foregoing representations shall be set forth in the Issuance Notice).</w:t>
      </w:r>
    </w:p>
    <w:p>
      <w:pPr>
        <w:spacing w:after="0" w:line="187" w:lineRule="exact"/>
        <w:rPr>
          <w:rFonts w:ascii="Arial" w:cs="Arial" w:eastAsia="Arial" w:hAnsi="Arial"/>
          <w:sz w:val="18"/>
          <w:szCs w:val="18"/>
          <w:color w:val="auto"/>
        </w:rPr>
      </w:pPr>
    </w:p>
    <w:p>
      <w:pPr>
        <w:jc w:val="both"/>
        <w:ind w:firstLine="656"/>
        <w:spacing w:after="0" w:line="259" w:lineRule="auto"/>
        <w:tabs>
          <w:tab w:leader="none" w:pos="1563"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No Misstatement or Material Omission</w:t>
      </w:r>
      <w:r>
        <w:rPr>
          <w:rFonts w:ascii="Arial" w:cs="Arial" w:eastAsia="Arial" w:hAnsi="Arial"/>
          <w:sz w:val="18"/>
          <w:szCs w:val="18"/>
          <w:color w:val="auto"/>
        </w:rPr>
        <w:t>. Agent shall not have advised the Company that the Registration Statement, the Prospectus or the Time of Sale Information, or any amendment or supplement thereto, contains an untrue statement of fact that in the Agent’s reasonable opinion is material, or omits to state a fact that in the Agent’s reasonable opinion is material and is required to be stated therein or is necessary to make the statements therein not misleading.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9" w:name="page110"/>
    <w:bookmarkEnd w:id="109"/>
    <w:p>
      <w:pPr>
        <w:jc w:val="both"/>
        <w:ind w:firstLine="656"/>
        <w:spacing w:after="0" w:line="311" w:lineRule="auto"/>
        <w:tabs>
          <w:tab w:leader="none" w:pos="1546"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Agent Counsel Legal Opinion</w:t>
      </w:r>
      <w:r>
        <w:rPr>
          <w:rFonts w:ascii="Arial" w:cs="Arial" w:eastAsia="Arial" w:hAnsi="Arial"/>
          <w:sz w:val="16"/>
          <w:szCs w:val="16"/>
          <w:color w:val="auto"/>
        </w:rPr>
        <w:t xml:space="preserve">. Agent shall have received from Cooley LLP, counsel for Agent, such opinion or opinions, on or before the date on which the delivery of the Company counsel legal opinion is required pursuant to </w:t>
      </w:r>
      <w:r>
        <w:rPr>
          <w:rFonts w:ascii="Arial" w:cs="Arial" w:eastAsia="Arial" w:hAnsi="Arial"/>
          <w:sz w:val="16"/>
          <w:szCs w:val="16"/>
          <w:u w:val="single" w:color="auto"/>
          <w:color w:val="auto"/>
        </w:rPr>
        <w:t>Section 4(p)</w:t>
      </w:r>
      <w:r>
        <w:rPr>
          <w:rFonts w:ascii="Arial" w:cs="Arial" w:eastAsia="Arial" w:hAnsi="Arial"/>
          <w:sz w:val="16"/>
          <w:szCs w:val="16"/>
          <w:color w:val="auto"/>
        </w:rPr>
        <w:t>, with respect to such matters as Agent may reasonably require, and the Company shall have furnished to such counsel such documents as they request for enabling them to pass upon such matters.</w:t>
      </w:r>
    </w:p>
    <w:p>
      <w:pPr>
        <w:spacing w:after="0" w:line="148" w:lineRule="exact"/>
        <w:rPr>
          <w:rFonts w:ascii="Arial" w:cs="Arial" w:eastAsia="Arial" w:hAnsi="Arial"/>
          <w:sz w:val="16"/>
          <w:szCs w:val="16"/>
          <w:color w:val="auto"/>
        </w:rPr>
      </w:pPr>
    </w:p>
    <w:p>
      <w:pPr>
        <w:ind w:firstLine="656"/>
        <w:spacing w:after="0" w:line="308" w:lineRule="auto"/>
        <w:tabs>
          <w:tab w:leader="none" w:pos="1887"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Depositary’s Counsel Legal Opinion</w:t>
      </w:r>
      <w:r>
        <w:rPr>
          <w:rFonts w:ascii="Arial" w:cs="Arial" w:eastAsia="Arial" w:hAnsi="Arial"/>
          <w:sz w:val="17"/>
          <w:szCs w:val="17"/>
          <w:color w:val="auto"/>
        </w:rPr>
        <w:t>. Agent shall have received from Patterson Belknap Webb &amp; Tyler LLP, counsel for the Depositary, an opinion, on or prior to the first Settlement Date, dated as of such date, in form and substance satisfactory to the Agent and its counsel.</w:t>
      </w:r>
    </w:p>
    <w:p>
      <w:pPr>
        <w:spacing w:after="0" w:line="142"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8"/>
          <w:szCs w:val="18"/>
          <w:b w:val="1"/>
          <w:bCs w:val="1"/>
          <w:color w:val="auto"/>
        </w:rPr>
        <w:t>INDEMNIFICATION AND CONTRIBUTION</w:t>
      </w:r>
    </w:p>
    <w:p>
      <w:pPr>
        <w:spacing w:after="0" w:line="229" w:lineRule="exact"/>
        <w:rPr>
          <w:sz w:val="20"/>
          <w:szCs w:val="20"/>
          <w:color w:val="auto"/>
        </w:rPr>
      </w:pPr>
    </w:p>
    <w:p>
      <w:pPr>
        <w:jc w:val="both"/>
        <w:ind w:firstLine="656"/>
        <w:spacing w:after="0" w:line="285" w:lineRule="auto"/>
        <w:tabs>
          <w:tab w:leader="none" w:pos="1617"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Indemnification of the Agent</w:t>
      </w:r>
      <w:r>
        <w:rPr>
          <w:rFonts w:ascii="Arial" w:cs="Arial" w:eastAsia="Arial" w:hAnsi="Arial"/>
          <w:sz w:val="16"/>
          <w:szCs w:val="16"/>
          <w:color w:val="auto"/>
        </w:rPr>
        <w:t xml:space="preserve">. The Company agrees to indemnify and hold harmless the Agent, its officers and employees, and each person, if any, who controls the Agent within the meaning of the Securities Act or the Exchange Act against any loss, claim, damage, liability or expense, as incurred, to which the Agent or such officer, employee or controlling person may become subject, under the Securities Act, the Exchange Act, other federal or state statutory law or regulation, or the laws or regulations of foreign jurisdictions where Shares have been offered or sold or at common law or otherwise (including in settlement of any litigation), insofar as such loss, claim, damage, liability or expense (or actions in respect thereof as contemplated below)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and to reimburse the Agent and each such officer, employee and controlling person for any and all documented expenses (including the fees and disbursements of counsel chosen by the Agent) as such expenses are reasonably incurred by the Agent or such officer, employee or controlling person in connection with investigating, defending, settling, compromising or paying any such loss, claim, damage, liability, expense or action; provided, however, that the foregoing indemnity agreement shall not apply to any loss, claim, damage, liability or expense to the extent, but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described in subsection (b) below. The indemnity agreement set forth in this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shall be in addition to any liabilities that the Company may otherwise have.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jc w:val="both"/>
        <w:ind w:firstLine="656"/>
        <w:spacing w:after="0" w:line="285" w:lineRule="auto"/>
        <w:tabs>
          <w:tab w:leader="none" w:pos="1586"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Indemnification of the Company, its Directors and Officers</w:t>
      </w:r>
      <w:r>
        <w:rPr>
          <w:rFonts w:ascii="Arial" w:cs="Arial" w:eastAsia="Arial" w:hAnsi="Arial"/>
          <w:sz w:val="16"/>
          <w:szCs w:val="16"/>
          <w:color w:val="auto"/>
        </w:rPr>
        <w:t xml:space="preserve">. The Agent agrees to indemnify and hold harmless the Company, each of its directors, each of its officers who signed the Registration Statement and each person, if any, who controls the Company within the meaning of the Securities Act or the Exchange Act against any loss, claim, damage, liability or expense, as incurred, to which the Company or any such director, officer or controlling person may become subject, under the Securities Act, the Exchange Act, or other federal or state statutory law or regulation, or the laws or regulations of foreign jurisdictions where Shares have been offered or sold or at common law or otherwise (including in settlement of any litigation), arises out of or is based upon (i) any untrue statement or alleged untrue statement of a material fact contained in the Registration Statement, or any amendment thereto, including any information deemed to be a part thereof pursuant to Rule 430B under the Securities Act, or the omission or alleged omission therefrom of a material fact required to be stated therein or necessary to make the statements therein not misleading; or (ii) any untrue statement or alleged untrue statement of a material fact contained in any Free Writing Prospectus that the Company has used, referred to or filed, or is required to file, pursuant to Rule 433(d) of the Securities Act or the Prospectus (or any amendment or supplement thereto), or the omission or alleged omission therefrom of a material fact necessary in order to make the statements therein, in the light of the circumstances under which they were made, not misleading; but, for each of (i) and (ii) above, only to the extent arising out of or based upon any untrue statement or alleged untrue statement or omission or alleged omission made in reliance upon and in conformity with written information furnished to the Company by the Agent expressly for use in the Registration Statement, any such Free Writing Prospectus or the Prospectus (or any amendment or supplement thereto), it being understood and agreed that the only such information furnished by the Agent to the Company consists of the information set forth in the first sentence of the ninth paragraph under the caption “Plan of Distribution” in the Prospectus, and to reimburse the Company and each such director, officer and controlling person for any and all expenses (including the fees and disbursements of one counsel chosen by the Company) as such expenses are reasonably incurred by the Company or such officer, director or controlling person in connection with investigating, defending, settling, compromising or paying any such loss, claim, damage, liability, expense or action. The indemnity agreement set forth in this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shall be in addition to any liabilities that the Agent or the Company may otherwise have.</w:t>
      </w:r>
    </w:p>
    <w:p>
      <w:pPr>
        <w:spacing w:after="0" w:line="168" w:lineRule="exact"/>
        <w:rPr>
          <w:rFonts w:ascii="Arial" w:cs="Arial" w:eastAsia="Arial" w:hAnsi="Arial"/>
          <w:sz w:val="16"/>
          <w:szCs w:val="16"/>
          <w:color w:val="auto"/>
        </w:rPr>
      </w:pPr>
    </w:p>
    <w:p>
      <w:pPr>
        <w:jc w:val="both"/>
        <w:ind w:firstLine="656"/>
        <w:spacing w:after="0" w:line="284" w:lineRule="auto"/>
        <w:tabs>
          <w:tab w:leader="none" w:pos="1603"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Notifications and Other Indemnification Procedures</w:t>
      </w:r>
      <w:r>
        <w:rPr>
          <w:rFonts w:ascii="Arial" w:cs="Arial" w:eastAsia="Arial" w:hAnsi="Arial"/>
          <w:sz w:val="16"/>
          <w:szCs w:val="16"/>
          <w:color w:val="auto"/>
        </w:rPr>
        <w:t xml:space="preserve">. Promptly after receipt by an indemnified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notice of the commencement of any action, such indemnified party will, if a claim in respect thereof is to be made against an indemnifying party under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6</w:t>
      </w:r>
      <w:r>
        <w:rPr>
          <w:rFonts w:ascii="Arial" w:cs="Arial" w:eastAsia="Arial" w:hAnsi="Arial"/>
          <w:sz w:val="16"/>
          <w:szCs w:val="16"/>
          <w:color w:val="auto"/>
        </w:rPr>
        <w:t xml:space="preserve">, notify the indemnifying party in writing of the commencement thereof, but the omission so to notify the indemnifying party will not relieve it from any liability which it may have to any indemnified party for contribution or otherwise than under the indemnity agreement contained in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or to the extent it is not prejudiced as a proximate result of such failure. In case any such action is brought against any indemnified party and such indemnified party seeks or intends to seek indemnity from an indemnifying party, the indemnifying party will be entitled to participate in, and, to the extent that it shall elect, jointly with all other indemnifying parties similarly notified, by written notice delivered to the indemnified party promptly after receiving the aforesaid notice from such indemnified party, to assume the defense thereof with counsel reasonably satisfactory to such indemnified party; provided, however, if the defendants in any such action include both the indemnified party and the indemnifying party and the indemnified party shall have reasonably concluded that a conflict may arise between the positions of the indemnifying party and the indemnified party in conducting the defense of any such action or that there may be legal defenses available to it and/or other indemnified parties which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such indemnifying party’s election so to assume the defense of such action and approval by the indemnified party of counsel, the indemnifying party will not be liable to such indemnified party under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for any reasonable and documented legal or other expenses subsequently incurred by such indemnified party in connection with the defense thereof unless (i) the indemnified party shall have employed separate counsel in accordance with the proviso to the preceding sentence (it being understood, however, that the indemnifying party shall not be liable for the fees and expenses of more than one separate counsel (together with local counsel), representing the indemnified parties who are parties to such action), which counsel (together with any local counsel) for the indemnified parties shall be selected by the indemnified party (in the case of counsel for the indemnified parties referred to in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above), (ii) the indemnifying party shall not have employed counsel reasonably satisfactory to the indemnified party to represent the indemnified party within a reasonable time after notice of commencement of the action or (iii) the indemnifying party has authorized in writing the employment of counsel for the indemnified party at the expense of the indemnifying party, in each of which cases the fees and expenses of counsel shall be at the expense of the indemnifying party and shall be paid as they are incurred.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jc w:val="both"/>
        <w:ind w:firstLine="656"/>
        <w:spacing w:after="0" w:line="269" w:lineRule="auto"/>
        <w:tabs>
          <w:tab w:leader="none" w:pos="1586"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Settlements</w:t>
      </w:r>
      <w:r>
        <w:rPr>
          <w:rFonts w:ascii="Arial" w:cs="Arial" w:eastAsia="Arial" w:hAnsi="Arial"/>
          <w:sz w:val="17"/>
          <w:szCs w:val="17"/>
          <w:color w:val="auto"/>
        </w:rPr>
        <w:t xml:space="preserve">. The indemnifying party under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shall not be liable for any settlement of any proceeding effected without its written consent, but if settled with such consent or if there be a final judgment for the plaintiff, the indemnifying party agrees to indemnify the indemnified party against any loss, claim, damage, liability or expense by reason of such settlement or judgment. Notwithstanding the foregoing sentence, if at any time an indemnified party shall have requested an indemnifying party to reimburse the indemnified party for fees and expenses of counsel as contemplated by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hereof, the indemnifying party agrees that it shall be liable for any settlement of any proceeding effected without its written consent if (i) 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effect any settlement, compromise or consent to the entry of judgment in any pending or threatened action, suit or proceeding in respect of which any indemnified party is or could have been a party and indemnity was or could have been sought hereunder by such indemnified party, unless such settlement, compromise or consent includes an unconditional release of such indemnified party from all liability on claims that are the subject matter of such action, suit or proceeding.</w:t>
      </w:r>
    </w:p>
    <w:p>
      <w:pPr>
        <w:spacing w:after="0" w:line="181" w:lineRule="exact"/>
        <w:rPr>
          <w:rFonts w:ascii="Arial" w:cs="Arial" w:eastAsia="Arial" w:hAnsi="Arial"/>
          <w:sz w:val="17"/>
          <w:szCs w:val="17"/>
          <w:color w:val="auto"/>
        </w:rPr>
      </w:pPr>
    </w:p>
    <w:p>
      <w:pPr>
        <w:jc w:val="both"/>
        <w:ind w:firstLine="656"/>
        <w:spacing w:after="0" w:line="268" w:lineRule="auto"/>
        <w:tabs>
          <w:tab w:leader="none" w:pos="1576"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Contribution</w:t>
      </w:r>
      <w:r>
        <w:rPr>
          <w:rFonts w:ascii="Arial" w:cs="Arial" w:eastAsia="Arial" w:hAnsi="Arial"/>
          <w:sz w:val="17"/>
          <w:szCs w:val="17"/>
          <w:color w:val="auto"/>
        </w:rPr>
        <w:t xml:space="preserve">. If the indemnification provided for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is for any reason held to be unavailable to or otherwise insufficient to hold harmless an indemnified party in respect of any losses, claims, damages, liabilities or expenses referred to therein, then each indemnifying party shall contribute to the aggregate amount paid or payable by such indemnified party, as incurred, as a result of any losses, claims, damages, liabilities or expenses referred to therein (i) in such proportion as is appropriate to reflect the relative benefits received by the Company, on the one hand, and the Agent, on the other hand, from the offering of the Shares pursuant to this Agreement; or (ii) if the allocation provided by clause (i) above is not permitted by applicable law, in such proportion as is appropriate to reflect not only the relative benefits referred to in clause (i) above but also the relative fault of the Company, on the one hand, and the Agent, on the other hand, in connection with the statements or omissions which resulted in such losses, claims, damages, liabilities or expenses, as well as any other relevant equitable considerations. The relative benefits received by the Company, on the one hand, and the Agent, on the other hand, in connection with the offering of the Shares pursuant to this Agreement shall be deemed to be in the same respective proportions as the total gross proceeds from the offering of the Shares (before deducting expenses) received by the Company bear to the total commissions received by the Agent. The relative fault of the Company, on the one hand, and the Agent, on the other hand, shall be determined by reference to, among other things, whether any such untrue or alleged untrue statement of a material fact or omission or alleged omission to state a material fact relates to information supplied by the Company, on the one hand, or the Agent, on the other hand, and the parties’ relative intent, knowledge, access to information and opportunity to correct or prevent such statement or omission.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2" w:name="page113"/>
    <w:bookmarkEnd w:id="112"/>
    <w:p>
      <w:pPr>
        <w:jc w:val="both"/>
        <w:ind w:firstLine="648"/>
        <w:spacing w:after="0" w:line="275" w:lineRule="auto"/>
        <w:rPr>
          <w:sz w:val="20"/>
          <w:szCs w:val="20"/>
          <w:color w:val="auto"/>
        </w:rPr>
      </w:pPr>
      <w:r>
        <w:rPr>
          <w:rFonts w:ascii="Arial" w:cs="Arial" w:eastAsia="Arial" w:hAnsi="Arial"/>
          <w:sz w:val="17"/>
          <w:szCs w:val="17"/>
          <w:color w:val="auto"/>
        </w:rPr>
        <w:t xml:space="preserve">The amount paid or payable by a party as a result of the losses, claims, damages, liabilities and expenses referred to above shall be deemed to include, subject to the limitations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any reasonable and documented legal or other fees or expenses reasonably incurred by such party in connection with investigating or defending any action or claim. The provisions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with respect to notice of commencement of any action shall apply if a claim for contribution is to be made under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provided, however, that no additional notice shall be required with respect to any action for which notice has been given under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for purposes of indemnification.</w:t>
      </w:r>
    </w:p>
    <w:p>
      <w:pPr>
        <w:spacing w:after="0" w:line="17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 xml:space="preserve">The Company and the Agent agree that it would not be just and equitable if contribution pursuant to this </w:t>
      </w:r>
      <w:r>
        <w:rPr>
          <w:rFonts w:ascii="Arial" w:cs="Arial" w:eastAsia="Arial" w:hAnsi="Arial"/>
          <w:sz w:val="17"/>
          <w:szCs w:val="17"/>
          <w:u w:val="single" w:color="auto"/>
          <w:color w:val="auto"/>
        </w:rPr>
        <w:t>Section 6(e)</w:t>
      </w:r>
      <w:r>
        <w:rPr>
          <w:rFonts w:ascii="Arial" w:cs="Arial" w:eastAsia="Arial" w:hAnsi="Arial"/>
          <w:sz w:val="17"/>
          <w:szCs w:val="17"/>
          <w:color w:val="auto"/>
        </w:rPr>
        <w:t xml:space="preserve"> were determined by pro rata allocation or by any other method of allocation which does not take account of the equitable considerations referred to in this </w:t>
      </w:r>
      <w:r>
        <w:rPr>
          <w:rFonts w:ascii="Arial" w:cs="Arial" w:eastAsia="Arial" w:hAnsi="Arial"/>
          <w:sz w:val="17"/>
          <w:szCs w:val="17"/>
          <w:u w:val="single" w:color="auto"/>
          <w:color w:val="auto"/>
        </w:rPr>
        <w:t>Section 6(e)</w:t>
      </w:r>
      <w:r>
        <w:rPr>
          <w:rFonts w:ascii="Arial" w:cs="Arial" w:eastAsia="Arial" w:hAnsi="Arial"/>
          <w:sz w:val="17"/>
          <w:szCs w:val="17"/>
          <w:color w:val="auto"/>
        </w:rPr>
        <w:t>.</w:t>
      </w:r>
    </w:p>
    <w:p>
      <w:pPr>
        <w:spacing w:after="0" w:line="14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Notwithstanding the provisions of this </w:t>
      </w:r>
      <w:r>
        <w:rPr>
          <w:rFonts w:ascii="Arial" w:cs="Arial" w:eastAsia="Arial" w:hAnsi="Arial"/>
          <w:sz w:val="18"/>
          <w:szCs w:val="18"/>
          <w:u w:val="single" w:color="auto"/>
          <w:color w:val="auto"/>
        </w:rPr>
        <w:t>Section 6(e)</w:t>
      </w:r>
      <w:r>
        <w:rPr>
          <w:rFonts w:ascii="Arial" w:cs="Arial" w:eastAsia="Arial" w:hAnsi="Arial"/>
          <w:sz w:val="18"/>
          <w:szCs w:val="18"/>
          <w:color w:val="auto"/>
        </w:rPr>
        <w:t xml:space="preserve">, the Agent shall not be required to contribute any amount in excess of the Selling Commission received by the Agent in connection with the offering contemplated hereby. No person guilty of fraudulent misrepresentation (within the meaning of Section 11(f) of the Securities Act) shall be entitled to contribution from any person who was not guilty of such fraudulent misrepresentation. For purposes of this </w:t>
      </w:r>
      <w:r>
        <w:rPr>
          <w:rFonts w:ascii="Arial" w:cs="Arial" w:eastAsia="Arial" w:hAnsi="Arial"/>
          <w:sz w:val="18"/>
          <w:szCs w:val="18"/>
          <w:u w:val="single" w:color="auto"/>
          <w:color w:val="auto"/>
        </w:rPr>
        <w:t>Section 6(e)</w:t>
      </w:r>
      <w:r>
        <w:rPr>
          <w:rFonts w:ascii="Arial" w:cs="Arial" w:eastAsia="Arial" w:hAnsi="Arial"/>
          <w:sz w:val="18"/>
          <w:szCs w:val="18"/>
          <w:color w:val="auto"/>
        </w:rPr>
        <w:t>, each officer and employee of the Agent and each person, if any, who controls the Agent within the meaning of the Securities Act or the Exchange Act shall have the same rights to contribution as the Agent, and each director of the Company, each officer of the Company who signed the Registration Statement, and each person, if any, who controls the Company within the meaning of the Securities Act and the Exchange Act shall have the same rights to contribution as the Company.</w:t>
      </w:r>
    </w:p>
    <w:p>
      <w:pPr>
        <w:spacing w:after="0" w:line="191"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8"/>
          <w:szCs w:val="18"/>
          <w:b w:val="1"/>
          <w:bCs w:val="1"/>
          <w:color w:val="auto"/>
        </w:rPr>
        <w:t>TERMINATION &amp; SURVIVAL</w:t>
      </w:r>
    </w:p>
    <w:p>
      <w:pPr>
        <w:spacing w:after="0" w:line="229" w:lineRule="exact"/>
        <w:rPr>
          <w:sz w:val="20"/>
          <w:szCs w:val="20"/>
          <w:color w:val="auto"/>
        </w:rPr>
      </w:pPr>
    </w:p>
    <w:p>
      <w:pPr>
        <w:ind w:right="20" w:firstLine="656"/>
        <w:spacing w:after="0" w:line="277" w:lineRule="auto"/>
        <w:tabs>
          <w:tab w:leader="none" w:pos="159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xml:space="preserve">. Subject to the provisions of this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the term of this Agreement shall continue from the date of this Agreement until the end of the Agency Period, unless earlier terminated by the parties to this Agreement pursuant to this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ind w:left="1540" w:hanging="884"/>
        <w:spacing w:after="0"/>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Termination; Survival Following Termination</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 Either party may terminate this Agreement prior to the end of the Agency Period, by giving written notice as required by this Agreement, upon ten (10) Trading Days’ notice to the other party; provided that, (A) if the Company terminates this Agreement after the Agent confirms to the Company any sale of Shares, the Company shall remain obligated to comply with </w:t>
      </w:r>
      <w:r>
        <w:rPr>
          <w:rFonts w:ascii="Arial" w:cs="Arial" w:eastAsia="Arial" w:hAnsi="Arial"/>
          <w:sz w:val="18"/>
          <w:szCs w:val="18"/>
          <w:u w:val="single" w:color="auto"/>
          <w:color w:val="auto"/>
        </w:rPr>
        <w:t>Section 3(b)(v)</w:t>
      </w:r>
      <w:r>
        <w:rPr>
          <w:rFonts w:ascii="Arial" w:cs="Arial" w:eastAsia="Arial" w:hAnsi="Arial"/>
          <w:sz w:val="18"/>
          <w:szCs w:val="18"/>
          <w:color w:val="auto"/>
        </w:rPr>
        <w:t xml:space="preserve"> with respect to such Shares and (B) Section 2, </w:t>
      </w:r>
      <w:r>
        <w:rPr>
          <w:rFonts w:ascii="Arial" w:cs="Arial" w:eastAsia="Arial" w:hAnsi="Arial"/>
          <w:sz w:val="18"/>
          <w:szCs w:val="18"/>
          <w:u w:val="single" w:color="auto"/>
          <w:color w:val="auto"/>
        </w:rPr>
        <w:t>Section 3(d)</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survive termination of this Agreement. If termination shall occur prior to the Settlement Date for any sale of Shares, such sale shall nevertheless settle in accordance with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4286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(ii) In addition to the survival provision of </w:t>
      </w:r>
      <w:r>
        <w:rPr>
          <w:rFonts w:ascii="Arial" w:cs="Arial" w:eastAsia="Arial" w:hAnsi="Arial"/>
          <w:sz w:val="18"/>
          <w:szCs w:val="18"/>
          <w:u w:val="single" w:color="auto"/>
          <w:color w:val="auto"/>
        </w:rPr>
        <w:t>Section 7(b)(i)</w:t>
      </w:r>
      <w:r>
        <w:rPr>
          <w:rFonts w:ascii="Arial" w:cs="Arial" w:eastAsia="Arial" w:hAnsi="Arial"/>
          <w:sz w:val="18"/>
          <w:szCs w:val="18"/>
          <w:color w:val="auto"/>
        </w:rPr>
        <w:t>, the respective indemnities, agreements, representations, warranties and other statements of the Company, of its officers and of the Agent set forth in or made pursuant to this Agreement will remain in full force and effect, regardless of any investigation made by or on behalf of the Agent or the Company or any of its or their partners, officers or directors or any controlling person, as the case may be, and, anything herein to the contrary notwithstanding, will survive delivery of and payment for the Shares sold hereunder and any termination of this Agreement.</w:t>
      </w:r>
    </w:p>
    <w:p>
      <w:pPr>
        <w:spacing w:after="0" w:line="184"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7"/>
          <w:szCs w:val="17"/>
          <w:b w:val="1"/>
          <w:bCs w:val="1"/>
          <w:color w:val="auto"/>
        </w:rPr>
        <w:t>MISCELLANEOUS</w:t>
      </w:r>
    </w:p>
    <w:p>
      <w:pPr>
        <w:spacing w:after="0" w:line="229" w:lineRule="exact"/>
        <w:rPr>
          <w:sz w:val="20"/>
          <w:szCs w:val="20"/>
          <w:color w:val="auto"/>
        </w:rPr>
      </w:pPr>
    </w:p>
    <w:p>
      <w:pPr>
        <w:jc w:val="both"/>
        <w:ind w:firstLine="656"/>
        <w:spacing w:after="0" w:line="288" w:lineRule="auto"/>
        <w:tabs>
          <w:tab w:leader="none" w:pos="1549"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Press Releases and Disclosure</w:t>
      </w:r>
      <w:r>
        <w:rPr>
          <w:rFonts w:ascii="Arial" w:cs="Arial" w:eastAsia="Arial" w:hAnsi="Arial"/>
          <w:sz w:val="16"/>
          <w:szCs w:val="16"/>
          <w:color w:val="auto"/>
        </w:rPr>
        <w:t>. The Company may issue a press release describing the material terms of the transactions contemplated hereby as soon as practicable following the date of this Agreement, and may file with the Commission a Current Report on Form 8 K, with this Agreement attached as an exhibit thereto, describing the material terms of the transactions contemplated hereby, and the Company shall consult with the Agent prior to making such disclosures, and the parties hereto shall use all commercially reasonable efforts, acting in good faith, to agree upon a text for such disclosures that is reasonably satisfactory to all parties hereto. No party hereto shall issue thereafter any press release or like public statement (including, without limitation, any disclosure required in reports filed with the Commission pursuant to the Exchange Act) related to this Agreement or any of the transactions contemplated hereby without the prior written approval of the other party hereto, except as may be necessary or appropriate in the reasonable opinion of the party seeking to make disclosure to comply with the requirements of applicable law or stock exchange rules. If any such press release or like public statement is so required, the party making such disclosure shall consult with the other party prior to making such disclosure, and the parties shall use all commercially reasonable efforts, acting in good faith, to agree upon a text for such disclosure that is reasonably satisfactory to all parties hereto.</w:t>
      </w:r>
    </w:p>
    <w:p>
      <w:pPr>
        <w:spacing w:after="0" w:line="168" w:lineRule="exact"/>
        <w:rPr>
          <w:rFonts w:ascii="Arial" w:cs="Arial" w:eastAsia="Arial" w:hAnsi="Arial"/>
          <w:sz w:val="16"/>
          <w:szCs w:val="16"/>
          <w:color w:val="auto"/>
        </w:rPr>
      </w:pPr>
    </w:p>
    <w:p>
      <w:pPr>
        <w:jc w:val="both"/>
        <w:ind w:firstLine="656"/>
        <w:spacing w:after="0" w:line="289" w:lineRule="auto"/>
        <w:tabs>
          <w:tab w:leader="none" w:pos="1843"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No Advisory or Fiduciary Relationship</w:t>
      </w:r>
      <w:r>
        <w:rPr>
          <w:rFonts w:ascii="Arial" w:cs="Arial" w:eastAsia="Arial" w:hAnsi="Arial"/>
          <w:sz w:val="16"/>
          <w:szCs w:val="16"/>
          <w:color w:val="auto"/>
        </w:rPr>
        <w:t>. The Company acknowledges and agrees that (i) the transactions contemplated by this Agreement, including the determination of any fees, are arm’s-length commercial transactions between the Company and the Agent, (ii) when acting as a principal under this Agreement, the Agent is and has been acting solely as a principal is not the agent or fiduciary of the Company, or its shareholders, creditors, employees or any other party, (iii) the Agent has not assumed nor will assume an advisory or fiduciary responsibility in favor of the Company with respect to the transactions contemplated hereby or the process leading thereto (irrespective of whether the Agent has advised or is currently advising the Company on other matters) and the Agent does not have any obligation to the Company with respect to the transactions contemplated hereby except the obligations expressly set forth in this Agreement, (iv) the Agent and its affiliates may be engaged in a broad range of transactions that involve interests that differ from those of the Company, and (v) the Agent has not provided any legal, accounting, regulatory or tax advice with respect to the transactions contemplated hereby and the Company has consulted its own legal, accounting, regulatory and tax advisors to the extent it deemed appropriate.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4" w:name="page115"/>
    <w:bookmarkEnd w:id="114"/>
    <w:p>
      <w:pPr>
        <w:jc w:val="both"/>
        <w:ind w:firstLine="656"/>
        <w:spacing w:after="0" w:line="254" w:lineRule="auto"/>
        <w:tabs>
          <w:tab w:leader="none" w:pos="1846"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Research Analyst Independence</w:t>
      </w:r>
      <w:r>
        <w:rPr>
          <w:rFonts w:ascii="Arial" w:cs="Arial" w:eastAsia="Arial" w:hAnsi="Arial"/>
          <w:sz w:val="18"/>
          <w:szCs w:val="18"/>
          <w:color w:val="auto"/>
        </w:rPr>
        <w:t>. The Company acknowledges that the Agent’s research analysts and research departments are required to and should be independent from their respective investment banking divisions and are subject to certain regulations and internal policies, and as such the Agent’s research analysts may hold views and make statements or investment recommendations and/or publish research reports with respect to the Company or the offering that differ from the views of their respective investment banking divisions. The Company understands that the Agent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194" w:lineRule="exact"/>
        <w:rPr>
          <w:rFonts w:ascii="Arial" w:cs="Arial" w:eastAsia="Arial" w:hAnsi="Arial"/>
          <w:sz w:val="18"/>
          <w:szCs w:val="18"/>
          <w:color w:val="auto"/>
        </w:rPr>
      </w:pPr>
    </w:p>
    <w:p>
      <w:pPr>
        <w:ind w:firstLine="656"/>
        <w:spacing w:after="0" w:line="277" w:lineRule="auto"/>
        <w:tabs>
          <w:tab w:leader="none" w:pos="1856"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shall be in writing and shall be mailed, hand delivered or telecopied, or delivered by electronic communication by any party except the Agent, and confirmed to the parties hereto as follows: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the Agent: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(646) 786-5719</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55 Hudson Yards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10001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Daniel I. Goldberg, Esq.</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(212) 479-6275</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Verona Pharma plc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More London Riverside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London SE1 2RE UK</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Mark Hahn, CFO</w:t>
      </w:r>
    </w:p>
    <w:p>
      <w:pPr>
        <w:spacing w:after="0" w:line="9" w:lineRule="exact"/>
        <w:rPr>
          <w:sz w:val="20"/>
          <w:szCs w:val="20"/>
          <w:color w:val="auto"/>
        </w:rPr>
      </w:pPr>
    </w:p>
    <w:p>
      <w:pPr>
        <w:jc w:val="center"/>
        <w:ind w:right="7040"/>
        <w:spacing w:after="0"/>
        <w:rPr>
          <w:sz w:val="20"/>
          <w:szCs w:val="20"/>
          <w:color w:val="auto"/>
        </w:rPr>
      </w:pPr>
      <w:r>
        <w:rPr>
          <w:rFonts w:ascii="Arial" w:cs="Arial" w:eastAsia="Arial" w:hAnsi="Arial"/>
          <w:sz w:val="18"/>
          <w:szCs w:val="18"/>
          <w:color w:val="auto"/>
        </w:rPr>
        <w:t>Email: Mark.Hahn@veronapharma.com</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Latham &amp; Watkins LLP</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200 Clarendon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Boston, Massachusetts 02116</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Peter N. Handrinos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Peter.Handrinos@lw.com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color w:val="auto"/>
        </w:rPr>
        <w:t xml:space="preserve">Any party hereto may change the address for receipt of communications by giving written notice to the others in accordance with this </w:t>
      </w:r>
      <w:r>
        <w:rPr>
          <w:rFonts w:ascii="Arial" w:cs="Arial" w:eastAsia="Arial" w:hAnsi="Arial"/>
          <w:sz w:val="17"/>
          <w:szCs w:val="17"/>
          <w:u w:val="single" w:color="auto"/>
          <w:color w:val="auto"/>
        </w:rPr>
        <w:t>Section 8(d)</w:t>
      </w:r>
      <w:r>
        <w:rPr>
          <w:rFonts w:ascii="Arial" w:cs="Arial" w:eastAsia="Arial" w:hAnsi="Arial"/>
          <w:sz w:val="17"/>
          <w:szCs w:val="17"/>
          <w:color w:val="auto"/>
        </w:rPr>
        <w:t>.</w:t>
      </w:r>
    </w:p>
    <w:p>
      <w:pPr>
        <w:spacing w:after="0" w:line="237" w:lineRule="exact"/>
        <w:rPr>
          <w:sz w:val="20"/>
          <w:szCs w:val="20"/>
          <w:color w:val="auto"/>
        </w:rPr>
      </w:pPr>
    </w:p>
    <w:p>
      <w:pPr>
        <w:jc w:val="both"/>
        <w:ind w:firstLine="656"/>
        <w:spacing w:after="0" w:line="311" w:lineRule="auto"/>
        <w:tabs>
          <w:tab w:leader="none" w:pos="1630"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Successors</w:t>
      </w:r>
      <w:r>
        <w:rPr>
          <w:rFonts w:ascii="Arial" w:cs="Arial" w:eastAsia="Arial" w:hAnsi="Arial"/>
          <w:sz w:val="16"/>
          <w:szCs w:val="16"/>
          <w:color w:val="auto"/>
        </w:rPr>
        <w:t xml:space="preserve">. This Agreement will inure to the benefit of and be binding upon the parties hereto, and to the benefit of the employees, officers and directors and controlling persons referred to in </w:t>
      </w:r>
      <w:r>
        <w:rPr>
          <w:rFonts w:ascii="Arial" w:cs="Arial" w:eastAsia="Arial" w:hAnsi="Arial"/>
          <w:sz w:val="16"/>
          <w:szCs w:val="16"/>
          <w:u w:val="single" w:color="auto"/>
          <w:color w:val="auto"/>
        </w:rPr>
        <w:t>Section 6</w:t>
      </w:r>
      <w:r>
        <w:rPr>
          <w:rFonts w:ascii="Arial" w:cs="Arial" w:eastAsia="Arial" w:hAnsi="Arial"/>
          <w:sz w:val="16"/>
          <w:szCs w:val="16"/>
          <w:color w:val="auto"/>
        </w:rPr>
        <w:t>, and in each case their respective successors, and no other person will have any right or obligation hereunder. The term “successors” shall not include any purchaser of the Shares as such from the Agent merely by reason of such purchase.</w:t>
      </w:r>
    </w:p>
    <w:p>
      <w:pPr>
        <w:spacing w:after="0" w:line="148" w:lineRule="exact"/>
        <w:rPr>
          <w:rFonts w:ascii="Arial" w:cs="Arial" w:eastAsia="Arial" w:hAnsi="Arial"/>
          <w:sz w:val="16"/>
          <w:szCs w:val="16"/>
          <w:color w:val="auto"/>
        </w:rPr>
      </w:pPr>
    </w:p>
    <w:p>
      <w:pPr>
        <w:jc w:val="both"/>
        <w:ind w:firstLine="656"/>
        <w:spacing w:after="0" w:line="259" w:lineRule="auto"/>
        <w:tabs>
          <w:tab w:leader="none" w:pos="1561"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Partial Unenforceability</w:t>
      </w:r>
      <w:r>
        <w:rPr>
          <w:rFonts w:ascii="Arial" w:cs="Arial" w:eastAsia="Arial" w:hAnsi="Arial"/>
          <w:sz w:val="18"/>
          <w:szCs w:val="18"/>
          <w:color w:val="auto"/>
        </w:rPr>
        <w:t>. The invalidity or unenforceability of any Article, Section, paragraph or provision of this Agreement shall not affect the validity or enforceability of any other Article, Section, paragraph or provision hereof. If any Article, Section, paragraph or provision of this Agreement is for any reason determined to be invalid or unenforceable, there shall be deemed to be made such minor changes (and only such minor changes) as are necessary to make it valid and enforceable.</w:t>
      </w:r>
    </w:p>
    <w:p>
      <w:pPr>
        <w:spacing w:after="0" w:line="186" w:lineRule="exact"/>
        <w:rPr>
          <w:rFonts w:ascii="Arial" w:cs="Arial" w:eastAsia="Arial" w:hAnsi="Arial"/>
          <w:sz w:val="18"/>
          <w:szCs w:val="18"/>
          <w:color w:val="auto"/>
        </w:rPr>
      </w:pPr>
    </w:p>
    <w:p>
      <w:pPr>
        <w:jc w:val="both"/>
        <w:ind w:firstLine="656"/>
        <w:spacing w:after="0" w:line="283" w:lineRule="auto"/>
        <w:tabs>
          <w:tab w:leader="none" w:pos="1559"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Governing Law Provisions; Currency Provisions</w:t>
      </w:r>
      <w:r>
        <w:rPr>
          <w:rFonts w:ascii="Arial" w:cs="Arial" w:eastAsia="Arial" w:hAnsi="Arial"/>
          <w:sz w:val="16"/>
          <w:szCs w:val="16"/>
          <w:color w:val="auto"/>
        </w:rPr>
        <w:t>. This Agreement shall be governed by and construed in accordance with the internal laws of the State of New York applicable to agreements made and to be performed in such state. Any legal suit, action or proceeding arising out of or based upon this Agreement or the transactions contemplated hereby (“</w:t>
      </w:r>
      <w:r>
        <w:rPr>
          <w:rFonts w:ascii="Arial" w:cs="Arial" w:eastAsia="Arial" w:hAnsi="Arial"/>
          <w:sz w:val="16"/>
          <w:szCs w:val="16"/>
          <w:b w:val="1"/>
          <w:bCs w:val="1"/>
          <w:color w:val="auto"/>
        </w:rPr>
        <w:t>Related Proceedings</w:t>
      </w:r>
      <w:r>
        <w:rPr>
          <w:rFonts w:ascii="Arial" w:cs="Arial" w:eastAsia="Arial" w:hAnsi="Arial"/>
          <w:sz w:val="16"/>
          <w:szCs w:val="16"/>
          <w:color w:val="auto"/>
        </w:rPr>
        <w:t>”) may be instituted in the federal courts of the United States of America located in the Borough of Manhattan in the City of New York or the courts of the State of New York in each case located in the Borough of Manhattan in the City of New York (collectively, the “</w:t>
      </w:r>
      <w:r>
        <w:rPr>
          <w:rFonts w:ascii="Arial" w:cs="Arial" w:eastAsia="Arial" w:hAnsi="Arial"/>
          <w:sz w:val="16"/>
          <w:szCs w:val="16"/>
          <w:b w:val="1"/>
          <w:bCs w:val="1"/>
          <w:color w:val="auto"/>
        </w:rPr>
        <w:t>Specified Courts</w:t>
      </w:r>
      <w:r>
        <w:rPr>
          <w:rFonts w:ascii="Arial" w:cs="Arial" w:eastAsia="Arial" w:hAnsi="Arial"/>
          <w:sz w:val="16"/>
          <w:szCs w:val="16"/>
          <w:color w:val="auto"/>
        </w:rPr>
        <w:t>”), and each party irrevocably submits to the exclusive jurisdiction (except for proceedings instituted in regard to the enforcement of a judgment of any such court (a “</w:t>
      </w:r>
      <w:r>
        <w:rPr>
          <w:rFonts w:ascii="Arial" w:cs="Arial" w:eastAsia="Arial" w:hAnsi="Arial"/>
          <w:sz w:val="16"/>
          <w:szCs w:val="16"/>
          <w:b w:val="1"/>
          <w:bCs w:val="1"/>
          <w:color w:val="auto"/>
        </w:rPr>
        <w:t>Related Judgment</w:t>
      </w:r>
      <w:r>
        <w:rPr>
          <w:rFonts w:ascii="Arial" w:cs="Arial" w:eastAsia="Arial" w:hAnsi="Arial"/>
          <w:sz w:val="16"/>
          <w:szCs w:val="16"/>
          <w:color w:val="auto"/>
        </w:rPr>
        <w: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 The Company has irrevocably appointed Cogency Global Inc., which currently maintains a New York City office at 122</w:t>
      </w:r>
    </w:p>
    <w:p>
      <w:pPr>
        <w:spacing w:after="0" w:line="4"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East 42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Street, 18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New York, N.Y. 10168, United States of America, as its agent to receive service of process or other legal summons for purposes of any such suit, action or proceeding that may be instituted in any state or federal court in the Borough of Manhattan in the City of New York, United States of America.</w:t>
      </w:r>
    </w:p>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With respect to any Related Proceeding, each party irrevocably waives, to the fullest extent permitted by applicable law, all immunity (whether on the basis of sovereignty or otherwise) from jurisdiction, service of process, attachment (both before and after judgment) and execution to which it might otherwise be entitled in the Specified Courts, and with respect to any Related Judgment, each party waives any such immunity in the Specified Courts or any other court of competent jurisdiction, and will not raise or claim or cause to be pleaded any such immunity at or in respect of any such Related Proceeding or Related Judgment, including, without limitation, any immunity pursuant to the United States Foreign Sovereign Immunities Act of 1976, as amended.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6" w:name="page117"/>
    <w:bookmarkEnd w:id="116"/>
    <w:p>
      <w:pPr>
        <w:jc w:val="both"/>
        <w:ind w:firstLine="648"/>
        <w:spacing w:after="0" w:line="254" w:lineRule="auto"/>
        <w:rPr>
          <w:sz w:val="20"/>
          <w:szCs w:val="20"/>
          <w:color w:val="auto"/>
        </w:rPr>
      </w:pPr>
      <w:r>
        <w:rPr>
          <w:rFonts w:ascii="Arial" w:cs="Arial" w:eastAsia="Arial" w:hAnsi="Arial"/>
          <w:sz w:val="18"/>
          <w:szCs w:val="18"/>
          <w:color w:val="auto"/>
        </w:rPr>
        <w:t>The obligations of the Company pursuant to this Agreement in respect of any sum due to the Agent shall, notwithstanding any judgment in a currency other than United States dollars, not be discharged until the first business day, following receipt by the Agent of any sum adjudged to be so due in such other currency, on which the Agent may in accordance with normal banking procedures purchase United States dollars with such other currency. If the United States dollars so purchased are less than the sum originally due to the Agent in United States dollars hereunder, the Company agrees as a separate obligation and notwithstanding any such judgment, to indemnify the Agent against such loss. If the United States dollars so purchased are greater than the sum originally due to the Agent hereunder, the Agent agrees to pay to the Company an amount equal to the excess of the dollars so purchased over the sum originally due to the Agent hereunder.</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payments made by the Company under this Agreement, if any, will be made without withholding or deduction for or on account of any present or future taxes, duties, levies, imposts, fees, assessments or governmental charges of whatever nature (other than taxes on net income) unless the Company is or becomes required by law to withhold or deduct such taxes, duties, levies, imposts, fees, assessments or other governmental charges. In such event, the Company will pay such additional amounts as will result, after such withholding or deduction, in the receipt by the Agent of the amounts that would otherwise have been receivable in respect thereof.</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the performance by the Agent of any of its obligations under this Agreement shall represent for VAT purposes under any applicable law the making by the Agent of any supply of goods or services to the Company (to the extent applicable) and the Agent is required to account for such VAT, the Company shall pay to the Agent, in addition to the amounts otherwise payable by the Company pursuant to this Agreement, an amount equal to the VAT chargeable on any such supply of goods and services provided that the Agent has issued the Company with an appropriate VAT invoice in respect of the supply to which the payment relates. Where a sum (a “</w:t>
      </w:r>
      <w:r>
        <w:rPr>
          <w:rFonts w:ascii="Arial" w:cs="Arial" w:eastAsia="Arial" w:hAnsi="Arial"/>
          <w:sz w:val="17"/>
          <w:szCs w:val="17"/>
          <w:b w:val="1"/>
          <w:bCs w:val="1"/>
          <w:color w:val="auto"/>
        </w:rPr>
        <w:t>Relevant Sum</w:t>
      </w:r>
      <w:r>
        <w:rPr>
          <w:rFonts w:ascii="Arial" w:cs="Arial" w:eastAsia="Arial" w:hAnsi="Arial"/>
          <w:sz w:val="17"/>
          <w:szCs w:val="17"/>
          <w:color w:val="auto"/>
        </w:rPr>
        <w:t>”) is paid or reimbursed to the Agent pursuant to this Agreement in respect of any cost, expense or other amount and that cost, expense or other amount includes an amount in respect of irrecoverable VAT (the “</w:t>
      </w:r>
      <w:r>
        <w:rPr>
          <w:rFonts w:ascii="Arial" w:cs="Arial" w:eastAsia="Arial" w:hAnsi="Arial"/>
          <w:sz w:val="17"/>
          <w:szCs w:val="17"/>
          <w:b w:val="1"/>
          <w:bCs w:val="1"/>
          <w:color w:val="auto"/>
        </w:rPr>
        <w:t>VAT Element</w:t>
      </w:r>
      <w:r>
        <w:rPr>
          <w:rFonts w:ascii="Arial" w:cs="Arial" w:eastAsia="Arial" w:hAnsi="Arial"/>
          <w:sz w:val="17"/>
          <w:szCs w:val="17"/>
          <w:color w:val="auto"/>
        </w:rPr>
        <w:t>”), then the Company, to the extent applicable, shall, in addition, pay an amount equal to the VAT Element to the Agent. For the purposes of this Agreement, “</w:t>
      </w:r>
      <w:r>
        <w:rPr>
          <w:rFonts w:ascii="Arial" w:cs="Arial" w:eastAsia="Arial" w:hAnsi="Arial"/>
          <w:sz w:val="17"/>
          <w:szCs w:val="17"/>
          <w:b w:val="1"/>
          <w:bCs w:val="1"/>
          <w:color w:val="auto"/>
        </w:rPr>
        <w:t>VAT</w:t>
      </w:r>
      <w:r>
        <w:rPr>
          <w:rFonts w:ascii="Arial" w:cs="Arial" w:eastAsia="Arial" w:hAnsi="Arial"/>
          <w:sz w:val="17"/>
          <w:szCs w:val="17"/>
          <w:color w:val="auto"/>
        </w:rPr>
        <w:t>” means value added tax as provided for in the Value Added Tax Act 1994 (“</w:t>
      </w:r>
      <w:r>
        <w:rPr>
          <w:rFonts w:ascii="Arial" w:cs="Arial" w:eastAsia="Arial" w:hAnsi="Arial"/>
          <w:sz w:val="17"/>
          <w:szCs w:val="17"/>
          <w:b w:val="1"/>
          <w:bCs w:val="1"/>
          <w:color w:val="auto"/>
        </w:rPr>
        <w:t>VATA</w:t>
      </w:r>
      <w:r>
        <w:rPr>
          <w:rFonts w:ascii="Arial" w:cs="Arial" w:eastAsia="Arial" w:hAnsi="Arial"/>
          <w:sz w:val="17"/>
          <w:szCs w:val="17"/>
          <w:color w:val="auto"/>
        </w:rPr>
        <w:t>”) and subordinate legislation made under VATA as amended, modified or re-enacted (whether before or after the date of this Agreement) and any similar sales, goods and services, consumption, use or turnover tax whether within the United Kingdom or elsewhere in the world.</w:t>
      </w:r>
    </w:p>
    <w:p>
      <w:pPr>
        <w:spacing w:after="0" w:line="185" w:lineRule="exact"/>
        <w:rPr>
          <w:sz w:val="20"/>
          <w:szCs w:val="20"/>
          <w:color w:val="auto"/>
        </w:rPr>
      </w:pPr>
    </w:p>
    <w:p>
      <w:pPr>
        <w:jc w:val="both"/>
        <w:ind w:firstLine="656"/>
        <w:spacing w:after="0" w:line="290" w:lineRule="auto"/>
        <w:tabs>
          <w:tab w:leader="none" w:pos="1586" w:val="left"/>
        </w:tabs>
        <w:numPr>
          <w:ilvl w:val="0"/>
          <w:numId w:val="105"/>
        </w:numPr>
        <w:rPr>
          <w:rFonts w:ascii="Arial" w:cs="Arial" w:eastAsia="Arial" w:hAnsi="Arial"/>
          <w:sz w:val="16"/>
          <w:szCs w:val="16"/>
          <w:color w:val="auto"/>
        </w:rPr>
      </w:pPr>
      <w:r>
        <w:rPr>
          <w:rFonts w:ascii="Arial" w:cs="Arial" w:eastAsia="Arial" w:hAnsi="Arial"/>
          <w:sz w:val="16"/>
          <w:szCs w:val="16"/>
          <w:u w:val="single" w:color="auto"/>
          <w:color w:val="auto"/>
        </w:rPr>
        <w:t>General Provisions</w:t>
      </w:r>
      <w:r>
        <w:rPr>
          <w:rFonts w:ascii="Arial" w:cs="Arial" w:eastAsia="Arial" w:hAnsi="Arial"/>
          <w:sz w:val="16"/>
          <w:szCs w:val="16"/>
          <w:color w:val="auto"/>
        </w:rPr>
        <w:t>. This Agreement constitutes the entire agreement of the parties to this Agreement and supersedes all prior written or oral and all contemporaneous oral agreements, understandings and negotiations with respect to the subject matter hereof. This Agreement may be executed in two or more counterparts, each one of which shall be an original, with the same effect as if the signatures thereto and hereto were upon the same instrument, and may be delivered by facsimile transmission or by electronic delivery of a portable document format (PDF) file (including any electronic signature covered by the U.S. federal ESIGN Act of 2000, Uniform Electronic Transactions Act, the Electronic Signatures and Records Act or other applicable law, e.g., www.docusign.com). This Agreement may not be amended or modified unless in writing by all of the parties hereto, and no condition herein (express or implied) may be waived unless waived in writing by each party whom the condition is meant to benefit. The Article and Section headings herein are for the convenience of the parties only and shall not affect the construction or interpretation of this Agreement.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Immediately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17" w:name="page118"/>
    <w:bookmarkEnd w:id="117"/>
    <w:p>
      <w:pPr>
        <w:ind w:firstLine="648"/>
        <w:spacing w:after="0" w:line="277" w:lineRule="auto"/>
        <w:rPr>
          <w:sz w:val="20"/>
          <w:szCs w:val="20"/>
          <w:color w:val="auto"/>
        </w:rPr>
      </w:pPr>
      <w:r>
        <w:rPr>
          <w:rFonts w:ascii="Arial" w:cs="Arial" w:eastAsia="Arial" w:hAnsi="Arial"/>
          <w:sz w:val="18"/>
          <w:szCs w:val="18"/>
          <w:color w:val="auto"/>
        </w:rPr>
        <w:t>If the foregoing is in accordance with your understanding of our agreement, kindly sign and return to the Company the enclosed copies hereof, whereupon this instrument, along with all counterparts hereof, shall become a binding agreement in accordance with its terms</w:t>
      </w:r>
    </w:p>
    <w:p>
      <w:pPr>
        <w:spacing w:after="0" w:line="170"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VERONA PHARMA PLC</w:t>
      </w:r>
    </w:p>
    <w:p>
      <w:pPr>
        <w:spacing w:after="0" w:line="229" w:lineRule="exact"/>
        <w:rPr>
          <w:sz w:val="20"/>
          <w:szCs w:val="20"/>
          <w:color w:val="auto"/>
        </w:rPr>
      </w:pPr>
    </w:p>
    <w:p>
      <w:pPr>
        <w:ind w:left="5520"/>
        <w:spacing w:after="0"/>
        <w:tabs>
          <w:tab w:leader="none" w:pos="6040" w:val="left"/>
        </w:tabs>
        <w:rPr>
          <w:sz w:val="20"/>
          <w:szCs w:val="20"/>
          <w:color w:val="auto"/>
        </w:rPr>
      </w:pPr>
      <w:r>
        <w:rPr>
          <w:rFonts w:ascii="Arial" w:cs="Arial" w:eastAsia="Arial" w:hAnsi="Arial"/>
          <w:sz w:val="18"/>
          <w:szCs w:val="18"/>
          <w:color w:val="auto"/>
        </w:rPr>
        <w:t>By:</w:t>
        <w:tab/>
        <w:t>/s/ David Zaccardelli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14605</wp:posOffset>
            </wp:positionV>
            <wp:extent cx="33775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David Zaccardelli</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foregoing Agreement is hereby confirmed and accepted by the Agent in New York, New York as of the date first above written.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JEFFERIES LLC</w:t>
      </w:r>
    </w:p>
    <w:p>
      <w:pPr>
        <w:spacing w:after="0" w:line="22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Donald Lynaugh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332613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332613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Name:Donald Lynaugh</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ISSUANCE NOTICE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 [__________]</w:t>
      </w:r>
    </w:p>
    <w:p>
      <w:pPr>
        <w:spacing w:after="0" w:line="229" w:lineRule="exact"/>
        <w:rPr>
          <w:sz w:val="20"/>
          <w:szCs w:val="20"/>
          <w:color w:val="auto"/>
        </w:rPr>
      </w:pPr>
    </w:p>
    <w:p>
      <w:pPr>
        <w:spacing w:after="0" w:line="224" w:lineRule="auto"/>
        <w:rPr>
          <w:sz w:val="20"/>
          <w:szCs w:val="20"/>
          <w:color w:val="auto"/>
        </w:rPr>
      </w:pPr>
      <w:r>
        <w:rPr>
          <w:rFonts w:ascii="Arial" w:cs="Arial" w:eastAsia="Arial" w:hAnsi="Arial"/>
          <w:sz w:val="17"/>
          <w:szCs w:val="17"/>
          <w:color w:val="auto"/>
        </w:rPr>
        <w:t>Reference is made to the Open Market Sale Agreement</w:t>
      </w:r>
      <w:r>
        <w:rPr>
          <w:rFonts w:ascii="Arial" w:cs="Arial" w:eastAsia="Arial" w:hAnsi="Arial"/>
          <w:sz w:val="28"/>
          <w:szCs w:val="28"/>
          <w:color w:val="auto"/>
          <w:vertAlign w:val="superscript"/>
        </w:rPr>
        <w:t>SM</w:t>
      </w:r>
      <w:r>
        <w:rPr>
          <w:rFonts w:ascii="Arial" w:cs="Arial" w:eastAsia="Arial" w:hAnsi="Arial"/>
          <w:sz w:val="17"/>
          <w:szCs w:val="17"/>
          <w:color w:val="auto"/>
        </w:rPr>
        <w:t xml:space="preserve"> between Verona Pharma plc (the “</w:t>
      </w:r>
      <w:r>
        <w:rPr>
          <w:rFonts w:ascii="Arial" w:cs="Arial" w:eastAsia="Arial" w:hAnsi="Arial"/>
          <w:sz w:val="17"/>
          <w:szCs w:val="17"/>
          <w:b w:val="1"/>
          <w:bCs w:val="1"/>
          <w:color w:val="auto"/>
        </w:rPr>
        <w:t>Company</w:t>
      </w:r>
      <w:r>
        <w:rPr>
          <w:rFonts w:ascii="Arial" w:cs="Arial" w:eastAsia="Arial" w:hAnsi="Arial"/>
          <w:sz w:val="17"/>
          <w:szCs w:val="17"/>
          <w:color w:val="auto"/>
        </w:rPr>
        <w:t>”) and Jefferies LLC (the “</w:t>
      </w:r>
      <w:r>
        <w:rPr>
          <w:rFonts w:ascii="Arial" w:cs="Arial" w:eastAsia="Arial" w:hAnsi="Arial"/>
          <w:sz w:val="17"/>
          <w:szCs w:val="17"/>
          <w:b w:val="1"/>
          <w:bCs w:val="1"/>
          <w:color w:val="auto"/>
        </w:rPr>
        <w:t>Agent</w:t>
      </w:r>
      <w:r>
        <w:rPr>
          <w:rFonts w:ascii="Arial" w:cs="Arial" w:eastAsia="Arial" w:hAnsi="Arial"/>
          <w:sz w:val="17"/>
          <w:szCs w:val="17"/>
          <w:color w:val="auto"/>
        </w:rPr>
        <w:t>”) dated as of March [__], 2021. The Company confirms that all conditions to the delivery of this Issuance Notice are satisfied as of the date hereof.</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of Delivery of Issuance Notice (determined pursuant to </w:t>
      </w:r>
      <w:r>
        <w:rPr>
          <w:rFonts w:ascii="Arial" w:cs="Arial" w:eastAsia="Arial" w:hAnsi="Arial"/>
          <w:sz w:val="18"/>
          <w:szCs w:val="18"/>
          <w:u w:val="single" w:color="auto"/>
          <w:color w:val="auto"/>
        </w:rPr>
        <w:t>Section 3(b)(i)</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19799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19799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Issuance Amount (equal to the total Sales Price for such Shares):</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Number of days in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First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Last date of selling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Date(s) if other than standard T+2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151765</wp:posOffset>
            </wp:positionV>
            <wp:extent cx="34886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Floor Price Limitation (in no event less than $1.00 without the prior written consent of the Agent, which consent may be withheld in the Agent’s sole discretion): $ ____ per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14605</wp:posOffset>
            </wp:positionV>
            <wp:extent cx="6540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6540500" cy="8890"/>
                    </a:xfrm>
                    <a:prstGeom prst="rect">
                      <a:avLst/>
                    </a:prstGeom>
                    <a:noFill/>
                  </pic:spPr>
                </pic:pic>
              </a:graphicData>
            </a:graphic>
          </wp:anchor>
        </w:drawing>
        <w:drawing>
          <wp:anchor simplePos="0" relativeHeight="251657728" behindDoc="1" locked="0" layoutInCell="0" allowOverlap="1">
            <wp:simplePos x="0" y="0"/>
            <wp:positionH relativeFrom="column">
              <wp:posOffset>3493770</wp:posOffset>
            </wp:positionH>
            <wp:positionV relativeFrom="paragraph">
              <wp:posOffset>297815</wp:posOffset>
            </wp:positionV>
            <wp:extent cx="364299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36429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14605</wp:posOffset>
            </wp:positionV>
            <wp:extent cx="33604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center"/>
        <w:ind w:right="-1100"/>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Notice Parties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David Zaccardelli xxx@xxx.com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 Hahn xxx@xxx.com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Agent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Donald Lynaugh (xxx@xxx.com)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Michael Magarro (xxx@xxx.com)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154305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Verona Pharma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154305</wp:posOffset>
            </wp:positionV>
            <wp:extent cx="17830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INDENTURE</w:t>
      </w:r>
    </w:p>
    <w:p>
      <w:pPr>
        <w:spacing w:after="0" w:line="229"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Dated as of ___________, 20___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151765</wp:posOffset>
            </wp:positionV>
            <wp:extent cx="17830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[_________]</w:t>
      </w:r>
    </w:p>
    <w:p>
      <w:pPr>
        <w:spacing w:after="0" w:line="22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151765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597535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p>
        </w:tc>
        <w:tc>
          <w:tcPr>
            <w:tcW w:w="7140" w:type="dxa"/>
            <w:vAlign w:val="bottom"/>
          </w:tcPr>
          <w:p>
            <w:pPr>
              <w:ind w:left="3060"/>
              <w:spacing w:after="0"/>
              <w:rPr>
                <w:sz w:val="20"/>
                <w:szCs w:val="20"/>
                <w:color w:val="auto"/>
              </w:rPr>
            </w:pPr>
            <w:r>
              <w:rPr>
                <w:rFonts w:ascii="Arial" w:cs="Arial" w:eastAsia="Arial" w:hAnsi="Arial"/>
                <w:sz w:val="18"/>
                <w:szCs w:val="18"/>
                <w:b w:val="1"/>
                <w:bCs w:val="1"/>
                <w:color w:val="auto"/>
              </w:rPr>
              <w:t>TABLE OF CONTENTS</w:t>
            </w: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391"/>
        </w:trPr>
        <w:tc>
          <w:tcPr>
            <w:tcW w:w="1600" w:type="dxa"/>
            <w:vAlign w:val="bottom"/>
          </w:tcPr>
          <w:p>
            <w:pPr>
              <w:spacing w:after="0"/>
              <w:rPr>
                <w:sz w:val="24"/>
                <w:szCs w:val="24"/>
                <w:color w:val="auto"/>
              </w:rPr>
            </w:pPr>
          </w:p>
        </w:tc>
        <w:tc>
          <w:tcPr>
            <w:tcW w:w="7140" w:type="dxa"/>
            <w:vAlign w:val="bottom"/>
          </w:tcPr>
          <w:p>
            <w:pPr>
              <w:spacing w:after="0"/>
              <w:rPr>
                <w:sz w:val="24"/>
                <w:szCs w:val="24"/>
                <w:color w:val="auto"/>
              </w:rPr>
            </w:pP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Page</w:t>
            </w:r>
          </w:p>
        </w:tc>
      </w:tr>
      <w:tr>
        <w:trPr>
          <w:trHeight w:val="438"/>
        </w:trPr>
        <w:tc>
          <w:tcPr>
            <w:tcW w:w="8740" w:type="dxa"/>
            <w:vAlign w:val="bottom"/>
            <w:gridSpan w:val="2"/>
          </w:tcPr>
          <w:p>
            <w:pPr>
              <w:spacing w:after="0"/>
              <w:rPr>
                <w:sz w:val="20"/>
                <w:szCs w:val="20"/>
                <w:color w:val="auto"/>
              </w:rPr>
            </w:pPr>
            <w:r>
              <w:rPr>
                <w:rFonts w:ascii="Arial" w:cs="Arial" w:eastAsia="Arial" w:hAnsi="Arial"/>
                <w:sz w:val="18"/>
                <w:szCs w:val="18"/>
                <w:color w:val="auto"/>
              </w:rPr>
              <w:t>ARTICLE I. DEFINITIONS AND INCORPORATION BY REFERENCE</w:t>
            </w:r>
          </w:p>
        </w:tc>
        <w:tc>
          <w:tcPr>
            <w:tcW w:w="2160" w:type="dxa"/>
            <w:vAlign w:val="bottom"/>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600" w:type="dxa"/>
            <w:vAlign w:val="bottom"/>
          </w:tcPr>
          <w:p>
            <w:pPr>
              <w:ind w:left="660"/>
              <w:spacing w:after="0"/>
              <w:rPr>
                <w:sz w:val="20"/>
                <w:szCs w:val="20"/>
                <w:color w:val="auto"/>
              </w:rPr>
            </w:pPr>
            <w:r>
              <w:rPr>
                <w:rFonts w:ascii="Arial" w:cs="Arial" w:eastAsia="Arial" w:hAnsi="Arial"/>
                <w:sz w:val="18"/>
                <w:szCs w:val="18"/>
                <w:color w:val="auto"/>
                <w:w w:val="96"/>
              </w:rPr>
              <w:t>Section 1.1.</w:t>
            </w:r>
          </w:p>
        </w:tc>
        <w:tc>
          <w:tcPr>
            <w:tcW w:w="7140" w:type="dxa"/>
            <w:vAlign w:val="bottom"/>
          </w:tcPr>
          <w:p>
            <w:pPr>
              <w:ind w:left="100"/>
              <w:spacing w:after="0"/>
              <w:rPr>
                <w:sz w:val="20"/>
                <w:szCs w:val="20"/>
                <w:color w:val="auto"/>
              </w:rPr>
            </w:pPr>
            <w:r>
              <w:rPr>
                <w:rFonts w:ascii="Arial" w:cs="Arial" w:eastAsia="Arial" w:hAnsi="Arial"/>
                <w:sz w:val="18"/>
                <w:szCs w:val="18"/>
                <w:color w:val="auto"/>
              </w:rPr>
              <w:t>Definitions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600" w:type="dxa"/>
            <w:vAlign w:val="bottom"/>
          </w:tcPr>
          <w:p>
            <w:pPr>
              <w:ind w:left="660"/>
              <w:spacing w:after="0"/>
              <w:rPr>
                <w:sz w:val="20"/>
                <w:szCs w:val="20"/>
                <w:color w:val="auto"/>
              </w:rPr>
            </w:pPr>
            <w:r>
              <w:rPr>
                <w:rFonts w:ascii="Arial" w:cs="Arial" w:eastAsia="Arial" w:hAnsi="Arial"/>
                <w:sz w:val="18"/>
                <w:szCs w:val="18"/>
                <w:color w:val="auto"/>
                <w:w w:val="96"/>
              </w:rPr>
              <w:t>Section 1.2.</w:t>
            </w:r>
          </w:p>
        </w:tc>
        <w:tc>
          <w:tcPr>
            <w:tcW w:w="7140" w:type="dxa"/>
            <w:vAlign w:val="bottom"/>
          </w:tcPr>
          <w:p>
            <w:pPr>
              <w:ind w:left="100"/>
              <w:spacing w:after="0"/>
              <w:rPr>
                <w:sz w:val="20"/>
                <w:szCs w:val="20"/>
                <w:color w:val="auto"/>
              </w:rPr>
            </w:pPr>
            <w:r>
              <w:rPr>
                <w:rFonts w:ascii="Arial" w:cs="Arial" w:eastAsia="Arial" w:hAnsi="Arial"/>
                <w:sz w:val="18"/>
                <w:szCs w:val="18"/>
                <w:color w:val="auto"/>
              </w:rPr>
              <w:t>Other Definitions.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1600" w:type="dxa"/>
            <w:vAlign w:val="bottom"/>
          </w:tcPr>
          <w:p>
            <w:pPr>
              <w:ind w:left="660"/>
              <w:spacing w:after="0"/>
              <w:rPr>
                <w:sz w:val="20"/>
                <w:szCs w:val="20"/>
                <w:color w:val="auto"/>
              </w:rPr>
            </w:pPr>
            <w:r>
              <w:rPr>
                <w:rFonts w:ascii="Arial" w:cs="Arial" w:eastAsia="Arial" w:hAnsi="Arial"/>
                <w:sz w:val="18"/>
                <w:szCs w:val="18"/>
                <w:color w:val="auto"/>
                <w:w w:val="96"/>
              </w:rPr>
              <w:t>Section 1.3.</w:t>
            </w:r>
          </w:p>
        </w:tc>
        <w:tc>
          <w:tcPr>
            <w:tcW w:w="7140" w:type="dxa"/>
            <w:vAlign w:val="bottom"/>
          </w:tcPr>
          <w:p>
            <w:pPr>
              <w:ind w:left="100"/>
              <w:spacing w:after="0"/>
              <w:rPr>
                <w:sz w:val="20"/>
                <w:szCs w:val="20"/>
                <w:color w:val="auto"/>
              </w:rPr>
            </w:pPr>
            <w:r>
              <w:rPr>
                <w:rFonts w:ascii="Arial" w:cs="Arial" w:eastAsia="Arial" w:hAnsi="Arial"/>
                <w:sz w:val="18"/>
                <w:szCs w:val="18"/>
                <w:color w:val="auto"/>
              </w:rPr>
              <w:t>Incorporation by Reference of Trust Indenture Act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1600" w:type="dxa"/>
            <w:vAlign w:val="bottom"/>
          </w:tcPr>
          <w:p>
            <w:pPr>
              <w:ind w:left="660"/>
              <w:spacing w:after="0"/>
              <w:rPr>
                <w:sz w:val="20"/>
                <w:szCs w:val="20"/>
                <w:color w:val="auto"/>
              </w:rPr>
            </w:pPr>
            <w:r>
              <w:rPr>
                <w:rFonts w:ascii="Arial" w:cs="Arial" w:eastAsia="Arial" w:hAnsi="Arial"/>
                <w:sz w:val="18"/>
                <w:szCs w:val="18"/>
                <w:color w:val="auto"/>
                <w:w w:val="96"/>
              </w:rPr>
              <w:t>Section 1.4.</w:t>
            </w:r>
          </w:p>
        </w:tc>
        <w:tc>
          <w:tcPr>
            <w:tcW w:w="7140" w:type="dxa"/>
            <w:vAlign w:val="bottom"/>
          </w:tcPr>
          <w:p>
            <w:pPr>
              <w:ind w:left="100"/>
              <w:spacing w:after="0"/>
              <w:rPr>
                <w:sz w:val="20"/>
                <w:szCs w:val="20"/>
                <w:color w:val="auto"/>
              </w:rPr>
            </w:pPr>
            <w:r>
              <w:rPr>
                <w:rFonts w:ascii="Arial" w:cs="Arial" w:eastAsia="Arial" w:hAnsi="Arial"/>
                <w:sz w:val="18"/>
                <w:szCs w:val="18"/>
                <w:color w:val="auto"/>
              </w:rPr>
              <w:t>Rules of Construction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418"/>
        </w:trPr>
        <w:tc>
          <w:tcPr>
            <w:tcW w:w="8740" w:type="dxa"/>
            <w:vAlign w:val="bottom"/>
            <w:gridSpan w:val="2"/>
          </w:tcPr>
          <w:p>
            <w:pPr>
              <w:spacing w:after="0"/>
              <w:rPr>
                <w:sz w:val="20"/>
                <w:szCs w:val="20"/>
                <w:color w:val="auto"/>
              </w:rPr>
            </w:pPr>
            <w:r>
              <w:rPr>
                <w:rFonts w:ascii="Arial" w:cs="Arial" w:eastAsia="Arial" w:hAnsi="Arial"/>
                <w:sz w:val="18"/>
                <w:szCs w:val="18"/>
                <w:color w:val="auto"/>
              </w:rPr>
              <w:t>ARTICLE II. THE SECURITIES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600" w:type="dxa"/>
            <w:vAlign w:val="bottom"/>
          </w:tcPr>
          <w:p>
            <w:pPr>
              <w:ind w:left="660"/>
              <w:spacing w:after="0"/>
              <w:rPr>
                <w:sz w:val="20"/>
                <w:szCs w:val="20"/>
                <w:color w:val="auto"/>
              </w:rPr>
            </w:pPr>
            <w:r>
              <w:rPr>
                <w:rFonts w:ascii="Arial" w:cs="Arial" w:eastAsia="Arial" w:hAnsi="Arial"/>
                <w:sz w:val="18"/>
                <w:szCs w:val="18"/>
                <w:color w:val="auto"/>
                <w:w w:val="96"/>
              </w:rPr>
              <w:t>Section 2.1.</w:t>
            </w:r>
          </w:p>
        </w:tc>
        <w:tc>
          <w:tcPr>
            <w:tcW w:w="7140" w:type="dxa"/>
            <w:vAlign w:val="bottom"/>
          </w:tcPr>
          <w:p>
            <w:pPr>
              <w:ind w:left="100"/>
              <w:spacing w:after="0"/>
              <w:rPr>
                <w:sz w:val="20"/>
                <w:szCs w:val="20"/>
                <w:color w:val="auto"/>
              </w:rPr>
            </w:pPr>
            <w:r>
              <w:rPr>
                <w:rFonts w:ascii="Arial" w:cs="Arial" w:eastAsia="Arial" w:hAnsi="Arial"/>
                <w:sz w:val="18"/>
                <w:szCs w:val="18"/>
                <w:color w:val="auto"/>
              </w:rPr>
              <w:t>Issuable in Series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600" w:type="dxa"/>
            <w:vAlign w:val="bottom"/>
          </w:tcPr>
          <w:p>
            <w:pPr>
              <w:ind w:left="660"/>
              <w:spacing w:after="0"/>
              <w:rPr>
                <w:sz w:val="20"/>
                <w:szCs w:val="20"/>
                <w:color w:val="auto"/>
              </w:rPr>
            </w:pPr>
            <w:r>
              <w:rPr>
                <w:rFonts w:ascii="Arial" w:cs="Arial" w:eastAsia="Arial" w:hAnsi="Arial"/>
                <w:sz w:val="18"/>
                <w:szCs w:val="18"/>
                <w:color w:val="auto"/>
                <w:w w:val="96"/>
              </w:rPr>
              <w:t>Section 2.2.</w:t>
            </w:r>
          </w:p>
        </w:tc>
        <w:tc>
          <w:tcPr>
            <w:tcW w:w="7140" w:type="dxa"/>
            <w:vAlign w:val="bottom"/>
          </w:tcPr>
          <w:p>
            <w:pPr>
              <w:ind w:left="100"/>
              <w:spacing w:after="0"/>
              <w:rPr>
                <w:sz w:val="20"/>
                <w:szCs w:val="20"/>
                <w:color w:val="auto"/>
              </w:rPr>
            </w:pPr>
            <w:r>
              <w:rPr>
                <w:rFonts w:ascii="Arial" w:cs="Arial" w:eastAsia="Arial" w:hAnsi="Arial"/>
                <w:sz w:val="18"/>
                <w:szCs w:val="18"/>
                <w:color w:val="auto"/>
              </w:rPr>
              <w:t>Establishment of Terms of Series of Securities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600" w:type="dxa"/>
            <w:vAlign w:val="bottom"/>
          </w:tcPr>
          <w:p>
            <w:pPr>
              <w:ind w:left="660"/>
              <w:spacing w:after="0"/>
              <w:rPr>
                <w:sz w:val="20"/>
                <w:szCs w:val="20"/>
                <w:color w:val="auto"/>
              </w:rPr>
            </w:pPr>
            <w:r>
              <w:rPr>
                <w:rFonts w:ascii="Arial" w:cs="Arial" w:eastAsia="Arial" w:hAnsi="Arial"/>
                <w:sz w:val="18"/>
                <w:szCs w:val="18"/>
                <w:color w:val="auto"/>
                <w:w w:val="96"/>
              </w:rPr>
              <w:t>Section 2.3.</w:t>
            </w:r>
          </w:p>
        </w:tc>
        <w:tc>
          <w:tcPr>
            <w:tcW w:w="7140" w:type="dxa"/>
            <w:vAlign w:val="bottom"/>
          </w:tcPr>
          <w:p>
            <w:pPr>
              <w:ind w:left="100"/>
              <w:spacing w:after="0"/>
              <w:rPr>
                <w:sz w:val="20"/>
                <w:szCs w:val="20"/>
                <w:color w:val="auto"/>
              </w:rPr>
            </w:pPr>
            <w:r>
              <w:rPr>
                <w:rFonts w:ascii="Arial" w:cs="Arial" w:eastAsia="Arial" w:hAnsi="Arial"/>
                <w:sz w:val="18"/>
                <w:szCs w:val="18"/>
                <w:color w:val="auto"/>
              </w:rPr>
              <w:t>Execution and Authentication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600" w:type="dxa"/>
            <w:vAlign w:val="bottom"/>
          </w:tcPr>
          <w:p>
            <w:pPr>
              <w:ind w:left="660"/>
              <w:spacing w:after="0"/>
              <w:rPr>
                <w:sz w:val="20"/>
                <w:szCs w:val="20"/>
                <w:color w:val="auto"/>
              </w:rPr>
            </w:pPr>
            <w:r>
              <w:rPr>
                <w:rFonts w:ascii="Arial" w:cs="Arial" w:eastAsia="Arial" w:hAnsi="Arial"/>
                <w:sz w:val="18"/>
                <w:szCs w:val="18"/>
                <w:color w:val="auto"/>
                <w:w w:val="96"/>
              </w:rPr>
              <w:t>Section 2.4.</w:t>
            </w:r>
          </w:p>
        </w:tc>
        <w:tc>
          <w:tcPr>
            <w:tcW w:w="7140" w:type="dxa"/>
            <w:vAlign w:val="bottom"/>
          </w:tcPr>
          <w:p>
            <w:pPr>
              <w:ind w:left="100"/>
              <w:spacing w:after="0"/>
              <w:rPr>
                <w:sz w:val="20"/>
                <w:szCs w:val="20"/>
                <w:color w:val="auto"/>
              </w:rPr>
            </w:pPr>
            <w:r>
              <w:rPr>
                <w:rFonts w:ascii="Arial" w:cs="Arial" w:eastAsia="Arial" w:hAnsi="Arial"/>
                <w:sz w:val="18"/>
                <w:szCs w:val="18"/>
                <w:color w:val="auto"/>
              </w:rPr>
              <w:t>Registrar and Paying Agent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600" w:type="dxa"/>
            <w:vAlign w:val="bottom"/>
          </w:tcPr>
          <w:p>
            <w:pPr>
              <w:ind w:left="660"/>
              <w:spacing w:after="0"/>
              <w:rPr>
                <w:sz w:val="20"/>
                <w:szCs w:val="20"/>
                <w:color w:val="auto"/>
              </w:rPr>
            </w:pPr>
            <w:r>
              <w:rPr>
                <w:rFonts w:ascii="Arial" w:cs="Arial" w:eastAsia="Arial" w:hAnsi="Arial"/>
                <w:sz w:val="18"/>
                <w:szCs w:val="18"/>
                <w:color w:val="auto"/>
                <w:w w:val="96"/>
              </w:rPr>
              <w:t>Section 2.5.</w:t>
            </w:r>
          </w:p>
        </w:tc>
        <w:tc>
          <w:tcPr>
            <w:tcW w:w="7140" w:type="dxa"/>
            <w:vAlign w:val="bottom"/>
          </w:tcPr>
          <w:p>
            <w:pPr>
              <w:ind w:left="100"/>
              <w:spacing w:after="0"/>
              <w:rPr>
                <w:sz w:val="20"/>
                <w:szCs w:val="20"/>
                <w:color w:val="auto"/>
              </w:rPr>
            </w:pPr>
            <w:r>
              <w:rPr>
                <w:rFonts w:ascii="Arial" w:cs="Arial" w:eastAsia="Arial" w:hAnsi="Arial"/>
                <w:sz w:val="18"/>
                <w:szCs w:val="18"/>
                <w:color w:val="auto"/>
              </w:rPr>
              <w:t>Paying Agent to Hold Money in Trust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600" w:type="dxa"/>
            <w:vAlign w:val="bottom"/>
          </w:tcPr>
          <w:p>
            <w:pPr>
              <w:ind w:left="660"/>
              <w:spacing w:after="0"/>
              <w:rPr>
                <w:sz w:val="20"/>
                <w:szCs w:val="20"/>
                <w:color w:val="auto"/>
              </w:rPr>
            </w:pPr>
            <w:r>
              <w:rPr>
                <w:rFonts w:ascii="Arial" w:cs="Arial" w:eastAsia="Arial" w:hAnsi="Arial"/>
                <w:sz w:val="18"/>
                <w:szCs w:val="18"/>
                <w:color w:val="auto"/>
                <w:w w:val="96"/>
              </w:rPr>
              <w:t>Section 2.6.</w:t>
            </w:r>
          </w:p>
        </w:tc>
        <w:tc>
          <w:tcPr>
            <w:tcW w:w="7140" w:type="dxa"/>
            <w:vAlign w:val="bottom"/>
          </w:tcPr>
          <w:p>
            <w:pPr>
              <w:ind w:left="100"/>
              <w:spacing w:after="0"/>
              <w:rPr>
                <w:sz w:val="20"/>
                <w:szCs w:val="20"/>
                <w:color w:val="auto"/>
              </w:rPr>
            </w:pPr>
            <w:r>
              <w:rPr>
                <w:rFonts w:ascii="Arial" w:cs="Arial" w:eastAsia="Arial" w:hAnsi="Arial"/>
                <w:sz w:val="18"/>
                <w:szCs w:val="18"/>
                <w:color w:val="auto"/>
              </w:rPr>
              <w:t>Securityholder Lists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600" w:type="dxa"/>
            <w:vAlign w:val="bottom"/>
          </w:tcPr>
          <w:p>
            <w:pPr>
              <w:ind w:left="660"/>
              <w:spacing w:after="0"/>
              <w:rPr>
                <w:sz w:val="20"/>
                <w:szCs w:val="20"/>
                <w:color w:val="auto"/>
              </w:rPr>
            </w:pPr>
            <w:r>
              <w:rPr>
                <w:rFonts w:ascii="Arial" w:cs="Arial" w:eastAsia="Arial" w:hAnsi="Arial"/>
                <w:sz w:val="18"/>
                <w:szCs w:val="18"/>
                <w:color w:val="auto"/>
                <w:w w:val="96"/>
              </w:rPr>
              <w:t>Section 2.7.</w:t>
            </w:r>
          </w:p>
        </w:tc>
        <w:tc>
          <w:tcPr>
            <w:tcW w:w="7140" w:type="dxa"/>
            <w:vAlign w:val="bottom"/>
          </w:tcPr>
          <w:p>
            <w:pPr>
              <w:ind w:left="80"/>
              <w:spacing w:after="0"/>
              <w:rPr>
                <w:sz w:val="20"/>
                <w:szCs w:val="20"/>
                <w:color w:val="auto"/>
              </w:rPr>
            </w:pPr>
            <w:r>
              <w:rPr>
                <w:rFonts w:ascii="Arial" w:cs="Arial" w:eastAsia="Arial" w:hAnsi="Arial"/>
                <w:sz w:val="18"/>
                <w:szCs w:val="18"/>
                <w:color w:val="auto"/>
              </w:rPr>
              <w:t>Transfer and Exchange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600" w:type="dxa"/>
            <w:vAlign w:val="bottom"/>
          </w:tcPr>
          <w:p>
            <w:pPr>
              <w:ind w:left="660"/>
              <w:spacing w:after="0"/>
              <w:rPr>
                <w:sz w:val="20"/>
                <w:szCs w:val="20"/>
                <w:color w:val="auto"/>
              </w:rPr>
            </w:pPr>
            <w:r>
              <w:rPr>
                <w:rFonts w:ascii="Arial" w:cs="Arial" w:eastAsia="Arial" w:hAnsi="Arial"/>
                <w:sz w:val="18"/>
                <w:szCs w:val="18"/>
                <w:color w:val="auto"/>
                <w:w w:val="96"/>
              </w:rPr>
              <w:t>Section 2.8.</w:t>
            </w:r>
          </w:p>
        </w:tc>
        <w:tc>
          <w:tcPr>
            <w:tcW w:w="7140" w:type="dxa"/>
            <w:vAlign w:val="bottom"/>
          </w:tcPr>
          <w:p>
            <w:pPr>
              <w:ind w:left="100"/>
              <w:spacing w:after="0"/>
              <w:rPr>
                <w:sz w:val="20"/>
                <w:szCs w:val="20"/>
                <w:color w:val="auto"/>
              </w:rPr>
            </w:pPr>
            <w:r>
              <w:rPr>
                <w:rFonts w:ascii="Arial" w:cs="Arial" w:eastAsia="Arial" w:hAnsi="Arial"/>
                <w:sz w:val="18"/>
                <w:szCs w:val="18"/>
                <w:color w:val="auto"/>
              </w:rPr>
              <w:t>Mutilated, Destroyed, Lost and Stolen Securities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600" w:type="dxa"/>
            <w:vAlign w:val="bottom"/>
          </w:tcPr>
          <w:p>
            <w:pPr>
              <w:ind w:left="660"/>
              <w:spacing w:after="0"/>
              <w:rPr>
                <w:sz w:val="20"/>
                <w:szCs w:val="20"/>
                <w:color w:val="auto"/>
              </w:rPr>
            </w:pPr>
            <w:r>
              <w:rPr>
                <w:rFonts w:ascii="Arial" w:cs="Arial" w:eastAsia="Arial" w:hAnsi="Arial"/>
                <w:sz w:val="18"/>
                <w:szCs w:val="18"/>
                <w:color w:val="auto"/>
                <w:w w:val="96"/>
              </w:rPr>
              <w:t>Section 2.9.</w:t>
            </w:r>
          </w:p>
        </w:tc>
        <w:tc>
          <w:tcPr>
            <w:tcW w:w="7140" w:type="dxa"/>
            <w:vAlign w:val="bottom"/>
          </w:tcPr>
          <w:p>
            <w:pPr>
              <w:ind w:left="100"/>
              <w:spacing w:after="0"/>
              <w:rPr>
                <w:sz w:val="20"/>
                <w:szCs w:val="20"/>
                <w:color w:val="auto"/>
              </w:rPr>
            </w:pPr>
            <w:r>
              <w:rPr>
                <w:rFonts w:ascii="Arial" w:cs="Arial" w:eastAsia="Arial" w:hAnsi="Arial"/>
                <w:sz w:val="18"/>
                <w:szCs w:val="18"/>
                <w:color w:val="auto"/>
              </w:rPr>
              <w:t>Outstanding Securities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740" w:type="dxa"/>
            <w:vAlign w:val="bottom"/>
            <w:gridSpan w:val="2"/>
          </w:tcPr>
          <w:p>
            <w:pPr>
              <w:ind w:left="660"/>
              <w:spacing w:after="0"/>
              <w:rPr>
                <w:sz w:val="20"/>
                <w:szCs w:val="20"/>
                <w:color w:val="auto"/>
              </w:rPr>
            </w:pPr>
            <w:r>
              <w:rPr>
                <w:rFonts w:ascii="Arial" w:cs="Arial" w:eastAsia="Arial" w:hAnsi="Arial"/>
                <w:sz w:val="18"/>
                <w:szCs w:val="18"/>
                <w:color w:val="auto"/>
              </w:rPr>
              <w:t>Section 2.10. Treasury Securities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740" w:type="dxa"/>
            <w:vAlign w:val="bottom"/>
            <w:gridSpan w:val="2"/>
          </w:tcPr>
          <w:p>
            <w:pPr>
              <w:ind w:left="660"/>
              <w:spacing w:after="0"/>
              <w:rPr>
                <w:sz w:val="20"/>
                <w:szCs w:val="20"/>
                <w:color w:val="auto"/>
              </w:rPr>
            </w:pPr>
            <w:r>
              <w:rPr>
                <w:rFonts w:ascii="Arial" w:cs="Arial" w:eastAsia="Arial" w:hAnsi="Arial"/>
                <w:sz w:val="18"/>
                <w:szCs w:val="18"/>
                <w:color w:val="auto"/>
              </w:rPr>
              <w:t>Section 2.11. Temporary Securities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740" w:type="dxa"/>
            <w:vAlign w:val="bottom"/>
            <w:gridSpan w:val="2"/>
          </w:tcPr>
          <w:p>
            <w:pPr>
              <w:ind w:left="660"/>
              <w:spacing w:after="0"/>
              <w:rPr>
                <w:sz w:val="20"/>
                <w:szCs w:val="20"/>
                <w:color w:val="auto"/>
              </w:rPr>
            </w:pPr>
            <w:r>
              <w:rPr>
                <w:rFonts w:ascii="Arial" w:cs="Arial" w:eastAsia="Arial" w:hAnsi="Arial"/>
                <w:sz w:val="18"/>
                <w:szCs w:val="18"/>
                <w:color w:val="auto"/>
              </w:rPr>
              <w:t>Section 2.12. Cancellation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740" w:type="dxa"/>
            <w:vAlign w:val="bottom"/>
            <w:gridSpan w:val="2"/>
          </w:tcPr>
          <w:p>
            <w:pPr>
              <w:ind w:left="660"/>
              <w:spacing w:after="0"/>
              <w:rPr>
                <w:sz w:val="20"/>
                <w:szCs w:val="20"/>
                <w:color w:val="auto"/>
              </w:rPr>
            </w:pPr>
            <w:r>
              <w:rPr>
                <w:rFonts w:ascii="Arial" w:cs="Arial" w:eastAsia="Arial" w:hAnsi="Arial"/>
                <w:sz w:val="18"/>
                <w:szCs w:val="18"/>
                <w:color w:val="auto"/>
              </w:rPr>
              <w:t>Section 2.13. Defaulted Interest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740" w:type="dxa"/>
            <w:vAlign w:val="bottom"/>
            <w:gridSpan w:val="2"/>
          </w:tcPr>
          <w:p>
            <w:pPr>
              <w:ind w:left="660"/>
              <w:spacing w:after="0"/>
              <w:rPr>
                <w:sz w:val="20"/>
                <w:szCs w:val="20"/>
                <w:color w:val="auto"/>
              </w:rPr>
            </w:pPr>
            <w:r>
              <w:rPr>
                <w:rFonts w:ascii="Arial" w:cs="Arial" w:eastAsia="Arial" w:hAnsi="Arial"/>
                <w:sz w:val="18"/>
                <w:szCs w:val="18"/>
                <w:color w:val="auto"/>
              </w:rPr>
              <w:t>Section 2.14. Global Securities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740" w:type="dxa"/>
            <w:vAlign w:val="bottom"/>
            <w:gridSpan w:val="2"/>
          </w:tcPr>
          <w:p>
            <w:pPr>
              <w:ind w:left="660"/>
              <w:spacing w:after="0"/>
              <w:rPr>
                <w:sz w:val="20"/>
                <w:szCs w:val="20"/>
                <w:color w:val="auto"/>
              </w:rPr>
            </w:pPr>
            <w:r>
              <w:rPr>
                <w:rFonts w:ascii="Arial" w:cs="Arial" w:eastAsia="Arial" w:hAnsi="Arial"/>
                <w:sz w:val="18"/>
                <w:szCs w:val="18"/>
                <w:color w:val="auto"/>
              </w:rPr>
              <w:t>Section 2.15. CUSIP Numbers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418"/>
        </w:trPr>
        <w:tc>
          <w:tcPr>
            <w:tcW w:w="8740" w:type="dxa"/>
            <w:vAlign w:val="bottom"/>
            <w:gridSpan w:val="2"/>
          </w:tcPr>
          <w:p>
            <w:pPr>
              <w:spacing w:after="0"/>
              <w:rPr>
                <w:sz w:val="20"/>
                <w:szCs w:val="20"/>
                <w:color w:val="auto"/>
              </w:rPr>
            </w:pPr>
            <w:r>
              <w:rPr>
                <w:rFonts w:ascii="Arial" w:cs="Arial" w:eastAsia="Arial" w:hAnsi="Arial"/>
                <w:sz w:val="18"/>
                <w:szCs w:val="18"/>
                <w:color w:val="auto"/>
              </w:rPr>
              <w:t>ARTICLE III. REDEMPTION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740" w:type="dxa"/>
            <w:vAlign w:val="bottom"/>
            <w:gridSpan w:val="2"/>
          </w:tcPr>
          <w:p>
            <w:pPr>
              <w:ind w:left="660"/>
              <w:spacing w:after="0"/>
              <w:rPr>
                <w:sz w:val="20"/>
                <w:szCs w:val="20"/>
                <w:color w:val="auto"/>
              </w:rPr>
            </w:pPr>
            <w:r>
              <w:rPr>
                <w:rFonts w:ascii="Arial" w:cs="Arial" w:eastAsia="Arial" w:hAnsi="Arial"/>
                <w:sz w:val="18"/>
                <w:szCs w:val="18"/>
                <w:color w:val="auto"/>
              </w:rPr>
              <w:t>Section 3.1.  Notice to Trustee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740" w:type="dxa"/>
            <w:vAlign w:val="bottom"/>
            <w:gridSpan w:val="2"/>
          </w:tcPr>
          <w:p>
            <w:pPr>
              <w:ind w:left="660"/>
              <w:spacing w:after="0"/>
              <w:rPr>
                <w:sz w:val="20"/>
                <w:szCs w:val="20"/>
                <w:color w:val="auto"/>
              </w:rPr>
            </w:pPr>
            <w:r>
              <w:rPr>
                <w:rFonts w:ascii="Arial" w:cs="Arial" w:eastAsia="Arial" w:hAnsi="Arial"/>
                <w:sz w:val="18"/>
                <w:szCs w:val="18"/>
                <w:color w:val="auto"/>
              </w:rPr>
              <w:t>Section 3.2.  Selection of Securities to be Redeemed</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740" w:type="dxa"/>
            <w:vAlign w:val="bottom"/>
            <w:gridSpan w:val="2"/>
          </w:tcPr>
          <w:p>
            <w:pPr>
              <w:ind w:left="660"/>
              <w:spacing w:after="0"/>
              <w:rPr>
                <w:sz w:val="20"/>
                <w:szCs w:val="20"/>
                <w:color w:val="auto"/>
              </w:rPr>
            </w:pPr>
            <w:r>
              <w:rPr>
                <w:rFonts w:ascii="Arial" w:cs="Arial" w:eastAsia="Arial" w:hAnsi="Arial"/>
                <w:sz w:val="18"/>
                <w:szCs w:val="18"/>
                <w:color w:val="auto"/>
              </w:rPr>
              <w:t>Section 3.3.  Notice of Redemption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740" w:type="dxa"/>
            <w:vAlign w:val="bottom"/>
            <w:gridSpan w:val="2"/>
          </w:tcPr>
          <w:p>
            <w:pPr>
              <w:ind w:left="660"/>
              <w:spacing w:after="0"/>
              <w:rPr>
                <w:sz w:val="20"/>
                <w:szCs w:val="20"/>
                <w:color w:val="auto"/>
              </w:rPr>
            </w:pPr>
            <w:r>
              <w:rPr>
                <w:rFonts w:ascii="Arial" w:cs="Arial" w:eastAsia="Arial" w:hAnsi="Arial"/>
                <w:sz w:val="18"/>
                <w:szCs w:val="18"/>
                <w:color w:val="auto"/>
              </w:rPr>
              <w:t>Section 3.4.  Effect of Notice of Redemption</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740" w:type="dxa"/>
            <w:vAlign w:val="bottom"/>
            <w:gridSpan w:val="2"/>
          </w:tcPr>
          <w:p>
            <w:pPr>
              <w:ind w:left="660"/>
              <w:spacing w:after="0"/>
              <w:rPr>
                <w:sz w:val="20"/>
                <w:szCs w:val="20"/>
                <w:color w:val="auto"/>
              </w:rPr>
            </w:pPr>
            <w:r>
              <w:rPr>
                <w:rFonts w:ascii="Arial" w:cs="Arial" w:eastAsia="Arial" w:hAnsi="Arial"/>
                <w:sz w:val="18"/>
                <w:szCs w:val="18"/>
                <w:color w:val="auto"/>
              </w:rPr>
              <w:t>Section 3.5.  Deposit of Redemption Price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740" w:type="dxa"/>
            <w:vAlign w:val="bottom"/>
            <w:gridSpan w:val="2"/>
          </w:tcPr>
          <w:p>
            <w:pPr>
              <w:ind w:left="660"/>
              <w:spacing w:after="0"/>
              <w:rPr>
                <w:sz w:val="20"/>
                <w:szCs w:val="20"/>
                <w:color w:val="auto"/>
              </w:rPr>
            </w:pPr>
            <w:r>
              <w:rPr>
                <w:rFonts w:ascii="Arial" w:cs="Arial" w:eastAsia="Arial" w:hAnsi="Arial"/>
                <w:sz w:val="18"/>
                <w:szCs w:val="18"/>
                <w:color w:val="auto"/>
              </w:rPr>
              <w:t>Section 3.6.  Securities Redeemed in Part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418"/>
        </w:trPr>
        <w:tc>
          <w:tcPr>
            <w:tcW w:w="8740" w:type="dxa"/>
            <w:vAlign w:val="bottom"/>
            <w:gridSpan w:val="2"/>
          </w:tcPr>
          <w:p>
            <w:pPr>
              <w:spacing w:after="0"/>
              <w:rPr>
                <w:sz w:val="20"/>
                <w:szCs w:val="20"/>
                <w:color w:val="auto"/>
              </w:rPr>
            </w:pPr>
            <w:r>
              <w:rPr>
                <w:rFonts w:ascii="Arial" w:cs="Arial" w:eastAsia="Arial" w:hAnsi="Arial"/>
                <w:sz w:val="18"/>
                <w:szCs w:val="18"/>
                <w:color w:val="auto"/>
              </w:rPr>
              <w:t>ARTICLE IV. COVENANTS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740" w:type="dxa"/>
            <w:vAlign w:val="bottom"/>
            <w:gridSpan w:val="2"/>
          </w:tcPr>
          <w:p>
            <w:pPr>
              <w:ind w:left="660"/>
              <w:spacing w:after="0"/>
              <w:rPr>
                <w:sz w:val="20"/>
                <w:szCs w:val="20"/>
                <w:color w:val="auto"/>
              </w:rPr>
            </w:pPr>
            <w:r>
              <w:rPr>
                <w:rFonts w:ascii="Arial" w:cs="Arial" w:eastAsia="Arial" w:hAnsi="Arial"/>
                <w:sz w:val="18"/>
                <w:szCs w:val="18"/>
                <w:color w:val="auto"/>
              </w:rPr>
              <w:t>Section 4.1.  Payment of Principal and Interest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600" w:type="dxa"/>
            <w:vAlign w:val="bottom"/>
          </w:tcPr>
          <w:p>
            <w:pPr>
              <w:ind w:left="660"/>
              <w:spacing w:after="0"/>
              <w:rPr>
                <w:sz w:val="20"/>
                <w:szCs w:val="20"/>
                <w:color w:val="auto"/>
              </w:rPr>
            </w:pPr>
            <w:r>
              <w:rPr>
                <w:rFonts w:ascii="Arial" w:cs="Arial" w:eastAsia="Arial" w:hAnsi="Arial"/>
                <w:sz w:val="18"/>
                <w:szCs w:val="18"/>
                <w:color w:val="auto"/>
                <w:w w:val="96"/>
              </w:rPr>
              <w:t>Section 4.2.</w:t>
            </w:r>
          </w:p>
        </w:tc>
        <w:tc>
          <w:tcPr>
            <w:tcW w:w="7140" w:type="dxa"/>
            <w:vAlign w:val="bottom"/>
          </w:tcPr>
          <w:p>
            <w:pPr>
              <w:ind w:left="100"/>
              <w:spacing w:after="0"/>
              <w:rPr>
                <w:sz w:val="20"/>
                <w:szCs w:val="20"/>
                <w:color w:val="auto"/>
              </w:rPr>
            </w:pPr>
            <w:r>
              <w:rPr>
                <w:rFonts w:ascii="Arial" w:cs="Arial" w:eastAsia="Arial" w:hAnsi="Arial"/>
                <w:sz w:val="18"/>
                <w:szCs w:val="18"/>
                <w:color w:val="auto"/>
              </w:rPr>
              <w:t>SEC Reports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600" w:type="dxa"/>
            <w:vAlign w:val="bottom"/>
          </w:tcPr>
          <w:p>
            <w:pPr>
              <w:ind w:left="660"/>
              <w:spacing w:after="0"/>
              <w:rPr>
                <w:sz w:val="20"/>
                <w:szCs w:val="20"/>
                <w:color w:val="auto"/>
              </w:rPr>
            </w:pPr>
            <w:r>
              <w:rPr>
                <w:rFonts w:ascii="Arial" w:cs="Arial" w:eastAsia="Arial" w:hAnsi="Arial"/>
                <w:sz w:val="18"/>
                <w:szCs w:val="18"/>
                <w:color w:val="auto"/>
                <w:w w:val="96"/>
              </w:rPr>
              <w:t>Section 4.3.</w:t>
            </w:r>
          </w:p>
        </w:tc>
        <w:tc>
          <w:tcPr>
            <w:tcW w:w="7140" w:type="dxa"/>
            <w:vAlign w:val="bottom"/>
          </w:tcPr>
          <w:p>
            <w:pPr>
              <w:ind w:left="100"/>
              <w:spacing w:after="0"/>
              <w:rPr>
                <w:sz w:val="20"/>
                <w:szCs w:val="20"/>
                <w:color w:val="auto"/>
              </w:rPr>
            </w:pPr>
            <w:r>
              <w:rPr>
                <w:rFonts w:ascii="Arial" w:cs="Arial" w:eastAsia="Arial" w:hAnsi="Arial"/>
                <w:sz w:val="18"/>
                <w:szCs w:val="18"/>
                <w:color w:val="auto"/>
              </w:rPr>
              <w:t>Compliance Certificate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8740" w:type="dxa"/>
            <w:vAlign w:val="bottom"/>
            <w:gridSpan w:val="2"/>
          </w:tcPr>
          <w:p>
            <w:pPr>
              <w:ind w:left="660"/>
              <w:spacing w:after="0"/>
              <w:rPr>
                <w:sz w:val="20"/>
                <w:szCs w:val="20"/>
                <w:color w:val="auto"/>
              </w:rPr>
            </w:pPr>
            <w:r>
              <w:rPr>
                <w:rFonts w:ascii="Arial" w:cs="Arial" w:eastAsia="Arial" w:hAnsi="Arial"/>
                <w:sz w:val="18"/>
                <w:szCs w:val="18"/>
                <w:color w:val="auto"/>
              </w:rPr>
              <w:t>Section 4.4.  Stay, Extension and Usury Laws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418"/>
        </w:trPr>
        <w:tc>
          <w:tcPr>
            <w:tcW w:w="8740" w:type="dxa"/>
            <w:vAlign w:val="bottom"/>
            <w:gridSpan w:val="2"/>
          </w:tcPr>
          <w:p>
            <w:pPr>
              <w:spacing w:after="0"/>
              <w:rPr>
                <w:sz w:val="20"/>
                <w:szCs w:val="20"/>
                <w:color w:val="auto"/>
              </w:rPr>
            </w:pPr>
            <w:r>
              <w:rPr>
                <w:rFonts w:ascii="Arial" w:cs="Arial" w:eastAsia="Arial" w:hAnsi="Arial"/>
                <w:sz w:val="18"/>
                <w:szCs w:val="18"/>
                <w:color w:val="auto"/>
              </w:rPr>
              <w:t>ARTICLE V. SUCCESSORS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740" w:type="dxa"/>
            <w:vAlign w:val="bottom"/>
            <w:gridSpan w:val="2"/>
          </w:tcPr>
          <w:p>
            <w:pPr>
              <w:ind w:left="660"/>
              <w:spacing w:after="0"/>
              <w:rPr>
                <w:sz w:val="20"/>
                <w:szCs w:val="20"/>
                <w:color w:val="auto"/>
              </w:rPr>
            </w:pPr>
            <w:r>
              <w:rPr>
                <w:rFonts w:ascii="Arial" w:cs="Arial" w:eastAsia="Arial" w:hAnsi="Arial"/>
                <w:sz w:val="18"/>
                <w:szCs w:val="18"/>
                <w:color w:val="auto"/>
              </w:rPr>
              <w:t>Section 5.1.  When Company May Merge, Etc.</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8740" w:type="dxa"/>
            <w:vAlign w:val="bottom"/>
            <w:gridSpan w:val="2"/>
          </w:tcPr>
          <w:p>
            <w:pPr>
              <w:ind w:left="660"/>
              <w:spacing w:after="0"/>
              <w:rPr>
                <w:sz w:val="20"/>
                <w:szCs w:val="20"/>
                <w:color w:val="auto"/>
              </w:rPr>
            </w:pPr>
            <w:r>
              <w:rPr>
                <w:rFonts w:ascii="Arial" w:cs="Arial" w:eastAsia="Arial" w:hAnsi="Arial"/>
                <w:sz w:val="18"/>
                <w:szCs w:val="18"/>
                <w:color w:val="auto"/>
              </w:rPr>
              <w:t>Section 5.2.  Successor Corporation Substituted</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418"/>
        </w:trPr>
        <w:tc>
          <w:tcPr>
            <w:tcW w:w="8740" w:type="dxa"/>
            <w:vAlign w:val="bottom"/>
            <w:gridSpan w:val="2"/>
          </w:tcPr>
          <w:p>
            <w:pPr>
              <w:spacing w:after="0"/>
              <w:rPr>
                <w:sz w:val="20"/>
                <w:szCs w:val="20"/>
                <w:color w:val="auto"/>
              </w:rPr>
            </w:pPr>
            <w:r>
              <w:rPr>
                <w:rFonts w:ascii="Arial" w:cs="Arial" w:eastAsia="Arial" w:hAnsi="Arial"/>
                <w:sz w:val="18"/>
                <w:szCs w:val="18"/>
                <w:color w:val="auto"/>
              </w:rPr>
              <w:t>ARTICLE VI. DEFAULTS AND REMEDIES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600" w:type="dxa"/>
            <w:vAlign w:val="bottom"/>
          </w:tcPr>
          <w:p>
            <w:pPr>
              <w:ind w:left="660"/>
              <w:spacing w:after="0"/>
              <w:rPr>
                <w:sz w:val="20"/>
                <w:szCs w:val="20"/>
                <w:color w:val="auto"/>
              </w:rPr>
            </w:pPr>
            <w:r>
              <w:rPr>
                <w:rFonts w:ascii="Arial" w:cs="Arial" w:eastAsia="Arial" w:hAnsi="Arial"/>
                <w:sz w:val="18"/>
                <w:szCs w:val="18"/>
                <w:color w:val="auto"/>
                <w:w w:val="96"/>
              </w:rPr>
              <w:t>Section 6.1.</w:t>
            </w:r>
          </w:p>
        </w:tc>
        <w:tc>
          <w:tcPr>
            <w:tcW w:w="7140" w:type="dxa"/>
            <w:vAlign w:val="bottom"/>
          </w:tcPr>
          <w:p>
            <w:pPr>
              <w:ind w:left="100"/>
              <w:spacing w:after="0"/>
              <w:rPr>
                <w:sz w:val="20"/>
                <w:szCs w:val="20"/>
                <w:color w:val="auto"/>
              </w:rPr>
            </w:pPr>
            <w:r>
              <w:rPr>
                <w:rFonts w:ascii="Arial" w:cs="Arial" w:eastAsia="Arial" w:hAnsi="Arial"/>
                <w:sz w:val="18"/>
                <w:szCs w:val="18"/>
                <w:color w:val="auto"/>
              </w:rPr>
              <w:t>Events of Default.</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19</w:t>
            </w: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6.2.  Acceleration of Maturity; Rescission and Annulment</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6.3.  Collection of Indebtedness and Suits for Enforcement by Trustee</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6.4.  Trustee May File Proofs of Claim</w:t>
            </w:r>
          </w:p>
        </w:tc>
        <w:tc>
          <w:tcPr>
            <w:tcW w:w="2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6.5.  Trustee May Enforce Claims Without Possession of Securities</w:t>
            </w:r>
          </w:p>
        </w:tc>
        <w:tc>
          <w:tcPr>
            <w:tcW w:w="2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6.6.  Application of Money Collected</w:t>
            </w:r>
          </w:p>
        </w:tc>
        <w:tc>
          <w:tcPr>
            <w:tcW w:w="2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6.7.  Limitation on Suits</w:t>
            </w:r>
          </w:p>
        </w:tc>
        <w:tc>
          <w:tcPr>
            <w:tcW w:w="2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6.8.  Unconditional Right of Holders to Receive Principal and Interest</w:t>
            </w:r>
          </w:p>
        </w:tc>
        <w:tc>
          <w:tcPr>
            <w:tcW w:w="2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6.9.  Restoration of Rights and Remedies</w:t>
            </w:r>
          </w:p>
        </w:tc>
        <w:tc>
          <w:tcPr>
            <w:tcW w:w="25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6.10.  Rights and Remedies Cumulative</w:t>
            </w:r>
          </w:p>
        </w:tc>
        <w:tc>
          <w:tcPr>
            <w:tcW w:w="2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6.11.  Delay or Omission Not Waiver</w:t>
            </w:r>
          </w:p>
        </w:tc>
        <w:tc>
          <w:tcPr>
            <w:tcW w:w="2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6.12.  Control by Holders</w:t>
            </w:r>
          </w:p>
        </w:tc>
        <w:tc>
          <w:tcPr>
            <w:tcW w:w="25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6.13.  Waiver of Past Defaults</w:t>
            </w:r>
          </w:p>
        </w:tc>
        <w:tc>
          <w:tcPr>
            <w:tcW w:w="2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6.14.  Undertaking for Costs</w:t>
            </w:r>
          </w:p>
        </w:tc>
        <w:tc>
          <w:tcPr>
            <w:tcW w:w="2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8"/>
        </w:trPr>
        <w:tc>
          <w:tcPr>
            <w:tcW w:w="8720" w:type="dxa"/>
            <w:vAlign w:val="bottom"/>
            <w:gridSpan w:val="2"/>
          </w:tcPr>
          <w:p>
            <w:pPr>
              <w:spacing w:after="0"/>
              <w:rPr>
                <w:sz w:val="20"/>
                <w:szCs w:val="20"/>
                <w:color w:val="auto"/>
              </w:rPr>
            </w:pPr>
            <w:r>
              <w:rPr>
                <w:rFonts w:ascii="Arial" w:cs="Arial" w:eastAsia="Arial" w:hAnsi="Arial"/>
                <w:sz w:val="18"/>
                <w:szCs w:val="18"/>
                <w:color w:val="auto"/>
              </w:rPr>
              <w:t>ARTICLE VII. TRUSTEE</w:t>
            </w:r>
          </w:p>
        </w:tc>
        <w:tc>
          <w:tcPr>
            <w:tcW w:w="2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7.1.  Duties of Trustee</w:t>
            </w:r>
          </w:p>
        </w:tc>
        <w:tc>
          <w:tcPr>
            <w:tcW w:w="25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7.2.  Rights of Trustee</w:t>
            </w:r>
          </w:p>
        </w:tc>
        <w:tc>
          <w:tcPr>
            <w:tcW w:w="252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7.3.  Individual Rights of Trustee</w:t>
            </w:r>
          </w:p>
        </w:tc>
        <w:tc>
          <w:tcPr>
            <w:tcW w:w="2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640" w:type="dxa"/>
            <w:vAlign w:val="bottom"/>
          </w:tcPr>
          <w:p>
            <w:pPr>
              <w:ind w:left="660"/>
              <w:spacing w:after="0"/>
              <w:rPr>
                <w:sz w:val="20"/>
                <w:szCs w:val="20"/>
                <w:color w:val="auto"/>
              </w:rPr>
            </w:pPr>
            <w:r>
              <w:rPr>
                <w:rFonts w:ascii="Arial" w:cs="Arial" w:eastAsia="Arial" w:hAnsi="Arial"/>
                <w:sz w:val="18"/>
                <w:szCs w:val="18"/>
                <w:color w:val="auto"/>
              </w:rPr>
              <w:t>Section 7.4.</w:t>
            </w:r>
          </w:p>
        </w:tc>
        <w:tc>
          <w:tcPr>
            <w:tcW w:w="7080" w:type="dxa"/>
            <w:vAlign w:val="bottom"/>
          </w:tcPr>
          <w:p>
            <w:pPr>
              <w:ind w:left="40"/>
              <w:spacing w:after="0"/>
              <w:rPr>
                <w:sz w:val="20"/>
                <w:szCs w:val="20"/>
                <w:color w:val="auto"/>
              </w:rPr>
            </w:pPr>
            <w:r>
              <w:rPr>
                <w:rFonts w:ascii="Arial" w:cs="Arial" w:eastAsia="Arial" w:hAnsi="Arial"/>
                <w:sz w:val="18"/>
                <w:szCs w:val="18"/>
                <w:color w:val="auto"/>
              </w:rPr>
              <w:t>Trustee’s Disclaimer</w:t>
            </w:r>
          </w:p>
        </w:tc>
        <w:tc>
          <w:tcPr>
            <w:tcW w:w="2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7.5.  Notice of Defaults</w:t>
            </w:r>
          </w:p>
        </w:tc>
        <w:tc>
          <w:tcPr>
            <w:tcW w:w="2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7.6.  Reports by Trustee to Holders</w:t>
            </w:r>
          </w:p>
        </w:tc>
        <w:tc>
          <w:tcPr>
            <w:tcW w:w="2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7.7.  Compensation and Indemnity</w:t>
            </w:r>
          </w:p>
        </w:tc>
        <w:tc>
          <w:tcPr>
            <w:tcW w:w="25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7.8.  Replacement of Trustee</w:t>
            </w:r>
          </w:p>
        </w:tc>
        <w:tc>
          <w:tcPr>
            <w:tcW w:w="252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7.9.  Successor Trustee by Merger, Etc</w:t>
            </w:r>
          </w:p>
        </w:tc>
        <w:tc>
          <w:tcPr>
            <w:tcW w:w="2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640" w:type="dxa"/>
            <w:vAlign w:val="bottom"/>
          </w:tcPr>
          <w:p>
            <w:pPr>
              <w:ind w:left="660"/>
              <w:spacing w:after="0"/>
              <w:rPr>
                <w:sz w:val="20"/>
                <w:szCs w:val="20"/>
                <w:color w:val="auto"/>
              </w:rPr>
            </w:pPr>
            <w:r>
              <w:rPr>
                <w:rFonts w:ascii="Arial" w:cs="Arial" w:eastAsia="Arial" w:hAnsi="Arial"/>
                <w:sz w:val="18"/>
                <w:szCs w:val="18"/>
                <w:color w:val="auto"/>
                <w:w w:val="91"/>
              </w:rPr>
              <w:t>Section 7.10.</w:t>
            </w:r>
          </w:p>
        </w:tc>
        <w:tc>
          <w:tcPr>
            <w:tcW w:w="7080" w:type="dxa"/>
            <w:vAlign w:val="bottom"/>
          </w:tcPr>
          <w:p>
            <w:pPr>
              <w:ind w:left="140"/>
              <w:spacing w:after="0"/>
              <w:rPr>
                <w:sz w:val="20"/>
                <w:szCs w:val="20"/>
                <w:color w:val="auto"/>
              </w:rPr>
            </w:pPr>
            <w:r>
              <w:rPr>
                <w:rFonts w:ascii="Arial" w:cs="Arial" w:eastAsia="Arial" w:hAnsi="Arial"/>
                <w:sz w:val="18"/>
                <w:szCs w:val="18"/>
                <w:color w:val="auto"/>
              </w:rPr>
              <w:t>Eligibility; Disqualification</w:t>
            </w:r>
          </w:p>
        </w:tc>
        <w:tc>
          <w:tcPr>
            <w:tcW w:w="2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7.11.  Preferential Collection of Claims Against Company</w:t>
            </w:r>
          </w:p>
        </w:tc>
        <w:tc>
          <w:tcPr>
            <w:tcW w:w="25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8"/>
        </w:trPr>
        <w:tc>
          <w:tcPr>
            <w:tcW w:w="8720" w:type="dxa"/>
            <w:vAlign w:val="bottom"/>
            <w:gridSpan w:val="2"/>
          </w:tcPr>
          <w:p>
            <w:pPr>
              <w:spacing w:after="0"/>
              <w:rPr>
                <w:sz w:val="20"/>
                <w:szCs w:val="20"/>
                <w:color w:val="auto"/>
              </w:rPr>
            </w:pPr>
            <w:r>
              <w:rPr>
                <w:rFonts w:ascii="Arial" w:cs="Arial" w:eastAsia="Arial" w:hAnsi="Arial"/>
                <w:sz w:val="18"/>
                <w:szCs w:val="18"/>
                <w:color w:val="auto"/>
              </w:rPr>
              <w:t>ARTICLE VIII. SATISFACTION AND DISCHARGE; DEFEASANCE</w:t>
            </w:r>
          </w:p>
        </w:tc>
        <w:tc>
          <w:tcPr>
            <w:tcW w:w="2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8.1.  Satisfaction and Discharge of Indenture</w:t>
            </w:r>
          </w:p>
        </w:tc>
        <w:tc>
          <w:tcPr>
            <w:tcW w:w="25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8.2.  Application of Trust Funds; Indemnification</w:t>
            </w:r>
          </w:p>
        </w:tc>
        <w:tc>
          <w:tcPr>
            <w:tcW w:w="2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8.3.  Legal Defeasance of Securities of any Series</w:t>
            </w:r>
          </w:p>
        </w:tc>
        <w:tc>
          <w:tcPr>
            <w:tcW w:w="2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640" w:type="dxa"/>
            <w:vAlign w:val="bottom"/>
          </w:tcPr>
          <w:p>
            <w:pPr>
              <w:ind w:left="660"/>
              <w:spacing w:after="0"/>
              <w:rPr>
                <w:sz w:val="20"/>
                <w:szCs w:val="20"/>
                <w:color w:val="auto"/>
              </w:rPr>
            </w:pPr>
            <w:r>
              <w:rPr>
                <w:rFonts w:ascii="Arial" w:cs="Arial" w:eastAsia="Arial" w:hAnsi="Arial"/>
                <w:sz w:val="18"/>
                <w:szCs w:val="18"/>
                <w:color w:val="auto"/>
              </w:rPr>
              <w:t>Section 8.4.</w:t>
            </w:r>
          </w:p>
        </w:tc>
        <w:tc>
          <w:tcPr>
            <w:tcW w:w="7080" w:type="dxa"/>
            <w:vAlign w:val="bottom"/>
          </w:tcPr>
          <w:p>
            <w:pPr>
              <w:ind w:left="60"/>
              <w:spacing w:after="0"/>
              <w:rPr>
                <w:sz w:val="20"/>
                <w:szCs w:val="20"/>
                <w:color w:val="auto"/>
              </w:rPr>
            </w:pPr>
            <w:r>
              <w:rPr>
                <w:rFonts w:ascii="Arial" w:cs="Arial" w:eastAsia="Arial" w:hAnsi="Arial"/>
                <w:sz w:val="18"/>
                <w:szCs w:val="18"/>
                <w:color w:val="auto"/>
              </w:rPr>
              <w:t>Covenant Defeasance</w:t>
            </w:r>
          </w:p>
        </w:tc>
        <w:tc>
          <w:tcPr>
            <w:tcW w:w="25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8.5.  Repayment to Company</w:t>
            </w:r>
          </w:p>
        </w:tc>
        <w:tc>
          <w:tcPr>
            <w:tcW w:w="2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1640" w:type="dxa"/>
            <w:vAlign w:val="bottom"/>
          </w:tcPr>
          <w:p>
            <w:pPr>
              <w:ind w:left="660"/>
              <w:spacing w:after="0"/>
              <w:rPr>
                <w:sz w:val="20"/>
                <w:szCs w:val="20"/>
                <w:color w:val="auto"/>
              </w:rPr>
            </w:pPr>
            <w:r>
              <w:rPr>
                <w:rFonts w:ascii="Arial" w:cs="Arial" w:eastAsia="Arial" w:hAnsi="Arial"/>
                <w:sz w:val="18"/>
                <w:szCs w:val="18"/>
                <w:color w:val="auto"/>
              </w:rPr>
              <w:t>Section 8.6.</w:t>
            </w:r>
          </w:p>
        </w:tc>
        <w:tc>
          <w:tcPr>
            <w:tcW w:w="7080" w:type="dxa"/>
            <w:vAlign w:val="bottom"/>
          </w:tcPr>
          <w:p>
            <w:pPr>
              <w:ind w:left="60"/>
              <w:spacing w:after="0"/>
              <w:rPr>
                <w:sz w:val="20"/>
                <w:szCs w:val="20"/>
                <w:color w:val="auto"/>
              </w:rPr>
            </w:pPr>
            <w:r>
              <w:rPr>
                <w:rFonts w:ascii="Arial" w:cs="Arial" w:eastAsia="Arial" w:hAnsi="Arial"/>
                <w:sz w:val="18"/>
                <w:szCs w:val="18"/>
                <w:color w:val="auto"/>
              </w:rPr>
              <w:t>Reinstatement</w:t>
            </w:r>
          </w:p>
        </w:tc>
        <w:tc>
          <w:tcPr>
            <w:tcW w:w="2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18"/>
        </w:trPr>
        <w:tc>
          <w:tcPr>
            <w:tcW w:w="8720" w:type="dxa"/>
            <w:vAlign w:val="bottom"/>
            <w:gridSpan w:val="2"/>
          </w:tcPr>
          <w:p>
            <w:pPr>
              <w:spacing w:after="0"/>
              <w:rPr>
                <w:sz w:val="20"/>
                <w:szCs w:val="20"/>
                <w:color w:val="auto"/>
              </w:rPr>
            </w:pPr>
            <w:r>
              <w:rPr>
                <w:rFonts w:ascii="Arial" w:cs="Arial" w:eastAsia="Arial" w:hAnsi="Arial"/>
                <w:sz w:val="18"/>
                <w:szCs w:val="18"/>
                <w:color w:val="auto"/>
              </w:rPr>
              <w:t>ARTICLE IX. AMENDMENTS AND WAIVERS</w:t>
            </w:r>
          </w:p>
        </w:tc>
        <w:tc>
          <w:tcPr>
            <w:tcW w:w="25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9.1.  Without Consent of Holders</w:t>
            </w:r>
          </w:p>
        </w:tc>
        <w:tc>
          <w:tcPr>
            <w:tcW w:w="25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9.2.  With Consent of Holders</w:t>
            </w:r>
          </w:p>
        </w:tc>
        <w:tc>
          <w:tcPr>
            <w:tcW w:w="25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640" w:type="dxa"/>
            <w:vAlign w:val="bottom"/>
          </w:tcPr>
          <w:p>
            <w:pPr>
              <w:ind w:left="660"/>
              <w:spacing w:after="0"/>
              <w:rPr>
                <w:sz w:val="20"/>
                <w:szCs w:val="20"/>
                <w:color w:val="auto"/>
              </w:rPr>
            </w:pPr>
            <w:r>
              <w:rPr>
                <w:rFonts w:ascii="Arial" w:cs="Arial" w:eastAsia="Arial" w:hAnsi="Arial"/>
                <w:sz w:val="18"/>
                <w:szCs w:val="18"/>
                <w:color w:val="auto"/>
              </w:rPr>
              <w:t>Section 9.3.</w:t>
            </w:r>
          </w:p>
        </w:tc>
        <w:tc>
          <w:tcPr>
            <w:tcW w:w="7080" w:type="dxa"/>
            <w:vAlign w:val="bottom"/>
          </w:tcPr>
          <w:p>
            <w:pPr>
              <w:ind w:left="60"/>
              <w:spacing w:after="0"/>
              <w:rPr>
                <w:sz w:val="20"/>
                <w:szCs w:val="20"/>
                <w:color w:val="auto"/>
              </w:rPr>
            </w:pPr>
            <w:r>
              <w:rPr>
                <w:rFonts w:ascii="Arial" w:cs="Arial" w:eastAsia="Arial" w:hAnsi="Arial"/>
                <w:sz w:val="18"/>
                <w:szCs w:val="18"/>
                <w:color w:val="auto"/>
              </w:rPr>
              <w:t>Limitations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9.4.  Compliance with Trust Indenture Act</w:t>
            </w:r>
          </w:p>
        </w:tc>
        <w:tc>
          <w:tcPr>
            <w:tcW w:w="2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9.5.  Revocation and Effect of Consents</w:t>
            </w:r>
          </w:p>
        </w:tc>
        <w:tc>
          <w:tcPr>
            <w:tcW w:w="2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9.6.  Notation on or Exchange of Securities</w:t>
            </w:r>
          </w:p>
        </w:tc>
        <w:tc>
          <w:tcPr>
            <w:tcW w:w="2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1640" w:type="dxa"/>
            <w:vAlign w:val="bottom"/>
          </w:tcPr>
          <w:p>
            <w:pPr>
              <w:ind w:left="660"/>
              <w:spacing w:after="0"/>
              <w:rPr>
                <w:sz w:val="20"/>
                <w:szCs w:val="20"/>
                <w:color w:val="auto"/>
              </w:rPr>
            </w:pPr>
            <w:r>
              <w:rPr>
                <w:rFonts w:ascii="Arial" w:cs="Arial" w:eastAsia="Arial" w:hAnsi="Arial"/>
                <w:sz w:val="18"/>
                <w:szCs w:val="18"/>
                <w:color w:val="auto"/>
              </w:rPr>
              <w:t>Section 9.7.</w:t>
            </w:r>
          </w:p>
        </w:tc>
        <w:tc>
          <w:tcPr>
            <w:tcW w:w="7080" w:type="dxa"/>
            <w:vAlign w:val="bottom"/>
          </w:tcPr>
          <w:p>
            <w:pPr>
              <w:ind w:left="40"/>
              <w:spacing w:after="0"/>
              <w:rPr>
                <w:sz w:val="20"/>
                <w:szCs w:val="20"/>
                <w:color w:val="auto"/>
              </w:rPr>
            </w:pPr>
            <w:r>
              <w:rPr>
                <w:rFonts w:ascii="Arial" w:cs="Arial" w:eastAsia="Arial" w:hAnsi="Arial"/>
                <w:sz w:val="18"/>
                <w:szCs w:val="18"/>
                <w:color w:val="auto"/>
              </w:rPr>
              <w:t>Trustee Protected</w:t>
            </w:r>
          </w:p>
        </w:tc>
        <w:tc>
          <w:tcPr>
            <w:tcW w:w="25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18"/>
        </w:trPr>
        <w:tc>
          <w:tcPr>
            <w:tcW w:w="872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2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8720" w:type="dxa"/>
            <w:vAlign w:val="bottom"/>
            <w:gridSpan w:val="2"/>
          </w:tcPr>
          <w:p>
            <w:pPr>
              <w:ind w:left="660"/>
              <w:spacing w:after="0"/>
              <w:rPr>
                <w:sz w:val="20"/>
                <w:szCs w:val="20"/>
                <w:color w:val="auto"/>
              </w:rPr>
            </w:pPr>
            <w:r>
              <w:rPr>
                <w:rFonts w:ascii="Arial" w:cs="Arial" w:eastAsia="Arial" w:hAnsi="Arial"/>
                <w:sz w:val="18"/>
                <w:szCs w:val="18"/>
                <w:color w:val="auto"/>
              </w:rPr>
              <w:t>Section 10.1.  Trust Indenture Act Controls</w:t>
            </w:r>
          </w:p>
        </w:tc>
        <w:tc>
          <w:tcPr>
            <w:tcW w:w="252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1640" w:type="dxa"/>
            <w:vAlign w:val="bottom"/>
          </w:tcPr>
          <w:p>
            <w:pPr>
              <w:ind w:left="660"/>
              <w:spacing w:after="0"/>
              <w:rPr>
                <w:sz w:val="20"/>
                <w:szCs w:val="20"/>
                <w:color w:val="auto"/>
              </w:rPr>
            </w:pPr>
            <w:r>
              <w:rPr>
                <w:rFonts w:ascii="Arial" w:cs="Arial" w:eastAsia="Arial" w:hAnsi="Arial"/>
                <w:sz w:val="18"/>
                <w:szCs w:val="18"/>
                <w:color w:val="auto"/>
                <w:w w:val="91"/>
              </w:rPr>
              <w:t>Section 10.2.</w:t>
            </w:r>
          </w:p>
        </w:tc>
        <w:tc>
          <w:tcPr>
            <w:tcW w:w="7080" w:type="dxa"/>
            <w:vAlign w:val="bottom"/>
          </w:tcPr>
          <w:p>
            <w:pPr>
              <w:ind w:left="140"/>
              <w:spacing w:after="0"/>
              <w:rPr>
                <w:sz w:val="20"/>
                <w:szCs w:val="20"/>
                <w:color w:val="auto"/>
              </w:rPr>
            </w:pPr>
            <w:r>
              <w:rPr>
                <w:rFonts w:ascii="Arial" w:cs="Arial" w:eastAsia="Arial" w:hAnsi="Arial"/>
                <w:sz w:val="18"/>
                <w:szCs w:val="18"/>
                <w:color w:val="auto"/>
              </w:rPr>
              <w:t>Notices</w:t>
            </w:r>
          </w:p>
        </w:tc>
        <w:tc>
          <w:tcPr>
            <w:tcW w:w="2520" w:type="dxa"/>
            <w:vAlign w:val="bottom"/>
          </w:tcPr>
          <w:p>
            <w:pPr>
              <w:jc w:val="right"/>
              <w:spacing w:after="0"/>
              <w:rPr>
                <w:sz w:val="20"/>
                <w:szCs w:val="20"/>
                <w:color w:val="auto"/>
              </w:rPr>
            </w:pPr>
            <w:r>
              <w:rPr>
                <w:rFonts w:ascii="Arial" w:cs="Arial" w:eastAsia="Arial" w:hAnsi="Arial"/>
                <w:sz w:val="18"/>
                <w:szCs w:val="18"/>
                <w:color w:val="auto"/>
              </w:rPr>
              <w:t>40</w:t>
            </w:r>
          </w:p>
        </w:tc>
      </w:tr>
    </w:tbl>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16"/>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Section 10.3.  Communication by Holders with Other Holders</w:t>
            </w:r>
          </w:p>
        </w:tc>
        <w:tc>
          <w:tcPr>
            <w:tcW w:w="2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Section 10.4.  Certificate and Opinion as to Conditions Precedent</w:t>
            </w:r>
          </w:p>
        </w:tc>
        <w:tc>
          <w:tcPr>
            <w:tcW w:w="2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Section 10.5.  Statements Required in Certificate or Opinion</w:t>
            </w:r>
          </w:p>
        </w:tc>
        <w:tc>
          <w:tcPr>
            <w:tcW w:w="25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Section 10.6.  Rules by Trustee and Agents</w:t>
            </w:r>
          </w:p>
        </w:tc>
        <w:tc>
          <w:tcPr>
            <w:tcW w:w="2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10.7.</w:t>
            </w:r>
          </w:p>
        </w:tc>
        <w:tc>
          <w:tcPr>
            <w:tcW w:w="6940" w:type="dxa"/>
            <w:vAlign w:val="bottom"/>
          </w:tcPr>
          <w:p>
            <w:pPr>
              <w:ind w:left="40"/>
              <w:spacing w:after="0"/>
              <w:rPr>
                <w:sz w:val="20"/>
                <w:szCs w:val="20"/>
                <w:color w:val="auto"/>
              </w:rPr>
            </w:pPr>
            <w:r>
              <w:rPr>
                <w:rFonts w:ascii="Arial" w:cs="Arial" w:eastAsia="Arial" w:hAnsi="Arial"/>
                <w:sz w:val="18"/>
                <w:szCs w:val="18"/>
                <w:color w:val="auto"/>
              </w:rPr>
              <w:t>Legal Holidays</w:t>
            </w:r>
          </w:p>
        </w:tc>
        <w:tc>
          <w:tcPr>
            <w:tcW w:w="2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Section 10.8.  No Recourse Against Others</w:t>
            </w:r>
          </w:p>
        </w:tc>
        <w:tc>
          <w:tcPr>
            <w:tcW w:w="2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rPr>
              <w:t>Section 10.9.</w:t>
            </w:r>
          </w:p>
        </w:tc>
        <w:tc>
          <w:tcPr>
            <w:tcW w:w="694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2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Section 10.10.  Governing Law; Waiver of Jury Trial; Consent to Jurisdiction</w:t>
            </w:r>
          </w:p>
        </w:tc>
        <w:tc>
          <w:tcPr>
            <w:tcW w:w="25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Section 10.11.  No Adverse Interpretation of Other Agreements</w:t>
            </w:r>
          </w:p>
        </w:tc>
        <w:tc>
          <w:tcPr>
            <w:tcW w:w="25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w w:val="92"/>
              </w:rPr>
              <w:t>Section 10.12.</w:t>
            </w:r>
          </w:p>
        </w:tc>
        <w:tc>
          <w:tcPr>
            <w:tcW w:w="6940" w:type="dxa"/>
            <w:vAlign w:val="bottom"/>
          </w:tcPr>
          <w:p>
            <w:pPr>
              <w:ind w:left="140"/>
              <w:spacing w:after="0"/>
              <w:rPr>
                <w:sz w:val="20"/>
                <w:szCs w:val="20"/>
                <w:color w:val="auto"/>
              </w:rPr>
            </w:pPr>
            <w:r>
              <w:rPr>
                <w:rFonts w:ascii="Arial" w:cs="Arial" w:eastAsia="Arial" w:hAnsi="Arial"/>
                <w:sz w:val="18"/>
                <w:szCs w:val="18"/>
                <w:color w:val="auto"/>
              </w:rPr>
              <w:t>Successors</w:t>
            </w:r>
          </w:p>
        </w:tc>
        <w:tc>
          <w:tcPr>
            <w:tcW w:w="25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w w:val="92"/>
              </w:rPr>
              <w:t>Section 10.13.</w:t>
            </w:r>
          </w:p>
        </w:tc>
        <w:tc>
          <w:tcPr>
            <w:tcW w:w="694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25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Section 10.14.  Table of Contents, Headings, Etc</w:t>
            </w:r>
          </w:p>
        </w:tc>
        <w:tc>
          <w:tcPr>
            <w:tcW w:w="25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Section 10.15.  Securities in a Foreign Currency</w:t>
            </w:r>
          </w:p>
        </w:tc>
        <w:tc>
          <w:tcPr>
            <w:tcW w:w="25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w w:val="92"/>
              </w:rPr>
              <w:t>Section 10.16.</w:t>
            </w:r>
          </w:p>
        </w:tc>
        <w:tc>
          <w:tcPr>
            <w:tcW w:w="6940" w:type="dxa"/>
            <w:vAlign w:val="bottom"/>
          </w:tcPr>
          <w:p>
            <w:pPr>
              <w:ind w:left="140"/>
              <w:spacing w:after="0"/>
              <w:rPr>
                <w:sz w:val="20"/>
                <w:szCs w:val="20"/>
                <w:color w:val="auto"/>
              </w:rPr>
            </w:pPr>
            <w:r>
              <w:rPr>
                <w:rFonts w:ascii="Arial" w:cs="Arial" w:eastAsia="Arial" w:hAnsi="Arial"/>
                <w:sz w:val="18"/>
                <w:szCs w:val="18"/>
                <w:color w:val="auto"/>
              </w:rPr>
              <w:t>Judgment Currency</w:t>
            </w:r>
          </w:p>
        </w:tc>
        <w:tc>
          <w:tcPr>
            <w:tcW w:w="25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740" w:type="dxa"/>
            <w:vAlign w:val="bottom"/>
          </w:tcPr>
          <w:p>
            <w:pPr>
              <w:ind w:left="660"/>
              <w:spacing w:after="0"/>
              <w:rPr>
                <w:sz w:val="20"/>
                <w:szCs w:val="20"/>
                <w:color w:val="auto"/>
              </w:rPr>
            </w:pPr>
            <w:r>
              <w:rPr>
                <w:rFonts w:ascii="Arial" w:cs="Arial" w:eastAsia="Arial" w:hAnsi="Arial"/>
                <w:sz w:val="18"/>
                <w:szCs w:val="18"/>
                <w:color w:val="auto"/>
                <w:w w:val="92"/>
              </w:rPr>
              <w:t>Section 10.17.</w:t>
            </w:r>
          </w:p>
        </w:tc>
        <w:tc>
          <w:tcPr>
            <w:tcW w:w="6940" w:type="dxa"/>
            <w:vAlign w:val="bottom"/>
          </w:tcPr>
          <w:p>
            <w:pPr>
              <w:ind w:left="140"/>
              <w:spacing w:after="0"/>
              <w:rPr>
                <w:sz w:val="20"/>
                <w:szCs w:val="20"/>
                <w:color w:val="auto"/>
              </w:rPr>
            </w:pPr>
            <w:r>
              <w:rPr>
                <w:rFonts w:ascii="Arial" w:cs="Arial" w:eastAsia="Arial" w:hAnsi="Arial"/>
                <w:sz w:val="18"/>
                <w:szCs w:val="18"/>
                <w:color w:val="auto"/>
              </w:rPr>
              <w:t>Force Majeure</w:t>
            </w:r>
          </w:p>
        </w:tc>
        <w:tc>
          <w:tcPr>
            <w:tcW w:w="25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Section 10.18.  U.S.A. Patriot Act</w:t>
            </w:r>
          </w:p>
        </w:tc>
        <w:tc>
          <w:tcPr>
            <w:tcW w:w="25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418"/>
        </w:trPr>
        <w:tc>
          <w:tcPr>
            <w:tcW w:w="8680" w:type="dxa"/>
            <w:vAlign w:val="bottom"/>
            <w:gridSpan w:val="2"/>
          </w:tcPr>
          <w:p>
            <w:pPr>
              <w:spacing w:after="0"/>
              <w:rPr>
                <w:sz w:val="20"/>
                <w:szCs w:val="20"/>
                <w:color w:val="auto"/>
              </w:rPr>
            </w:pPr>
            <w:r>
              <w:rPr>
                <w:rFonts w:ascii="Arial" w:cs="Arial" w:eastAsia="Arial" w:hAnsi="Arial"/>
                <w:sz w:val="18"/>
                <w:szCs w:val="18"/>
                <w:color w:val="auto"/>
              </w:rPr>
              <w:t>ARTICLE XI. SINKING FUNDS</w:t>
            </w:r>
          </w:p>
        </w:tc>
        <w:tc>
          <w:tcPr>
            <w:tcW w:w="25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Section 11.1.  Applicability of Article</w:t>
            </w:r>
          </w:p>
        </w:tc>
        <w:tc>
          <w:tcPr>
            <w:tcW w:w="25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680" w:type="dxa"/>
            <w:vAlign w:val="bottom"/>
            <w:gridSpan w:val="2"/>
          </w:tcPr>
          <w:p>
            <w:pPr>
              <w:ind w:left="660"/>
              <w:spacing w:after="0"/>
              <w:rPr>
                <w:sz w:val="20"/>
                <w:szCs w:val="20"/>
                <w:color w:val="auto"/>
              </w:rPr>
            </w:pPr>
            <w:r>
              <w:rPr>
                <w:rFonts w:ascii="Arial" w:cs="Arial" w:eastAsia="Arial" w:hAnsi="Arial"/>
                <w:sz w:val="18"/>
                <w:szCs w:val="18"/>
                <w:color w:val="auto"/>
              </w:rPr>
              <w:t>Section 11.2.  Satisfaction of Sinking Fund Payments with Securities</w:t>
            </w:r>
          </w:p>
        </w:tc>
        <w:tc>
          <w:tcPr>
            <w:tcW w:w="25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1740" w:type="dxa"/>
            <w:vAlign w:val="bottom"/>
          </w:tcPr>
          <w:p>
            <w:pPr>
              <w:ind w:left="660"/>
              <w:spacing w:after="0"/>
              <w:rPr>
                <w:sz w:val="20"/>
                <w:szCs w:val="20"/>
                <w:color w:val="auto"/>
              </w:rPr>
            </w:pPr>
            <w:r>
              <w:rPr>
                <w:rFonts w:ascii="Arial" w:cs="Arial" w:eastAsia="Arial" w:hAnsi="Arial"/>
                <w:sz w:val="18"/>
                <w:szCs w:val="18"/>
                <w:color w:val="auto"/>
              </w:rPr>
              <w:t>Section 11.3.</w:t>
            </w:r>
          </w:p>
        </w:tc>
        <w:tc>
          <w:tcPr>
            <w:tcW w:w="6940" w:type="dxa"/>
            <w:vAlign w:val="bottom"/>
          </w:tcPr>
          <w:p>
            <w:pPr>
              <w:ind w:left="40"/>
              <w:spacing w:after="0"/>
              <w:rPr>
                <w:sz w:val="20"/>
                <w:szCs w:val="20"/>
                <w:color w:val="auto"/>
              </w:rPr>
            </w:pPr>
            <w:r>
              <w:rPr>
                <w:rFonts w:ascii="Arial" w:cs="Arial" w:eastAsia="Arial" w:hAnsi="Arial"/>
                <w:sz w:val="18"/>
                <w:szCs w:val="18"/>
                <w:color w:val="auto"/>
              </w:rPr>
              <w:t>Redemption of Securities for Sinking Fund</w:t>
            </w:r>
          </w:p>
        </w:tc>
        <w:tc>
          <w:tcPr>
            <w:tcW w:w="256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124" w:name="page125"/>
    <w:bookmarkEnd w:id="124"/>
    <w:tbl>
      <w:tblPr>
        <w:tblLayout w:type="fixed"/>
        <w:tblInd w:w="2560" w:type="dxa"/>
        <w:tblCellMar>
          <w:top w:w="0" w:type="dxa"/>
          <w:left w:w="0" w:type="dxa"/>
          <w:bottom w:w="0" w:type="dxa"/>
          <w:right w:w="0" w:type="dxa"/>
        </w:tblCellMar>
      </w:tblPr>
      <w:tr>
        <w:trPr>
          <w:trHeight w:val="234"/>
        </w:trPr>
        <w:tc>
          <w:tcPr>
            <w:tcW w:w="5420" w:type="dxa"/>
            <w:vAlign w:val="bottom"/>
          </w:tcPr>
          <w:p>
            <w:pPr>
              <w:jc w:val="center"/>
              <w:ind w:left="610"/>
              <w:spacing w:after="0"/>
              <w:rPr>
                <w:sz w:val="20"/>
                <w:szCs w:val="20"/>
                <w:color w:val="auto"/>
              </w:rPr>
            </w:pPr>
            <w:r>
              <w:rPr>
                <w:rFonts w:ascii="Arial" w:cs="Arial" w:eastAsia="Arial" w:hAnsi="Arial"/>
                <w:sz w:val="18"/>
                <w:szCs w:val="18"/>
                <w:b w:val="1"/>
                <w:bCs w:val="1"/>
                <w:color w:val="auto"/>
              </w:rPr>
              <w:t>VERONA PHARMA PLC</w:t>
            </w:r>
          </w:p>
        </w:tc>
        <w:tc>
          <w:tcPr>
            <w:tcW w:w="1180" w:type="dxa"/>
            <w:vAlign w:val="bottom"/>
          </w:tcPr>
          <w:p>
            <w:pPr>
              <w:spacing w:after="0"/>
              <w:rPr>
                <w:sz w:val="20"/>
                <w:szCs w:val="20"/>
                <w:color w:val="auto"/>
              </w:rPr>
            </w:pPr>
          </w:p>
        </w:tc>
      </w:tr>
      <w:tr>
        <w:trPr>
          <w:trHeight w:val="499"/>
        </w:trPr>
        <w:tc>
          <w:tcPr>
            <w:tcW w:w="5420" w:type="dxa"/>
            <w:vAlign w:val="bottom"/>
          </w:tcPr>
          <w:p>
            <w:pPr>
              <w:jc w:val="center"/>
              <w:ind w:left="630"/>
              <w:spacing w:after="0"/>
              <w:rPr>
                <w:sz w:val="20"/>
                <w:szCs w:val="20"/>
                <w:color w:val="auto"/>
              </w:rPr>
            </w:pPr>
            <w:r>
              <w:rPr>
                <w:rFonts w:ascii="Arial" w:cs="Arial" w:eastAsia="Arial" w:hAnsi="Arial"/>
                <w:sz w:val="18"/>
                <w:szCs w:val="18"/>
                <w:color w:val="auto"/>
                <w:w w:val="91"/>
              </w:rPr>
              <w:t>Reconciliation and tie between Trust Indenture Act of 1939 and</w:t>
            </w:r>
          </w:p>
        </w:tc>
        <w:tc>
          <w:tcPr>
            <w:tcW w:w="1180" w:type="dxa"/>
            <w:vAlign w:val="bottom"/>
          </w:tcPr>
          <w:p>
            <w:pPr>
              <w:spacing w:after="0"/>
              <w:rPr>
                <w:sz w:val="24"/>
                <w:szCs w:val="24"/>
                <w:color w:val="auto"/>
              </w:rPr>
            </w:pPr>
          </w:p>
        </w:tc>
      </w:tr>
      <w:tr>
        <w:trPr>
          <w:trHeight w:val="230"/>
        </w:trPr>
        <w:tc>
          <w:tcPr>
            <w:tcW w:w="5420" w:type="dxa"/>
            <w:vAlign w:val="bottom"/>
          </w:tcPr>
          <w:p>
            <w:pPr>
              <w:jc w:val="center"/>
              <w:ind w:left="630"/>
              <w:spacing w:after="0"/>
              <w:rPr>
                <w:sz w:val="20"/>
                <w:szCs w:val="20"/>
                <w:color w:val="auto"/>
              </w:rPr>
            </w:pPr>
            <w:r>
              <w:rPr>
                <w:rFonts w:ascii="Arial" w:cs="Arial" w:eastAsia="Arial" w:hAnsi="Arial"/>
                <w:sz w:val="18"/>
                <w:szCs w:val="18"/>
                <w:color w:val="auto"/>
                <w:w w:val="89"/>
              </w:rPr>
              <w:t>Indenture, dated as of ____________, 20__</w:t>
            </w:r>
          </w:p>
        </w:tc>
        <w:tc>
          <w:tcPr>
            <w:tcW w:w="1180" w:type="dxa"/>
            <w:vAlign w:val="bottom"/>
          </w:tcPr>
          <w:p>
            <w:pPr>
              <w:spacing w:after="0"/>
              <w:rPr>
                <w:sz w:val="20"/>
                <w:szCs w:val="20"/>
                <w:color w:val="auto"/>
              </w:rPr>
            </w:pPr>
          </w:p>
        </w:tc>
      </w:tr>
      <w:tr>
        <w:trPr>
          <w:trHeight w:val="418"/>
        </w:trPr>
        <w:tc>
          <w:tcPr>
            <w:tcW w:w="5420" w:type="dxa"/>
            <w:vAlign w:val="bottom"/>
          </w:tcPr>
          <w:p>
            <w:pPr>
              <w:jc w:val="right"/>
              <w:ind w:right="4510"/>
              <w:spacing w:after="0"/>
              <w:rPr>
                <w:sz w:val="20"/>
                <w:szCs w:val="20"/>
                <w:color w:val="auto"/>
              </w:rPr>
            </w:pPr>
            <w:r>
              <w:rPr>
                <w:rFonts w:ascii="Arial" w:cs="Arial" w:eastAsia="Arial" w:hAnsi="Arial"/>
                <w:sz w:val="18"/>
                <w:szCs w:val="18"/>
                <w:color w:val="auto"/>
                <w:w w:val="89"/>
              </w:rPr>
              <w:t>§ 310(a)(1)</w:t>
            </w:r>
          </w:p>
        </w:tc>
        <w:tc>
          <w:tcPr>
            <w:tcW w:w="1180" w:type="dxa"/>
            <w:vAlign w:val="bottom"/>
          </w:tcPr>
          <w:p>
            <w:pPr>
              <w:ind w:left="80"/>
              <w:spacing w:after="0"/>
              <w:rPr>
                <w:sz w:val="20"/>
                <w:szCs w:val="20"/>
                <w:color w:val="auto"/>
              </w:rPr>
            </w:pPr>
            <w:r>
              <w:rPr>
                <w:rFonts w:ascii="Arial" w:cs="Arial" w:eastAsia="Arial" w:hAnsi="Arial"/>
                <w:sz w:val="18"/>
                <w:szCs w:val="18"/>
                <w:color w:val="auto"/>
              </w:rPr>
              <w:t>7.10</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(a)(2)</w:t>
            </w:r>
          </w:p>
        </w:tc>
        <w:tc>
          <w:tcPr>
            <w:tcW w:w="1180" w:type="dxa"/>
            <w:vAlign w:val="bottom"/>
          </w:tcPr>
          <w:p>
            <w:pPr>
              <w:ind w:left="80"/>
              <w:spacing w:after="0"/>
              <w:rPr>
                <w:sz w:val="20"/>
                <w:szCs w:val="20"/>
                <w:color w:val="auto"/>
              </w:rPr>
            </w:pPr>
            <w:r>
              <w:rPr>
                <w:rFonts w:ascii="Arial" w:cs="Arial" w:eastAsia="Arial" w:hAnsi="Arial"/>
                <w:sz w:val="18"/>
                <w:szCs w:val="18"/>
                <w:color w:val="auto"/>
              </w:rPr>
              <w:t>7.10</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(a)(3)</w:t>
            </w:r>
          </w:p>
        </w:tc>
        <w:tc>
          <w:tcPr>
            <w:tcW w:w="1180" w:type="dxa"/>
            <w:vAlign w:val="bottom"/>
          </w:tcPr>
          <w:p>
            <w:pPr>
              <w:ind w:left="80"/>
              <w:spacing w:after="0"/>
              <w:rPr>
                <w:sz w:val="20"/>
                <w:szCs w:val="20"/>
                <w:color w:val="auto"/>
              </w:rPr>
            </w:pPr>
            <w:r>
              <w:rPr>
                <w:rFonts w:ascii="Arial" w:cs="Arial" w:eastAsia="Arial" w:hAnsi="Arial"/>
                <w:sz w:val="18"/>
                <w:szCs w:val="18"/>
                <w:color w:val="auto"/>
                <w:w w:val="93"/>
              </w:rPr>
              <w:t>Not Applicable</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(a)(4)</w:t>
            </w:r>
          </w:p>
        </w:tc>
        <w:tc>
          <w:tcPr>
            <w:tcW w:w="1180" w:type="dxa"/>
            <w:vAlign w:val="bottom"/>
          </w:tcPr>
          <w:p>
            <w:pPr>
              <w:ind w:left="80"/>
              <w:spacing w:after="0"/>
              <w:rPr>
                <w:sz w:val="20"/>
                <w:szCs w:val="20"/>
                <w:color w:val="auto"/>
              </w:rPr>
            </w:pPr>
            <w:r>
              <w:rPr>
                <w:rFonts w:ascii="Arial" w:cs="Arial" w:eastAsia="Arial" w:hAnsi="Arial"/>
                <w:sz w:val="18"/>
                <w:szCs w:val="18"/>
                <w:color w:val="auto"/>
                <w:w w:val="93"/>
              </w:rPr>
              <w:t>Not Applicable</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(a)(5)</w:t>
            </w:r>
          </w:p>
        </w:tc>
        <w:tc>
          <w:tcPr>
            <w:tcW w:w="1180" w:type="dxa"/>
            <w:vAlign w:val="bottom"/>
          </w:tcPr>
          <w:p>
            <w:pPr>
              <w:ind w:left="80"/>
              <w:spacing w:after="0"/>
              <w:rPr>
                <w:sz w:val="20"/>
                <w:szCs w:val="20"/>
                <w:color w:val="auto"/>
              </w:rPr>
            </w:pPr>
            <w:r>
              <w:rPr>
                <w:rFonts w:ascii="Arial" w:cs="Arial" w:eastAsia="Arial" w:hAnsi="Arial"/>
                <w:sz w:val="18"/>
                <w:szCs w:val="18"/>
                <w:color w:val="auto"/>
              </w:rPr>
              <w:t>7.10</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(b)</w:t>
            </w:r>
          </w:p>
        </w:tc>
        <w:tc>
          <w:tcPr>
            <w:tcW w:w="1180" w:type="dxa"/>
            <w:vAlign w:val="bottom"/>
          </w:tcPr>
          <w:p>
            <w:pPr>
              <w:ind w:left="80"/>
              <w:spacing w:after="0"/>
              <w:rPr>
                <w:sz w:val="20"/>
                <w:szCs w:val="20"/>
                <w:color w:val="auto"/>
              </w:rPr>
            </w:pPr>
            <w:r>
              <w:rPr>
                <w:rFonts w:ascii="Arial" w:cs="Arial" w:eastAsia="Arial" w:hAnsi="Arial"/>
                <w:sz w:val="18"/>
                <w:szCs w:val="18"/>
                <w:color w:val="auto"/>
              </w:rPr>
              <w:t>7.10</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 311(a)</w:t>
            </w:r>
          </w:p>
        </w:tc>
        <w:tc>
          <w:tcPr>
            <w:tcW w:w="1180" w:type="dxa"/>
            <w:vAlign w:val="bottom"/>
          </w:tcPr>
          <w:p>
            <w:pPr>
              <w:ind w:left="80"/>
              <w:spacing w:after="0"/>
              <w:rPr>
                <w:sz w:val="20"/>
                <w:szCs w:val="20"/>
                <w:color w:val="auto"/>
              </w:rPr>
            </w:pPr>
            <w:r>
              <w:rPr>
                <w:rFonts w:ascii="Arial" w:cs="Arial" w:eastAsia="Arial" w:hAnsi="Arial"/>
                <w:sz w:val="18"/>
                <w:szCs w:val="18"/>
                <w:color w:val="auto"/>
              </w:rPr>
              <w:t>7.11</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(b)</w:t>
            </w:r>
          </w:p>
        </w:tc>
        <w:tc>
          <w:tcPr>
            <w:tcW w:w="1180" w:type="dxa"/>
            <w:vAlign w:val="bottom"/>
          </w:tcPr>
          <w:p>
            <w:pPr>
              <w:ind w:left="80"/>
              <w:spacing w:after="0"/>
              <w:rPr>
                <w:sz w:val="20"/>
                <w:szCs w:val="20"/>
                <w:color w:val="auto"/>
              </w:rPr>
            </w:pPr>
            <w:r>
              <w:rPr>
                <w:rFonts w:ascii="Arial" w:cs="Arial" w:eastAsia="Arial" w:hAnsi="Arial"/>
                <w:sz w:val="18"/>
                <w:szCs w:val="18"/>
                <w:color w:val="auto"/>
              </w:rPr>
              <w:t>7.11</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(c)</w:t>
            </w:r>
          </w:p>
        </w:tc>
        <w:tc>
          <w:tcPr>
            <w:tcW w:w="1180" w:type="dxa"/>
            <w:vAlign w:val="bottom"/>
          </w:tcPr>
          <w:p>
            <w:pPr>
              <w:ind w:left="80"/>
              <w:spacing w:after="0"/>
              <w:rPr>
                <w:sz w:val="20"/>
                <w:szCs w:val="20"/>
                <w:color w:val="auto"/>
              </w:rPr>
            </w:pPr>
            <w:r>
              <w:rPr>
                <w:rFonts w:ascii="Arial" w:cs="Arial" w:eastAsia="Arial" w:hAnsi="Arial"/>
                <w:sz w:val="18"/>
                <w:szCs w:val="18"/>
                <w:color w:val="auto"/>
                <w:w w:val="93"/>
              </w:rPr>
              <w:t>Not Applicable</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 312(a)</w:t>
            </w:r>
          </w:p>
        </w:tc>
        <w:tc>
          <w:tcPr>
            <w:tcW w:w="1180" w:type="dxa"/>
            <w:vAlign w:val="bottom"/>
          </w:tcPr>
          <w:p>
            <w:pPr>
              <w:ind w:left="80"/>
              <w:spacing w:after="0"/>
              <w:rPr>
                <w:sz w:val="20"/>
                <w:szCs w:val="20"/>
                <w:color w:val="auto"/>
              </w:rPr>
            </w:pPr>
            <w:r>
              <w:rPr>
                <w:rFonts w:ascii="Arial" w:cs="Arial" w:eastAsia="Arial" w:hAnsi="Arial"/>
                <w:sz w:val="18"/>
                <w:szCs w:val="18"/>
                <w:color w:val="auto"/>
              </w:rPr>
              <w:t>2.6</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(b)</w:t>
            </w:r>
          </w:p>
        </w:tc>
        <w:tc>
          <w:tcPr>
            <w:tcW w:w="1180" w:type="dxa"/>
            <w:vAlign w:val="bottom"/>
          </w:tcPr>
          <w:p>
            <w:pPr>
              <w:ind w:left="80"/>
              <w:spacing w:after="0"/>
              <w:rPr>
                <w:sz w:val="20"/>
                <w:szCs w:val="20"/>
                <w:color w:val="auto"/>
              </w:rPr>
            </w:pPr>
            <w:r>
              <w:rPr>
                <w:rFonts w:ascii="Arial" w:cs="Arial" w:eastAsia="Arial" w:hAnsi="Arial"/>
                <w:sz w:val="18"/>
                <w:szCs w:val="18"/>
                <w:color w:val="auto"/>
              </w:rPr>
              <w:t>10.3</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(c)</w:t>
            </w:r>
          </w:p>
        </w:tc>
        <w:tc>
          <w:tcPr>
            <w:tcW w:w="1180" w:type="dxa"/>
            <w:vAlign w:val="bottom"/>
          </w:tcPr>
          <w:p>
            <w:pPr>
              <w:ind w:left="80"/>
              <w:spacing w:after="0"/>
              <w:rPr>
                <w:sz w:val="20"/>
                <w:szCs w:val="20"/>
                <w:color w:val="auto"/>
              </w:rPr>
            </w:pPr>
            <w:r>
              <w:rPr>
                <w:rFonts w:ascii="Arial" w:cs="Arial" w:eastAsia="Arial" w:hAnsi="Arial"/>
                <w:sz w:val="18"/>
                <w:szCs w:val="18"/>
                <w:color w:val="auto"/>
              </w:rPr>
              <w:t>10.3</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 313(a)</w:t>
            </w:r>
          </w:p>
        </w:tc>
        <w:tc>
          <w:tcPr>
            <w:tcW w:w="1180" w:type="dxa"/>
            <w:vAlign w:val="bottom"/>
          </w:tcPr>
          <w:p>
            <w:pPr>
              <w:ind w:left="80"/>
              <w:spacing w:after="0"/>
              <w:rPr>
                <w:sz w:val="20"/>
                <w:szCs w:val="20"/>
                <w:color w:val="auto"/>
              </w:rPr>
            </w:pPr>
            <w:r>
              <w:rPr>
                <w:rFonts w:ascii="Arial" w:cs="Arial" w:eastAsia="Arial" w:hAnsi="Arial"/>
                <w:sz w:val="18"/>
                <w:szCs w:val="18"/>
                <w:color w:val="auto"/>
              </w:rPr>
              <w:t>7.6</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(b)(1)</w:t>
            </w:r>
          </w:p>
        </w:tc>
        <w:tc>
          <w:tcPr>
            <w:tcW w:w="1180" w:type="dxa"/>
            <w:vAlign w:val="bottom"/>
          </w:tcPr>
          <w:p>
            <w:pPr>
              <w:ind w:left="80"/>
              <w:spacing w:after="0"/>
              <w:rPr>
                <w:sz w:val="20"/>
                <w:szCs w:val="20"/>
                <w:color w:val="auto"/>
              </w:rPr>
            </w:pPr>
            <w:r>
              <w:rPr>
                <w:rFonts w:ascii="Arial" w:cs="Arial" w:eastAsia="Arial" w:hAnsi="Arial"/>
                <w:sz w:val="18"/>
                <w:szCs w:val="18"/>
                <w:color w:val="auto"/>
              </w:rPr>
              <w:t>7.6</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(b)(2)</w:t>
            </w:r>
          </w:p>
        </w:tc>
        <w:tc>
          <w:tcPr>
            <w:tcW w:w="1180" w:type="dxa"/>
            <w:vAlign w:val="bottom"/>
          </w:tcPr>
          <w:p>
            <w:pPr>
              <w:ind w:left="80"/>
              <w:spacing w:after="0"/>
              <w:rPr>
                <w:sz w:val="20"/>
                <w:szCs w:val="20"/>
                <w:color w:val="auto"/>
              </w:rPr>
            </w:pPr>
            <w:r>
              <w:rPr>
                <w:rFonts w:ascii="Arial" w:cs="Arial" w:eastAsia="Arial" w:hAnsi="Arial"/>
                <w:sz w:val="18"/>
                <w:szCs w:val="18"/>
                <w:color w:val="auto"/>
              </w:rPr>
              <w:t>7.6</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(c)(1)</w:t>
            </w:r>
          </w:p>
        </w:tc>
        <w:tc>
          <w:tcPr>
            <w:tcW w:w="1180" w:type="dxa"/>
            <w:vAlign w:val="bottom"/>
          </w:tcPr>
          <w:p>
            <w:pPr>
              <w:ind w:left="80"/>
              <w:spacing w:after="0"/>
              <w:rPr>
                <w:sz w:val="20"/>
                <w:szCs w:val="20"/>
                <w:color w:val="auto"/>
              </w:rPr>
            </w:pPr>
            <w:r>
              <w:rPr>
                <w:rFonts w:ascii="Arial" w:cs="Arial" w:eastAsia="Arial" w:hAnsi="Arial"/>
                <w:sz w:val="18"/>
                <w:szCs w:val="18"/>
                <w:color w:val="auto"/>
              </w:rPr>
              <w:t>7.6</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(d)</w:t>
            </w:r>
          </w:p>
        </w:tc>
        <w:tc>
          <w:tcPr>
            <w:tcW w:w="1180" w:type="dxa"/>
            <w:vAlign w:val="bottom"/>
          </w:tcPr>
          <w:p>
            <w:pPr>
              <w:ind w:left="80"/>
              <w:spacing w:after="0"/>
              <w:rPr>
                <w:sz w:val="20"/>
                <w:szCs w:val="20"/>
                <w:color w:val="auto"/>
              </w:rPr>
            </w:pPr>
            <w:r>
              <w:rPr>
                <w:rFonts w:ascii="Arial" w:cs="Arial" w:eastAsia="Arial" w:hAnsi="Arial"/>
                <w:sz w:val="18"/>
                <w:szCs w:val="18"/>
                <w:color w:val="auto"/>
              </w:rPr>
              <w:t>7.6</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 314(a)</w:t>
            </w:r>
          </w:p>
        </w:tc>
        <w:tc>
          <w:tcPr>
            <w:tcW w:w="1180" w:type="dxa"/>
            <w:vAlign w:val="bottom"/>
          </w:tcPr>
          <w:p>
            <w:pPr>
              <w:ind w:left="80"/>
              <w:spacing w:after="0"/>
              <w:rPr>
                <w:sz w:val="20"/>
                <w:szCs w:val="20"/>
                <w:color w:val="auto"/>
              </w:rPr>
            </w:pPr>
            <w:r>
              <w:rPr>
                <w:rFonts w:ascii="Arial" w:cs="Arial" w:eastAsia="Arial" w:hAnsi="Arial"/>
                <w:sz w:val="18"/>
                <w:szCs w:val="18"/>
                <w:color w:val="auto"/>
              </w:rPr>
              <w:t>4.2, 10.5</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(b)</w:t>
            </w:r>
          </w:p>
        </w:tc>
        <w:tc>
          <w:tcPr>
            <w:tcW w:w="1180" w:type="dxa"/>
            <w:vAlign w:val="bottom"/>
          </w:tcPr>
          <w:p>
            <w:pPr>
              <w:ind w:left="80"/>
              <w:spacing w:after="0"/>
              <w:rPr>
                <w:sz w:val="20"/>
                <w:szCs w:val="20"/>
                <w:color w:val="auto"/>
              </w:rPr>
            </w:pPr>
            <w:r>
              <w:rPr>
                <w:rFonts w:ascii="Arial" w:cs="Arial" w:eastAsia="Arial" w:hAnsi="Arial"/>
                <w:sz w:val="18"/>
                <w:szCs w:val="18"/>
                <w:color w:val="auto"/>
                <w:w w:val="93"/>
              </w:rPr>
              <w:t>Not Applicable</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(c)(1)</w:t>
            </w:r>
          </w:p>
        </w:tc>
        <w:tc>
          <w:tcPr>
            <w:tcW w:w="1180" w:type="dxa"/>
            <w:vAlign w:val="bottom"/>
          </w:tcPr>
          <w:p>
            <w:pPr>
              <w:ind w:left="80"/>
              <w:spacing w:after="0"/>
              <w:rPr>
                <w:sz w:val="20"/>
                <w:szCs w:val="20"/>
                <w:color w:val="auto"/>
              </w:rPr>
            </w:pPr>
            <w:r>
              <w:rPr>
                <w:rFonts w:ascii="Arial" w:cs="Arial" w:eastAsia="Arial" w:hAnsi="Arial"/>
                <w:sz w:val="18"/>
                <w:szCs w:val="18"/>
                <w:color w:val="auto"/>
              </w:rPr>
              <w:t>10.4</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(c)(2)</w:t>
            </w:r>
          </w:p>
        </w:tc>
        <w:tc>
          <w:tcPr>
            <w:tcW w:w="1180" w:type="dxa"/>
            <w:vAlign w:val="bottom"/>
          </w:tcPr>
          <w:p>
            <w:pPr>
              <w:ind w:left="80"/>
              <w:spacing w:after="0"/>
              <w:rPr>
                <w:sz w:val="20"/>
                <w:szCs w:val="20"/>
                <w:color w:val="auto"/>
              </w:rPr>
            </w:pPr>
            <w:r>
              <w:rPr>
                <w:rFonts w:ascii="Arial" w:cs="Arial" w:eastAsia="Arial" w:hAnsi="Arial"/>
                <w:sz w:val="18"/>
                <w:szCs w:val="18"/>
                <w:color w:val="auto"/>
              </w:rPr>
              <w:t>10.4</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(c)(3)</w:t>
            </w:r>
          </w:p>
        </w:tc>
        <w:tc>
          <w:tcPr>
            <w:tcW w:w="1180" w:type="dxa"/>
            <w:vAlign w:val="bottom"/>
          </w:tcPr>
          <w:p>
            <w:pPr>
              <w:ind w:left="80"/>
              <w:spacing w:after="0"/>
              <w:rPr>
                <w:sz w:val="20"/>
                <w:szCs w:val="20"/>
                <w:color w:val="auto"/>
              </w:rPr>
            </w:pPr>
            <w:r>
              <w:rPr>
                <w:rFonts w:ascii="Arial" w:cs="Arial" w:eastAsia="Arial" w:hAnsi="Arial"/>
                <w:sz w:val="18"/>
                <w:szCs w:val="18"/>
                <w:color w:val="auto"/>
                <w:w w:val="93"/>
              </w:rPr>
              <w:t>Not Applicable</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(d)</w:t>
            </w:r>
          </w:p>
        </w:tc>
        <w:tc>
          <w:tcPr>
            <w:tcW w:w="1180" w:type="dxa"/>
            <w:vAlign w:val="bottom"/>
          </w:tcPr>
          <w:p>
            <w:pPr>
              <w:ind w:left="80"/>
              <w:spacing w:after="0"/>
              <w:rPr>
                <w:sz w:val="20"/>
                <w:szCs w:val="20"/>
                <w:color w:val="auto"/>
              </w:rPr>
            </w:pPr>
            <w:r>
              <w:rPr>
                <w:rFonts w:ascii="Arial" w:cs="Arial" w:eastAsia="Arial" w:hAnsi="Arial"/>
                <w:sz w:val="18"/>
                <w:szCs w:val="18"/>
                <w:color w:val="auto"/>
                <w:w w:val="93"/>
              </w:rPr>
              <w:t>Not Applicable</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(e)</w:t>
            </w:r>
          </w:p>
        </w:tc>
        <w:tc>
          <w:tcPr>
            <w:tcW w:w="1180" w:type="dxa"/>
            <w:vAlign w:val="bottom"/>
          </w:tcPr>
          <w:p>
            <w:pPr>
              <w:ind w:left="80"/>
              <w:spacing w:after="0"/>
              <w:rPr>
                <w:sz w:val="20"/>
                <w:szCs w:val="20"/>
                <w:color w:val="auto"/>
              </w:rPr>
            </w:pPr>
            <w:r>
              <w:rPr>
                <w:rFonts w:ascii="Arial" w:cs="Arial" w:eastAsia="Arial" w:hAnsi="Arial"/>
                <w:sz w:val="18"/>
                <w:szCs w:val="18"/>
                <w:color w:val="auto"/>
              </w:rPr>
              <w:t>10.5</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(f)</w:t>
            </w:r>
          </w:p>
        </w:tc>
        <w:tc>
          <w:tcPr>
            <w:tcW w:w="1180" w:type="dxa"/>
            <w:vAlign w:val="bottom"/>
          </w:tcPr>
          <w:p>
            <w:pPr>
              <w:ind w:left="80"/>
              <w:spacing w:after="0"/>
              <w:rPr>
                <w:sz w:val="20"/>
                <w:szCs w:val="20"/>
                <w:color w:val="auto"/>
              </w:rPr>
            </w:pPr>
            <w:r>
              <w:rPr>
                <w:rFonts w:ascii="Arial" w:cs="Arial" w:eastAsia="Arial" w:hAnsi="Arial"/>
                <w:sz w:val="18"/>
                <w:szCs w:val="18"/>
                <w:color w:val="auto"/>
                <w:w w:val="93"/>
              </w:rPr>
              <w:t>Not Applicable</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 315(a)</w:t>
            </w:r>
          </w:p>
        </w:tc>
        <w:tc>
          <w:tcPr>
            <w:tcW w:w="1180" w:type="dxa"/>
            <w:vAlign w:val="bottom"/>
          </w:tcPr>
          <w:p>
            <w:pPr>
              <w:ind w:left="80"/>
              <w:spacing w:after="0"/>
              <w:rPr>
                <w:sz w:val="20"/>
                <w:szCs w:val="20"/>
                <w:color w:val="auto"/>
              </w:rPr>
            </w:pPr>
            <w:r>
              <w:rPr>
                <w:rFonts w:ascii="Arial" w:cs="Arial" w:eastAsia="Arial" w:hAnsi="Arial"/>
                <w:sz w:val="18"/>
                <w:szCs w:val="18"/>
                <w:color w:val="auto"/>
              </w:rPr>
              <w:t>7.1</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(b)</w:t>
            </w:r>
          </w:p>
        </w:tc>
        <w:tc>
          <w:tcPr>
            <w:tcW w:w="1180" w:type="dxa"/>
            <w:vAlign w:val="bottom"/>
          </w:tcPr>
          <w:p>
            <w:pPr>
              <w:ind w:left="80"/>
              <w:spacing w:after="0"/>
              <w:rPr>
                <w:sz w:val="20"/>
                <w:szCs w:val="20"/>
                <w:color w:val="auto"/>
              </w:rPr>
            </w:pPr>
            <w:r>
              <w:rPr>
                <w:rFonts w:ascii="Arial" w:cs="Arial" w:eastAsia="Arial" w:hAnsi="Arial"/>
                <w:sz w:val="18"/>
                <w:szCs w:val="18"/>
                <w:color w:val="auto"/>
              </w:rPr>
              <w:t>7.5</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(c)</w:t>
            </w:r>
          </w:p>
        </w:tc>
        <w:tc>
          <w:tcPr>
            <w:tcW w:w="1180" w:type="dxa"/>
            <w:vAlign w:val="bottom"/>
          </w:tcPr>
          <w:p>
            <w:pPr>
              <w:ind w:left="80"/>
              <w:spacing w:after="0"/>
              <w:rPr>
                <w:sz w:val="20"/>
                <w:szCs w:val="20"/>
                <w:color w:val="auto"/>
              </w:rPr>
            </w:pPr>
            <w:r>
              <w:rPr>
                <w:rFonts w:ascii="Arial" w:cs="Arial" w:eastAsia="Arial" w:hAnsi="Arial"/>
                <w:sz w:val="18"/>
                <w:szCs w:val="18"/>
                <w:color w:val="auto"/>
              </w:rPr>
              <w:t>7.1</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(d)</w:t>
            </w:r>
          </w:p>
        </w:tc>
        <w:tc>
          <w:tcPr>
            <w:tcW w:w="1180" w:type="dxa"/>
            <w:vAlign w:val="bottom"/>
          </w:tcPr>
          <w:p>
            <w:pPr>
              <w:ind w:left="80"/>
              <w:spacing w:after="0"/>
              <w:rPr>
                <w:sz w:val="20"/>
                <w:szCs w:val="20"/>
                <w:color w:val="auto"/>
              </w:rPr>
            </w:pPr>
            <w:r>
              <w:rPr>
                <w:rFonts w:ascii="Arial" w:cs="Arial" w:eastAsia="Arial" w:hAnsi="Arial"/>
                <w:sz w:val="18"/>
                <w:szCs w:val="18"/>
                <w:color w:val="auto"/>
              </w:rPr>
              <w:t>7.1</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(e)</w:t>
            </w:r>
          </w:p>
        </w:tc>
        <w:tc>
          <w:tcPr>
            <w:tcW w:w="1180" w:type="dxa"/>
            <w:vAlign w:val="bottom"/>
          </w:tcPr>
          <w:p>
            <w:pPr>
              <w:ind w:left="80"/>
              <w:spacing w:after="0"/>
              <w:rPr>
                <w:sz w:val="20"/>
                <w:szCs w:val="20"/>
                <w:color w:val="auto"/>
              </w:rPr>
            </w:pPr>
            <w:r>
              <w:rPr>
                <w:rFonts w:ascii="Arial" w:cs="Arial" w:eastAsia="Arial" w:hAnsi="Arial"/>
                <w:sz w:val="18"/>
                <w:szCs w:val="18"/>
                <w:color w:val="auto"/>
              </w:rPr>
              <w:t>6.14</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 316(a)</w:t>
            </w:r>
          </w:p>
        </w:tc>
        <w:tc>
          <w:tcPr>
            <w:tcW w:w="1180" w:type="dxa"/>
            <w:vAlign w:val="bottom"/>
          </w:tcPr>
          <w:p>
            <w:pPr>
              <w:ind w:left="80"/>
              <w:spacing w:after="0"/>
              <w:rPr>
                <w:sz w:val="20"/>
                <w:szCs w:val="20"/>
                <w:color w:val="auto"/>
              </w:rPr>
            </w:pPr>
            <w:r>
              <w:rPr>
                <w:rFonts w:ascii="Arial" w:cs="Arial" w:eastAsia="Arial" w:hAnsi="Arial"/>
                <w:sz w:val="18"/>
                <w:szCs w:val="18"/>
                <w:color w:val="auto"/>
              </w:rPr>
              <w:t>2.10</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(a)(1)(A)</w:t>
            </w:r>
          </w:p>
        </w:tc>
        <w:tc>
          <w:tcPr>
            <w:tcW w:w="1180" w:type="dxa"/>
            <w:vAlign w:val="bottom"/>
          </w:tcPr>
          <w:p>
            <w:pPr>
              <w:ind w:left="80"/>
              <w:spacing w:after="0"/>
              <w:rPr>
                <w:sz w:val="20"/>
                <w:szCs w:val="20"/>
                <w:color w:val="auto"/>
              </w:rPr>
            </w:pPr>
            <w:r>
              <w:rPr>
                <w:rFonts w:ascii="Arial" w:cs="Arial" w:eastAsia="Arial" w:hAnsi="Arial"/>
                <w:sz w:val="18"/>
                <w:szCs w:val="18"/>
                <w:color w:val="auto"/>
              </w:rPr>
              <w:t>6.12</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(a)(1)(B)</w:t>
            </w:r>
          </w:p>
        </w:tc>
        <w:tc>
          <w:tcPr>
            <w:tcW w:w="1180" w:type="dxa"/>
            <w:vAlign w:val="bottom"/>
          </w:tcPr>
          <w:p>
            <w:pPr>
              <w:ind w:left="80"/>
              <w:spacing w:after="0"/>
              <w:rPr>
                <w:sz w:val="20"/>
                <w:szCs w:val="20"/>
                <w:color w:val="auto"/>
              </w:rPr>
            </w:pPr>
            <w:r>
              <w:rPr>
                <w:rFonts w:ascii="Arial" w:cs="Arial" w:eastAsia="Arial" w:hAnsi="Arial"/>
                <w:sz w:val="18"/>
                <w:szCs w:val="18"/>
                <w:color w:val="auto"/>
              </w:rPr>
              <w:t>6.13</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(b)</w:t>
            </w:r>
          </w:p>
        </w:tc>
        <w:tc>
          <w:tcPr>
            <w:tcW w:w="1180" w:type="dxa"/>
            <w:vAlign w:val="bottom"/>
          </w:tcPr>
          <w:p>
            <w:pPr>
              <w:ind w:left="80"/>
              <w:spacing w:after="0"/>
              <w:rPr>
                <w:sz w:val="20"/>
                <w:szCs w:val="20"/>
                <w:color w:val="auto"/>
              </w:rPr>
            </w:pPr>
            <w:r>
              <w:rPr>
                <w:rFonts w:ascii="Arial" w:cs="Arial" w:eastAsia="Arial" w:hAnsi="Arial"/>
                <w:sz w:val="18"/>
                <w:szCs w:val="18"/>
                <w:color w:val="auto"/>
              </w:rPr>
              <w:t>6.8</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w w:val="89"/>
              </w:rPr>
              <w:t>§ 317(a)(1)</w:t>
            </w:r>
          </w:p>
        </w:tc>
        <w:tc>
          <w:tcPr>
            <w:tcW w:w="1180" w:type="dxa"/>
            <w:vAlign w:val="bottom"/>
          </w:tcPr>
          <w:p>
            <w:pPr>
              <w:ind w:left="80"/>
              <w:spacing w:after="0"/>
              <w:rPr>
                <w:sz w:val="20"/>
                <w:szCs w:val="20"/>
                <w:color w:val="auto"/>
              </w:rPr>
            </w:pPr>
            <w:r>
              <w:rPr>
                <w:rFonts w:ascii="Arial" w:cs="Arial" w:eastAsia="Arial" w:hAnsi="Arial"/>
                <w:sz w:val="18"/>
                <w:szCs w:val="18"/>
                <w:color w:val="auto"/>
              </w:rPr>
              <w:t>6.3</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(a)(2)</w:t>
            </w:r>
          </w:p>
        </w:tc>
        <w:tc>
          <w:tcPr>
            <w:tcW w:w="1180" w:type="dxa"/>
            <w:vAlign w:val="bottom"/>
          </w:tcPr>
          <w:p>
            <w:pPr>
              <w:ind w:left="80"/>
              <w:spacing w:after="0"/>
              <w:rPr>
                <w:sz w:val="20"/>
                <w:szCs w:val="20"/>
                <w:color w:val="auto"/>
              </w:rPr>
            </w:pPr>
            <w:r>
              <w:rPr>
                <w:rFonts w:ascii="Arial" w:cs="Arial" w:eastAsia="Arial" w:hAnsi="Arial"/>
                <w:sz w:val="18"/>
                <w:szCs w:val="18"/>
                <w:color w:val="auto"/>
              </w:rPr>
              <w:t>6.4</w:t>
            </w:r>
          </w:p>
        </w:tc>
      </w:tr>
      <w:tr>
        <w:trPr>
          <w:trHeight w:val="216"/>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(b)</w:t>
            </w:r>
          </w:p>
        </w:tc>
        <w:tc>
          <w:tcPr>
            <w:tcW w:w="1180" w:type="dxa"/>
            <w:vAlign w:val="bottom"/>
          </w:tcPr>
          <w:p>
            <w:pPr>
              <w:ind w:left="80"/>
              <w:spacing w:after="0"/>
              <w:rPr>
                <w:sz w:val="20"/>
                <w:szCs w:val="20"/>
                <w:color w:val="auto"/>
              </w:rPr>
            </w:pPr>
            <w:r>
              <w:rPr>
                <w:rFonts w:ascii="Arial" w:cs="Arial" w:eastAsia="Arial" w:hAnsi="Arial"/>
                <w:sz w:val="18"/>
                <w:szCs w:val="18"/>
                <w:color w:val="auto"/>
              </w:rPr>
              <w:t>2.5</w:t>
            </w:r>
          </w:p>
        </w:tc>
      </w:tr>
      <w:tr>
        <w:trPr>
          <w:trHeight w:val="230"/>
        </w:trPr>
        <w:tc>
          <w:tcPr>
            <w:tcW w:w="5420" w:type="dxa"/>
            <w:vAlign w:val="bottom"/>
          </w:tcPr>
          <w:p>
            <w:pPr>
              <w:jc w:val="right"/>
              <w:ind w:right="4510"/>
              <w:spacing w:after="0"/>
              <w:rPr>
                <w:sz w:val="20"/>
                <w:szCs w:val="20"/>
                <w:color w:val="auto"/>
              </w:rPr>
            </w:pPr>
            <w:r>
              <w:rPr>
                <w:rFonts w:ascii="Arial" w:cs="Arial" w:eastAsia="Arial" w:hAnsi="Arial"/>
                <w:sz w:val="18"/>
                <w:szCs w:val="18"/>
                <w:color w:val="auto"/>
              </w:rPr>
              <w:t>§ 318(a)</w:t>
            </w:r>
          </w:p>
        </w:tc>
        <w:tc>
          <w:tcPr>
            <w:tcW w:w="1180" w:type="dxa"/>
            <w:vAlign w:val="bottom"/>
          </w:tcPr>
          <w:p>
            <w:pPr>
              <w:ind w:left="80"/>
              <w:spacing w:after="0"/>
              <w:rPr>
                <w:sz w:val="20"/>
                <w:szCs w:val="20"/>
                <w:color w:val="auto"/>
              </w:rPr>
            </w:pPr>
            <w:r>
              <w:rPr>
                <w:rFonts w:ascii="Arial" w:cs="Arial" w:eastAsia="Arial" w:hAnsi="Arial"/>
                <w:sz w:val="18"/>
                <w:szCs w:val="18"/>
                <w:color w:val="auto"/>
              </w:rPr>
              <w:t>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Note: This reconciliation and tie shall not, for any purpose, be deemed to be part of the Indenture.</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25" w:name="page126"/>
    <w:bookmarkEnd w:id="125"/>
    <w:p>
      <w:pPr>
        <w:ind w:left="1300"/>
        <w:spacing w:after="0"/>
        <w:rPr>
          <w:sz w:val="20"/>
          <w:szCs w:val="20"/>
          <w:color w:val="auto"/>
        </w:rPr>
      </w:pPr>
      <w:r>
        <w:rPr>
          <w:rFonts w:ascii="Arial" w:cs="Arial" w:eastAsia="Arial" w:hAnsi="Arial"/>
          <w:sz w:val="16"/>
          <w:szCs w:val="16"/>
          <w:color w:val="auto"/>
        </w:rPr>
        <w:t>Indenture dated as of __________, 20__ between Verona Pharma plc, a company incorporated under the laws of the England and Wales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and [______] (“</w:t>
      </w:r>
      <w:r>
        <w:rPr>
          <w:rFonts w:ascii="Arial" w:cs="Arial" w:eastAsia="Arial" w:hAnsi="Arial"/>
          <w:sz w:val="18"/>
          <w:szCs w:val="18"/>
          <w:i w:val="1"/>
          <w:iCs w:val="1"/>
          <w:color w:val="auto"/>
        </w:rPr>
        <w:t>Trustee</w:t>
      </w:r>
      <w:r>
        <w:rPr>
          <w:rFonts w:ascii="Arial" w:cs="Arial" w:eastAsia="Arial" w:hAnsi="Arial"/>
          <w:sz w:val="18"/>
          <w:szCs w:val="18"/>
          <w:color w:val="auto"/>
        </w:rPr>
        <w:t>”).</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Each party agrees as follows for the benefit of the other party and for the equal and ratable benefit of the Holders of the Securities issued under this Indenture.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AND INCORPORATION BY REFERENCE</w:t>
      </w:r>
    </w:p>
    <w:p>
      <w:pPr>
        <w:spacing w:after="0" w:line="21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Definitions.</w:t>
      </w:r>
    </w:p>
    <w:p>
      <w:pPr>
        <w:spacing w:after="0" w:line="225" w:lineRule="exact"/>
        <w:rPr>
          <w:sz w:val="20"/>
          <w:szCs w:val="20"/>
          <w:color w:val="auto"/>
        </w:rPr>
      </w:pPr>
    </w:p>
    <w:p>
      <w:pPr>
        <w:jc w:val="both"/>
        <w:ind w:right="20" w:firstLine="1296"/>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Additional Amounts</w:t>
      </w:r>
      <w:r>
        <w:rPr>
          <w:rFonts w:ascii="Arial" w:cs="Arial" w:eastAsia="Arial" w:hAnsi="Arial"/>
          <w:sz w:val="16"/>
          <w:szCs w:val="16"/>
          <w:color w:val="auto"/>
        </w:rPr>
        <w:t>” means any additional amounts which are required hereby or by any Security, under circumstances specified herein or therein, to be paid by the Company in respect of certain taxes imposed on Holders specified herein or therein and which are owing to such Holders.</w:t>
      </w:r>
    </w:p>
    <w:p>
      <w:pPr>
        <w:spacing w:after="0" w:line="124"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Affiliate</w:t>
      </w:r>
      <w:r>
        <w:rPr>
          <w:rFonts w:ascii="Arial" w:cs="Arial" w:eastAsia="Arial" w:hAnsi="Arial"/>
          <w:sz w:val="17"/>
          <w:szCs w:val="17"/>
          <w:color w:val="auto"/>
        </w:rPr>
        <w:t>” of any specified person means any other person directly or indirectly controlling or controlled by or under common control with such specified person.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or policies of such person, whether through the ownership of voting securities or by agreement or otherwise.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Agent</w:t>
      </w:r>
      <w:r>
        <w:rPr>
          <w:rFonts w:ascii="Arial" w:cs="Arial" w:eastAsia="Arial" w:hAnsi="Arial"/>
          <w:sz w:val="18"/>
          <w:szCs w:val="18"/>
          <w:color w:val="auto"/>
        </w:rPr>
        <w:t>” means any Registrar, Paying Agent or Notice Agent.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Resolution</w:t>
      </w:r>
      <w:r>
        <w:rPr>
          <w:rFonts w:ascii="Arial" w:cs="Arial" w:eastAsia="Arial" w:hAnsi="Arial"/>
          <w:sz w:val="18"/>
          <w:szCs w:val="18"/>
          <w:color w:val="auto"/>
        </w:rPr>
        <w:t>” means a copy of a resolution certified by the Secretary or an Assistant Secretary of the Company to have been adopted by the Board of Directors or pursuant to authorization by the Board of Directors and to be in full force and effect on the date of the certificate and delivered to the Trustee.</w:t>
      </w:r>
    </w:p>
    <w:p>
      <w:pPr>
        <w:spacing w:after="0" w:line="184"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Day</w:t>
      </w:r>
      <w:r>
        <w:rPr>
          <w:rFonts w:ascii="Arial" w:cs="Arial" w:eastAsia="Arial" w:hAnsi="Arial"/>
          <w:sz w:val="17"/>
          <w:szCs w:val="17"/>
          <w:color w:val="auto"/>
        </w:rPr>
        <w:t>” means any day except a Saturday, Sunday or a legal holiday in The City of New York, New York (or in connection with any payment, the place of payment) on which banking institutions are authorized or required by law, regulation or executive order to close.</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Stock</w:t>
      </w:r>
      <w:r>
        <w:rPr>
          <w:rFonts w:ascii="Arial" w:cs="Arial" w:eastAsia="Arial" w:hAnsi="Arial"/>
          <w:sz w:val="16"/>
          <w:szCs w:val="16"/>
          <w:color w:val="auto"/>
        </w:rPr>
        <w:t>” means any and all shares, interests, participations, rights or other equivalents (however designated) of corporate stock.</w:t>
      </w: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the party named as such above until a successor replaces it and thereafter means the successor.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 Order</w:t>
      </w:r>
      <w:r>
        <w:rPr>
          <w:rFonts w:ascii="Arial" w:cs="Arial" w:eastAsia="Arial" w:hAnsi="Arial"/>
          <w:sz w:val="18"/>
          <w:szCs w:val="18"/>
          <w:color w:val="auto"/>
        </w:rPr>
        <w:t>” means a written order signed in the name of the Company by an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6" w:name="page127"/>
    <w:bookmarkEnd w:id="126"/>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Corporate Trust Office</w:t>
      </w:r>
      <w:r>
        <w:rPr>
          <w:rFonts w:ascii="Arial" w:cs="Arial" w:eastAsia="Arial" w:hAnsi="Arial"/>
          <w:sz w:val="18"/>
          <w:szCs w:val="18"/>
          <w:color w:val="auto"/>
        </w:rPr>
        <w:t>” means the office of the Trustee at which at any particular time its corporate trust business related to this Indenture shall be principally administered.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Depositary</w:t>
      </w:r>
      <w:r>
        <w:rPr>
          <w:rFonts w:ascii="Arial" w:cs="Arial" w:eastAsia="Arial" w:hAnsi="Arial"/>
          <w:sz w:val="18"/>
          <w:szCs w:val="18"/>
          <w:color w:val="auto"/>
        </w:rPr>
        <w:t>” means, with respect to the Securities of any Series issuable or issued in whole or in part in the form of one or more Global Securities, the person designated as Depositary for such Series by the Company, which Depositary shall be a clearing agency registered under the Exchange Act; and if at any time there is more than one such person, “Depositary” as used with respect to the Securities of any Series shall mean the Depositary with respect to the Securities of such Series.</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Discount Security</w:t>
      </w:r>
      <w:r>
        <w:rPr>
          <w:rFonts w:ascii="Arial" w:cs="Arial" w:eastAsia="Arial" w:hAnsi="Arial"/>
          <w:sz w:val="18"/>
          <w:szCs w:val="18"/>
          <w:color w:val="auto"/>
        </w:rPr>
        <w:t>” means any Security that provides for an amount less than the stated principal amount thereof to be due and payable upon declaration of acceleration of the maturity thereof pursuant to Section 6.2.</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w:t>
      </w:r>
      <w:r>
        <w:rPr>
          <w:rFonts w:ascii="Arial" w:cs="Arial" w:eastAsia="Arial" w:hAnsi="Arial"/>
          <w:sz w:val="18"/>
          <w:szCs w:val="18"/>
          <w:color w:val="auto"/>
        </w:rPr>
        <w:t>” and “</w:t>
      </w:r>
      <w:r>
        <w:rPr>
          <w:rFonts w:ascii="Arial" w:cs="Arial" w:eastAsia="Arial" w:hAnsi="Arial"/>
          <w:sz w:val="18"/>
          <w:szCs w:val="18"/>
          <w:i w:val="1"/>
          <w:iCs w:val="1"/>
          <w:color w:val="auto"/>
        </w:rPr>
        <w:t>$</w:t>
      </w:r>
      <w:r>
        <w:rPr>
          <w:rFonts w:ascii="Arial" w:cs="Arial" w:eastAsia="Arial" w:hAnsi="Arial"/>
          <w:sz w:val="18"/>
          <w:szCs w:val="18"/>
          <w:color w:val="auto"/>
        </w:rPr>
        <w:t>” means the currency of The United States of America.</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Foreign Currency</w:t>
      </w:r>
      <w:r>
        <w:rPr>
          <w:rFonts w:ascii="Arial" w:cs="Arial" w:eastAsia="Arial" w:hAnsi="Arial"/>
          <w:sz w:val="17"/>
          <w:szCs w:val="17"/>
          <w:color w:val="auto"/>
        </w:rPr>
        <w:t>” means any currency or currency unit issued by a government other than the government of The United States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America.</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Government Obligations</w:t>
      </w:r>
      <w:r>
        <w:rPr>
          <w:rFonts w:ascii="Arial" w:cs="Arial" w:eastAsia="Arial" w:hAnsi="Arial"/>
          <w:sz w:val="18"/>
          <w:szCs w:val="18"/>
          <w:color w:val="auto"/>
        </w:rPr>
        <w:t>” means, with respect to Securities of any Series that are denominated in a Foreign Currency, direct obligations of, or obligations guaranteed by, the government that issued or caused to be issued such currency for the payment of which obligations its full faith and credit is pledged and which are not callable or redeemable at the option of the issuer thereof.</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i w:val="1"/>
          <w:iCs w:val="1"/>
          <w:color w:val="auto"/>
        </w:rPr>
        <w:t xml:space="preserve">“GAAP” </w:t>
      </w:r>
      <w:r>
        <w:rPr>
          <w:rFonts w:ascii="Arial" w:cs="Arial" w:eastAsia="Arial" w:hAnsi="Arial"/>
          <w:sz w:val="18"/>
          <w:szCs w:val="18"/>
          <w:color w:val="auto"/>
        </w:rPr>
        <w:t>means accounting principles generally accepted in the United States of America set forth in the opinions and pronouncements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date of determination.</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Global Security</w:t>
      </w:r>
      <w:r>
        <w:rPr>
          <w:rFonts w:ascii="Arial" w:cs="Arial" w:eastAsia="Arial" w:hAnsi="Arial"/>
          <w:sz w:val="18"/>
          <w:szCs w:val="18"/>
          <w:color w:val="auto"/>
        </w:rPr>
        <w:t>” or “</w:t>
      </w:r>
      <w:r>
        <w:rPr>
          <w:rFonts w:ascii="Arial" w:cs="Arial" w:eastAsia="Arial" w:hAnsi="Arial"/>
          <w:sz w:val="18"/>
          <w:szCs w:val="18"/>
          <w:i w:val="1"/>
          <w:iCs w:val="1"/>
          <w:color w:val="auto"/>
        </w:rPr>
        <w:t>Global Securities</w:t>
      </w:r>
      <w:r>
        <w:rPr>
          <w:rFonts w:ascii="Arial" w:cs="Arial" w:eastAsia="Arial" w:hAnsi="Arial"/>
          <w:sz w:val="18"/>
          <w:szCs w:val="18"/>
          <w:color w:val="auto"/>
        </w:rPr>
        <w:t>” means a Security or Securities, as the case may be, in the form established pursuant to Section 2.2 evidencing all or part of a Series of Securities, issued to the Depositary for such Series or its nominee, and registered in the name of such Depositary or nominee.</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Holder</w:t>
      </w:r>
      <w:r>
        <w:rPr>
          <w:rFonts w:ascii="Arial" w:cs="Arial" w:eastAsia="Arial" w:hAnsi="Arial"/>
          <w:sz w:val="18"/>
          <w:szCs w:val="18"/>
          <w:color w:val="auto"/>
        </w:rPr>
        <w:t>” or “</w:t>
      </w:r>
      <w:r>
        <w:rPr>
          <w:rFonts w:ascii="Arial" w:cs="Arial" w:eastAsia="Arial" w:hAnsi="Arial"/>
          <w:sz w:val="18"/>
          <w:szCs w:val="18"/>
          <w:i w:val="1"/>
          <w:iCs w:val="1"/>
          <w:color w:val="auto"/>
        </w:rPr>
        <w:t>Securityholder</w:t>
      </w:r>
      <w:r>
        <w:rPr>
          <w:rFonts w:ascii="Arial" w:cs="Arial" w:eastAsia="Arial" w:hAnsi="Arial"/>
          <w:sz w:val="18"/>
          <w:szCs w:val="18"/>
          <w:color w:val="auto"/>
        </w:rPr>
        <w:t>” means a person in whose name a Security is registered.</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w:t>
      </w:r>
      <w:r>
        <w:rPr>
          <w:rFonts w:ascii="Arial" w:cs="Arial" w:eastAsia="Arial" w:hAnsi="Arial"/>
          <w:sz w:val="18"/>
          <w:szCs w:val="18"/>
          <w:color w:val="auto"/>
        </w:rPr>
        <w:t>” means this Indenture as amended or supplemented from time to time and shall include the form and terms of particular Series of Securities established as contemplated hereunder.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w:t>
      </w:r>
      <w:r>
        <w:rPr>
          <w:rFonts w:ascii="Arial" w:cs="Arial" w:eastAsia="Arial" w:hAnsi="Arial"/>
          <w:sz w:val="18"/>
          <w:szCs w:val="18"/>
          <w:color w:val="auto"/>
        </w:rPr>
        <w:t>” with respect to any Discount Security which by its terms bears interest only after Maturity, means interest payable after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Maturity.</w:t>
      </w:r>
    </w:p>
    <w:p>
      <w:pPr>
        <w:spacing w:after="0" w:line="211"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w:t>
      </w:r>
      <w:r>
        <w:rPr>
          <w:rFonts w:ascii="Arial" w:cs="Arial" w:eastAsia="Arial" w:hAnsi="Arial"/>
          <w:sz w:val="18"/>
          <w:szCs w:val="18"/>
          <w:color w:val="auto"/>
        </w:rPr>
        <w:t>,” when used with respect to any Security, means the date on which the principal of such Security becomes due and payable as therein or herein provided, whether at the Stated Maturity or by declaration of acceleration, call for redemption or otherwise.</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w:t>
      </w:r>
      <w:r>
        <w:rPr>
          <w:rFonts w:ascii="Arial" w:cs="Arial" w:eastAsia="Arial" w:hAnsi="Arial"/>
          <w:sz w:val="18"/>
          <w:szCs w:val="18"/>
          <w:color w:val="auto"/>
        </w:rPr>
        <w:t>” means the Chief Executive Officer, President, the Chief Financial Officer, the Treasurer or any Assistant Treasurer, the Secretary or any Assistant Secretary, and any Vice President of the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Officer’s Certificate</w:t>
      </w:r>
      <w:r>
        <w:rPr>
          <w:rFonts w:ascii="Arial" w:cs="Arial" w:eastAsia="Arial" w:hAnsi="Arial"/>
          <w:sz w:val="18"/>
          <w:szCs w:val="18"/>
          <w:color w:val="auto"/>
        </w:rPr>
        <w:t>” means a certificate signed by any Officer.</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Opinion of Counsel</w:t>
      </w:r>
      <w:r>
        <w:rPr>
          <w:rFonts w:ascii="Arial" w:cs="Arial" w:eastAsia="Arial" w:hAnsi="Arial"/>
          <w:sz w:val="18"/>
          <w:szCs w:val="18"/>
          <w:color w:val="auto"/>
        </w:rPr>
        <w:t>” means a written opinion of legal counsel who is acceptable to the Trustee. The counsel may be an employee of or counsel to the Company. The opinion may contain customary limitations, conditions and exceptions.</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limited liability company, joint-stock company, trust, unincorporated organization or government or any agency or political subdivision thereof.</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w:t>
      </w:r>
      <w:r>
        <w:rPr>
          <w:rFonts w:ascii="Arial" w:cs="Arial" w:eastAsia="Arial" w:hAnsi="Arial"/>
          <w:sz w:val="18"/>
          <w:szCs w:val="18"/>
          <w:color w:val="auto"/>
        </w:rPr>
        <w:t>” of a Security means the principal of the Security plus, when appropriate, the premium, if any, on, and any Additional Amounts in respect of, the Security.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Responsible Officer</w:t>
      </w:r>
      <w:r>
        <w:rPr>
          <w:rFonts w:ascii="Arial" w:cs="Arial" w:eastAsia="Arial" w:hAnsi="Arial"/>
          <w:sz w:val="18"/>
          <w:szCs w:val="18"/>
          <w:color w:val="auto"/>
        </w:rPr>
        <w:t>” means any officer of the Trustee in its Corporate Trust Office having responsibility for administration of this Indenture and also means, with respect to a particular corporate trust matter, any other officer to whom any corporate trust matter is referred because of his or her knowledge of and familiarity with a particular subject.</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Securities</w:t>
      </w:r>
      <w:r>
        <w:rPr>
          <w:rFonts w:ascii="Arial" w:cs="Arial" w:eastAsia="Arial" w:hAnsi="Arial"/>
          <w:sz w:val="16"/>
          <w:szCs w:val="16"/>
          <w:color w:val="auto"/>
        </w:rPr>
        <w:t>” means the debentures, notes or other debt instruments of the Company of any Series authenticated and delivered under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Indenture.</w:t>
      </w:r>
    </w:p>
    <w:p>
      <w:pPr>
        <w:spacing w:after="0" w:line="211"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Series</w:t>
      </w:r>
      <w:r>
        <w:rPr>
          <w:rFonts w:ascii="Arial" w:cs="Arial" w:eastAsia="Arial" w:hAnsi="Arial"/>
          <w:sz w:val="18"/>
          <w:szCs w:val="18"/>
          <w:color w:val="auto"/>
        </w:rPr>
        <w:t>” or “</w:t>
      </w:r>
      <w:r>
        <w:rPr>
          <w:rFonts w:ascii="Arial" w:cs="Arial" w:eastAsia="Arial" w:hAnsi="Arial"/>
          <w:sz w:val="18"/>
          <w:szCs w:val="18"/>
          <w:i w:val="1"/>
          <w:iCs w:val="1"/>
          <w:color w:val="auto"/>
        </w:rPr>
        <w:t>Series of Securities</w:t>
      </w:r>
      <w:r>
        <w:rPr>
          <w:rFonts w:ascii="Arial" w:cs="Arial" w:eastAsia="Arial" w:hAnsi="Arial"/>
          <w:sz w:val="18"/>
          <w:szCs w:val="18"/>
          <w:color w:val="auto"/>
        </w:rPr>
        <w:t>” means each series of debentures, notes or other debt instruments of the Company created pursuant to Sections 2.1 and 2.2 hereof.</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when used with respect to any Security, means the date specified in such Security as the fixed date on which the principal of such Security or interest is due and payable.</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of any specified person means any corporation, association or other business entity of which more than 50% of the total voting power of shares of Capital Stock entitled (without regard to the occurrence of any contingency) to vote in the election of directors, managers or trustees thereof is at the time owned or controlled, directly or indirectly, by such person or one or more of the other Subsidiaries of that person or a combination thereof.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8" w:name="page129"/>
    <w:bookmarkEnd w:id="128"/>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TIA</w:t>
      </w:r>
      <w:r>
        <w:rPr>
          <w:rFonts w:ascii="Arial" w:cs="Arial" w:eastAsia="Arial" w:hAnsi="Arial"/>
          <w:sz w:val="18"/>
          <w:szCs w:val="18"/>
          <w:color w:val="auto"/>
        </w:rPr>
        <w:t xml:space="preserve">” means the Trust Indenture Act of 1939 (15 U.S. Code §§ 77aaa-77bbbb) as in effect on the date of this Indenture;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the Trust Indenture Act of 1939 is amended after such date, “TIA” means, to the extent required by any such amendment, the Trust Indenture Act as so amended.</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Trustee</w:t>
      </w:r>
      <w:r>
        <w:rPr>
          <w:rFonts w:ascii="Arial" w:cs="Arial" w:eastAsia="Arial" w:hAnsi="Arial"/>
          <w:sz w:val="18"/>
          <w:szCs w:val="18"/>
          <w:color w:val="auto"/>
        </w:rPr>
        <w:t>” means the person named as the “Trustee” in the first paragraph of this instrument until a successor Trustee shall have become such pursuant to the applicable provisions of this Indenture, and thereafter “Trustee” shall mean or include each person who is then a Trustee hereunder, and if at any time there is more than one such person, “Trustee” as used with respect to the Securities of any Series shall mean the Trustee with respect to Securities of that Series.</w:t>
      </w:r>
    </w:p>
    <w:p>
      <w:pPr>
        <w:spacing w:after="0" w:line="187"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Government Obligations</w:t>
      </w:r>
      <w:r>
        <w:rPr>
          <w:rFonts w:ascii="Arial" w:cs="Arial" w:eastAsia="Arial" w:hAnsi="Arial"/>
          <w:sz w:val="16"/>
          <w:szCs w:val="16"/>
          <w:color w:val="auto"/>
        </w:rPr>
        <w:t xml:space="preserve">” means securities which are direct obligations of, or guaranteed by, The United States of America for the payment of which its full faith and credit is pledged and which are not callable or redeemable at the option of the issuer thereof, and shall also include a depositary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depositary receipt from any amount received by the custodian in respect of the U.S. Government Obligation evidenced by such depositary receipt.</w:t>
      </w:r>
    </w:p>
    <w:p>
      <w:pPr>
        <w:spacing w:after="0" w:line="147"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260" w:type="dxa"/>
            <w:vAlign w:val="bottom"/>
            <w:gridSpan w:val="3"/>
          </w:tcPr>
          <w:p>
            <w:pPr>
              <w:spacing w:after="0"/>
              <w:rPr>
                <w:sz w:val="20"/>
                <w:szCs w:val="20"/>
                <w:color w:val="auto"/>
              </w:rPr>
            </w:pPr>
            <w:r>
              <w:rPr>
                <w:rFonts w:ascii="Arial" w:cs="Arial" w:eastAsia="Arial" w:hAnsi="Arial"/>
                <w:sz w:val="18"/>
                <w:szCs w:val="18"/>
                <w:color w:val="auto"/>
              </w:rPr>
              <w:t>Section 1.2.</w:t>
            </w:r>
          </w:p>
        </w:tc>
        <w:tc>
          <w:tcPr>
            <w:tcW w:w="5200" w:type="dxa"/>
            <w:vAlign w:val="bottom"/>
            <w:gridSpan w:val="3"/>
          </w:tcPr>
          <w:p>
            <w:pPr>
              <w:spacing w:after="0"/>
              <w:rPr>
                <w:sz w:val="20"/>
                <w:szCs w:val="20"/>
                <w:color w:val="auto"/>
              </w:rPr>
            </w:pPr>
            <w:r>
              <w:rPr>
                <w:rFonts w:ascii="Arial" w:cs="Arial" w:eastAsia="Arial" w:hAnsi="Arial"/>
                <w:sz w:val="18"/>
                <w:szCs w:val="18"/>
                <w:color w:val="auto"/>
              </w:rPr>
              <w:t>Other Definitions.</w:t>
            </w:r>
          </w:p>
        </w:tc>
        <w:tc>
          <w:tcPr>
            <w:tcW w:w="1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12"/>
        </w:trPr>
        <w:tc>
          <w:tcPr>
            <w:tcW w:w="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TERM</w:t>
            </w:r>
          </w:p>
        </w:tc>
        <w:tc>
          <w:tcPr>
            <w:tcW w:w="1260" w:type="dxa"/>
            <w:vAlign w:val="bottom"/>
            <w:tcBorders>
              <w:top w:val="single" w:sz="8" w:color="auto"/>
            </w:tcBorders>
          </w:tcPr>
          <w:p>
            <w:pPr>
              <w:spacing w:after="0"/>
              <w:rPr>
                <w:sz w:val="24"/>
                <w:szCs w:val="24"/>
                <w:color w:val="auto"/>
              </w:rPr>
            </w:pPr>
          </w:p>
        </w:tc>
        <w:tc>
          <w:tcPr>
            <w:tcW w:w="2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540" w:type="dxa"/>
            <w:vAlign w:val="bottom"/>
            <w:gridSpan w:val="3"/>
          </w:tcPr>
          <w:p>
            <w:pPr>
              <w:jc w:val="center"/>
              <w:ind w:left="1450"/>
              <w:spacing w:after="0"/>
              <w:rPr>
                <w:sz w:val="20"/>
                <w:szCs w:val="20"/>
                <w:color w:val="auto"/>
              </w:rPr>
            </w:pPr>
            <w:r>
              <w:rPr>
                <w:rFonts w:ascii="Arial" w:cs="Arial" w:eastAsia="Arial" w:hAnsi="Arial"/>
                <w:sz w:val="18"/>
                <w:szCs w:val="18"/>
                <w:color w:val="auto"/>
                <w:w w:val="97"/>
              </w:rPr>
              <w:t>DEFINED IN</w:t>
            </w:r>
          </w:p>
        </w:tc>
      </w:tr>
      <w:tr>
        <w:trPr>
          <w:trHeight w:val="196"/>
        </w:trPr>
        <w:tc>
          <w:tcPr>
            <w:tcW w:w="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760" w:type="dxa"/>
            <w:vAlign w:val="bottom"/>
            <w:tcBorders>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4"/>
              </w:rPr>
              <w:t>SECTION</w:t>
            </w:r>
          </w:p>
        </w:tc>
        <w:tc>
          <w:tcPr>
            <w:tcW w:w="10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644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Law</w:t>
            </w:r>
            <w:r>
              <w:rPr>
                <w:rFonts w:ascii="Arial" w:cs="Arial" w:eastAsia="Arial" w:hAnsi="Arial"/>
                <w:sz w:val="18"/>
                <w:szCs w:val="18"/>
                <w:color w:val="auto"/>
              </w:rPr>
              <w:t>”</w:t>
            </w:r>
          </w:p>
        </w:tc>
        <w:tc>
          <w:tcPr>
            <w:tcW w:w="2440" w:type="dxa"/>
            <w:vAlign w:val="bottom"/>
            <w:gridSpan w:val="2"/>
          </w:tcPr>
          <w:p>
            <w:pPr>
              <w:jc w:val="center"/>
              <w:ind w:left="1570"/>
              <w:spacing w:after="0"/>
              <w:rPr>
                <w:sz w:val="20"/>
                <w:szCs w:val="20"/>
                <w:color w:val="auto"/>
              </w:rPr>
            </w:pPr>
            <w:r>
              <w:rPr>
                <w:rFonts w:ascii="Arial" w:cs="Arial" w:eastAsia="Arial" w:hAnsi="Arial"/>
                <w:sz w:val="18"/>
                <w:szCs w:val="18"/>
                <w:color w:val="auto"/>
                <w:w w:val="87"/>
              </w:rPr>
              <w:t>6.1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Custodian</w:t>
            </w: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40" w:type="dxa"/>
            <w:vAlign w:val="bottom"/>
            <w:gridSpan w:val="2"/>
          </w:tcPr>
          <w:p>
            <w:pPr>
              <w:jc w:val="center"/>
              <w:ind w:left="1570"/>
              <w:spacing w:after="0"/>
              <w:rPr>
                <w:sz w:val="20"/>
                <w:szCs w:val="20"/>
                <w:color w:val="auto"/>
              </w:rPr>
            </w:pPr>
            <w:r>
              <w:rPr>
                <w:rFonts w:ascii="Arial" w:cs="Arial" w:eastAsia="Arial" w:hAnsi="Arial"/>
                <w:sz w:val="18"/>
                <w:szCs w:val="18"/>
                <w:color w:val="auto"/>
                <w:w w:val="87"/>
              </w:rPr>
              <w:t>6.1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w:t>
            </w:r>
          </w:p>
        </w:tc>
        <w:tc>
          <w:tcPr>
            <w:tcW w:w="2440" w:type="dxa"/>
            <w:vAlign w:val="bottom"/>
            <w:gridSpan w:val="2"/>
          </w:tcPr>
          <w:p>
            <w:pPr>
              <w:jc w:val="center"/>
              <w:ind w:left="1570"/>
              <w:spacing w:after="0"/>
              <w:rPr>
                <w:sz w:val="20"/>
                <w:szCs w:val="20"/>
                <w:color w:val="auto"/>
              </w:rPr>
            </w:pPr>
            <w:r>
              <w:rPr>
                <w:rFonts w:ascii="Arial" w:cs="Arial" w:eastAsia="Arial" w:hAnsi="Arial"/>
                <w:sz w:val="18"/>
                <w:szCs w:val="18"/>
                <w:color w:val="auto"/>
                <w:w w:val="87"/>
              </w:rPr>
              <w:t>6.1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Judgment Currency</w:t>
            </w:r>
            <w:r>
              <w:rPr>
                <w:rFonts w:ascii="Arial" w:cs="Arial" w:eastAsia="Arial" w:hAnsi="Arial"/>
                <w:sz w:val="18"/>
                <w:szCs w:val="18"/>
                <w:color w:val="auto"/>
              </w:rPr>
              <w:t>”</w:t>
            </w:r>
          </w:p>
        </w:tc>
        <w:tc>
          <w:tcPr>
            <w:tcW w:w="2440" w:type="dxa"/>
            <w:vAlign w:val="bottom"/>
            <w:gridSpan w:val="2"/>
          </w:tcPr>
          <w:p>
            <w:pPr>
              <w:jc w:val="center"/>
              <w:ind w:left="1590"/>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Legal Holiday</w:t>
            </w: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40" w:type="dxa"/>
            <w:vAlign w:val="bottom"/>
            <w:gridSpan w:val="2"/>
          </w:tcPr>
          <w:p>
            <w:pPr>
              <w:jc w:val="center"/>
              <w:ind w:left="1590"/>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mandatory sinking fund payment</w:t>
            </w:r>
            <w:r>
              <w:rPr>
                <w:rFonts w:ascii="Arial" w:cs="Arial" w:eastAsia="Arial" w:hAnsi="Arial"/>
                <w:sz w:val="18"/>
                <w:szCs w:val="18"/>
                <w:color w:val="auto"/>
              </w:rPr>
              <w:t>”</w:t>
            </w:r>
          </w:p>
        </w:tc>
        <w:tc>
          <w:tcPr>
            <w:tcW w:w="2440" w:type="dxa"/>
            <w:vAlign w:val="bottom"/>
            <w:gridSpan w:val="2"/>
          </w:tcPr>
          <w:p>
            <w:pPr>
              <w:jc w:val="center"/>
              <w:ind w:left="1590"/>
              <w:spacing w:after="0"/>
              <w:rPr>
                <w:sz w:val="20"/>
                <w:szCs w:val="20"/>
                <w:color w:val="auto"/>
              </w:rPr>
            </w:pPr>
            <w:r>
              <w:rPr>
                <w:rFonts w:ascii="Arial" w:cs="Arial" w:eastAsia="Arial" w:hAnsi="Arial"/>
                <w:sz w:val="18"/>
                <w:szCs w:val="18"/>
                <w:color w:val="auto"/>
                <w:w w:val="91"/>
              </w:rPr>
              <w:t>11.1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New York Banking Day</w:t>
            </w:r>
            <w:r>
              <w:rPr>
                <w:rFonts w:ascii="Arial" w:cs="Arial" w:eastAsia="Arial" w:hAnsi="Arial"/>
                <w:sz w:val="18"/>
                <w:szCs w:val="18"/>
                <w:color w:val="auto"/>
              </w:rPr>
              <w:t>”</w:t>
            </w:r>
          </w:p>
        </w:tc>
        <w:tc>
          <w:tcPr>
            <w:tcW w:w="2440" w:type="dxa"/>
            <w:vAlign w:val="bottom"/>
            <w:gridSpan w:val="2"/>
          </w:tcPr>
          <w:p>
            <w:pPr>
              <w:jc w:val="center"/>
              <w:ind w:left="1590"/>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Agent</w:t>
            </w: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40" w:type="dxa"/>
            <w:vAlign w:val="bottom"/>
            <w:gridSpan w:val="2"/>
          </w:tcPr>
          <w:p>
            <w:pPr>
              <w:jc w:val="center"/>
              <w:ind w:left="1570"/>
              <w:spacing w:after="0"/>
              <w:rPr>
                <w:sz w:val="20"/>
                <w:szCs w:val="20"/>
                <w:color w:val="auto"/>
              </w:rPr>
            </w:pPr>
            <w:r>
              <w:rPr>
                <w:rFonts w:ascii="Arial" w:cs="Arial" w:eastAsia="Arial" w:hAnsi="Arial"/>
                <w:sz w:val="18"/>
                <w:szCs w:val="18"/>
                <w:color w:val="auto"/>
                <w:w w:val="87"/>
              </w:rPr>
              <w:t>2.4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optional sinking fund payment</w:t>
            </w:r>
            <w:r>
              <w:rPr>
                <w:rFonts w:ascii="Arial" w:cs="Arial" w:eastAsia="Arial" w:hAnsi="Arial"/>
                <w:sz w:val="18"/>
                <w:szCs w:val="18"/>
                <w:color w:val="auto"/>
              </w:rPr>
              <w:t>”</w:t>
            </w:r>
          </w:p>
        </w:tc>
        <w:tc>
          <w:tcPr>
            <w:tcW w:w="2440" w:type="dxa"/>
            <w:vAlign w:val="bottom"/>
            <w:gridSpan w:val="2"/>
          </w:tcPr>
          <w:p>
            <w:pPr>
              <w:jc w:val="center"/>
              <w:ind w:left="1590"/>
              <w:spacing w:after="0"/>
              <w:rPr>
                <w:sz w:val="20"/>
                <w:szCs w:val="20"/>
                <w:color w:val="auto"/>
              </w:rPr>
            </w:pPr>
            <w:r>
              <w:rPr>
                <w:rFonts w:ascii="Arial" w:cs="Arial" w:eastAsia="Arial" w:hAnsi="Arial"/>
                <w:sz w:val="18"/>
                <w:szCs w:val="18"/>
                <w:color w:val="auto"/>
                <w:w w:val="91"/>
              </w:rPr>
              <w:t>11.1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Paying Agent</w:t>
            </w: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40" w:type="dxa"/>
            <w:vAlign w:val="bottom"/>
            <w:gridSpan w:val="2"/>
          </w:tcPr>
          <w:p>
            <w:pPr>
              <w:jc w:val="center"/>
              <w:ind w:left="1570"/>
              <w:spacing w:after="0"/>
              <w:rPr>
                <w:sz w:val="20"/>
                <w:szCs w:val="20"/>
                <w:color w:val="auto"/>
              </w:rPr>
            </w:pPr>
            <w:r>
              <w:rPr>
                <w:rFonts w:ascii="Arial" w:cs="Arial" w:eastAsia="Arial" w:hAnsi="Arial"/>
                <w:sz w:val="18"/>
                <w:szCs w:val="18"/>
                <w:color w:val="auto"/>
                <w:w w:val="87"/>
              </w:rPr>
              <w:t>2.4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Registrar</w:t>
            </w:r>
            <w:r>
              <w:rPr>
                <w:rFonts w:ascii="Arial" w:cs="Arial" w:eastAsia="Arial" w:hAnsi="Arial"/>
                <w:sz w:val="18"/>
                <w:szCs w:val="18"/>
                <w:color w:val="auto"/>
              </w:rPr>
              <w:t>”</w:t>
            </w:r>
          </w:p>
        </w:tc>
        <w:tc>
          <w:tcPr>
            <w:tcW w:w="1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40" w:type="dxa"/>
            <w:vAlign w:val="bottom"/>
            <w:gridSpan w:val="2"/>
          </w:tcPr>
          <w:p>
            <w:pPr>
              <w:jc w:val="center"/>
              <w:ind w:left="1570"/>
              <w:spacing w:after="0"/>
              <w:rPr>
                <w:sz w:val="20"/>
                <w:szCs w:val="20"/>
                <w:color w:val="auto"/>
              </w:rPr>
            </w:pPr>
            <w:r>
              <w:rPr>
                <w:rFonts w:ascii="Arial" w:cs="Arial" w:eastAsia="Arial" w:hAnsi="Arial"/>
                <w:sz w:val="18"/>
                <w:szCs w:val="18"/>
                <w:color w:val="auto"/>
                <w:w w:val="87"/>
              </w:rPr>
              <w:t>2.4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Currency</w:t>
            </w:r>
            <w:r>
              <w:rPr>
                <w:rFonts w:ascii="Arial" w:cs="Arial" w:eastAsia="Arial" w:hAnsi="Arial"/>
                <w:sz w:val="18"/>
                <w:szCs w:val="18"/>
                <w:color w:val="auto"/>
              </w:rPr>
              <w:t>”</w:t>
            </w:r>
          </w:p>
        </w:tc>
        <w:tc>
          <w:tcPr>
            <w:tcW w:w="2440" w:type="dxa"/>
            <w:vAlign w:val="bottom"/>
            <w:gridSpan w:val="2"/>
          </w:tcPr>
          <w:p>
            <w:pPr>
              <w:jc w:val="center"/>
              <w:ind w:left="1590"/>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Courts</w:t>
            </w:r>
            <w:r>
              <w:rPr>
                <w:rFonts w:ascii="Arial" w:cs="Arial" w:eastAsia="Arial" w:hAnsi="Arial"/>
                <w:sz w:val="18"/>
                <w:szCs w:val="18"/>
                <w:color w:val="auto"/>
              </w:rPr>
              <w:t>”</w:t>
            </w:r>
          </w:p>
        </w:tc>
        <w:tc>
          <w:tcPr>
            <w:tcW w:w="2440" w:type="dxa"/>
            <w:vAlign w:val="bottom"/>
            <w:gridSpan w:val="2"/>
          </w:tcPr>
          <w:p>
            <w:pPr>
              <w:jc w:val="center"/>
              <w:ind w:left="1590"/>
              <w:spacing w:after="0"/>
              <w:rPr>
                <w:sz w:val="20"/>
                <w:szCs w:val="20"/>
                <w:color w:val="auto"/>
              </w:rPr>
            </w:pPr>
            <w:r>
              <w:rPr>
                <w:rFonts w:ascii="Arial" w:cs="Arial" w:eastAsia="Arial" w:hAnsi="Arial"/>
                <w:sz w:val="18"/>
                <w:szCs w:val="18"/>
                <w:color w:val="auto"/>
                <w:w w:val="88"/>
              </w:rPr>
              <w:t>10.10</w:t>
            </w: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440" w:type="dxa"/>
            <w:vAlign w:val="bottom"/>
            <w:gridSpan w:val="5"/>
          </w:tcPr>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successor person</w:t>
            </w:r>
            <w:r>
              <w:rPr>
                <w:rFonts w:ascii="Arial" w:cs="Arial" w:eastAsia="Arial" w:hAnsi="Arial"/>
                <w:sz w:val="18"/>
                <w:szCs w:val="18"/>
                <w:color w:val="auto"/>
              </w:rPr>
              <w:t>”</w:t>
            </w:r>
          </w:p>
        </w:tc>
        <w:tc>
          <w:tcPr>
            <w:tcW w:w="2440" w:type="dxa"/>
            <w:vAlign w:val="bottom"/>
            <w:gridSpan w:val="2"/>
          </w:tcPr>
          <w:p>
            <w:pPr>
              <w:jc w:val="center"/>
              <w:ind w:left="1570"/>
              <w:spacing w:after="0"/>
              <w:rPr>
                <w:sz w:val="20"/>
                <w:szCs w:val="20"/>
                <w:color w:val="auto"/>
              </w:rPr>
            </w:pPr>
            <w:r>
              <w:rPr>
                <w:rFonts w:ascii="Arial" w:cs="Arial" w:eastAsia="Arial" w:hAnsi="Arial"/>
                <w:sz w:val="18"/>
                <w:szCs w:val="18"/>
                <w:color w:val="auto"/>
                <w:w w:val="87"/>
              </w:rPr>
              <w:t>5.1</w:t>
            </w:r>
          </w:p>
        </w:tc>
        <w:tc>
          <w:tcPr>
            <w:tcW w:w="100" w:type="dxa"/>
            <w:vAlign w:val="bottom"/>
          </w:tcPr>
          <w:p>
            <w:pPr>
              <w:spacing w:after="0"/>
              <w:rPr>
                <w:sz w:val="20"/>
                <w:szCs w:val="20"/>
                <w:color w:val="auto"/>
              </w:rPr>
            </w:pPr>
          </w:p>
        </w:tc>
      </w:tr>
      <w:tr>
        <w:trPr>
          <w:trHeight w:val="391"/>
        </w:trPr>
        <w:tc>
          <w:tcPr>
            <w:tcW w:w="1260" w:type="dxa"/>
            <w:vAlign w:val="bottom"/>
            <w:gridSpan w:val="3"/>
          </w:tcPr>
          <w:p>
            <w:pPr>
              <w:spacing w:after="0"/>
              <w:rPr>
                <w:sz w:val="20"/>
                <w:szCs w:val="20"/>
                <w:color w:val="auto"/>
              </w:rPr>
            </w:pPr>
            <w:r>
              <w:rPr>
                <w:rFonts w:ascii="Arial" w:cs="Arial" w:eastAsia="Arial" w:hAnsi="Arial"/>
                <w:sz w:val="18"/>
                <w:szCs w:val="18"/>
                <w:color w:val="auto"/>
              </w:rPr>
              <w:t>Section 1.3.</w:t>
            </w:r>
          </w:p>
        </w:tc>
        <w:tc>
          <w:tcPr>
            <w:tcW w:w="5200" w:type="dxa"/>
            <w:vAlign w:val="bottom"/>
            <w:gridSpan w:val="3"/>
          </w:tcPr>
          <w:p>
            <w:pPr>
              <w:spacing w:after="0"/>
              <w:rPr>
                <w:sz w:val="20"/>
                <w:szCs w:val="20"/>
                <w:color w:val="auto"/>
              </w:rPr>
            </w:pPr>
            <w:r>
              <w:rPr>
                <w:rFonts w:ascii="Arial" w:cs="Arial" w:eastAsia="Arial" w:hAnsi="Arial"/>
                <w:sz w:val="18"/>
                <w:szCs w:val="18"/>
                <w:color w:val="auto"/>
              </w:rPr>
              <w:t>Incorporation by Reference of Trust Indenture Act.</w:t>
            </w: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Whenever this Indenture refers to a provision of the TIA, the provision is incorporated by reference in and made a part of this Indenture.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TIA terms used in this Indenture have the following meanings: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Commission</w:t>
      </w:r>
      <w:r>
        <w:rPr>
          <w:rFonts w:ascii="Arial" w:cs="Arial" w:eastAsia="Arial" w:hAnsi="Arial"/>
          <w:sz w:val="18"/>
          <w:szCs w:val="18"/>
          <w:color w:val="auto"/>
        </w:rPr>
        <w:t>” means the SEC.</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securities</w:t>
      </w:r>
      <w:r>
        <w:rPr>
          <w:rFonts w:ascii="Arial" w:cs="Arial" w:eastAsia="Arial" w:hAnsi="Arial"/>
          <w:sz w:val="18"/>
          <w:szCs w:val="18"/>
          <w:color w:val="auto"/>
        </w:rPr>
        <w:t>” means the Securities.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security holder</w:t>
      </w:r>
      <w:r>
        <w:rPr>
          <w:rFonts w:ascii="Arial" w:cs="Arial" w:eastAsia="Arial" w:hAnsi="Arial"/>
          <w:sz w:val="18"/>
          <w:szCs w:val="18"/>
          <w:color w:val="auto"/>
        </w:rPr>
        <w:t>” means a Securityholder.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to be qualified</w:t>
      </w:r>
      <w:r>
        <w:rPr>
          <w:rFonts w:ascii="Arial" w:cs="Arial" w:eastAsia="Arial" w:hAnsi="Arial"/>
          <w:sz w:val="18"/>
          <w:szCs w:val="18"/>
          <w:color w:val="auto"/>
        </w:rPr>
        <w:t>” means this Indenture.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indenture trustee</w:t>
      </w:r>
      <w:r>
        <w:rPr>
          <w:rFonts w:ascii="Arial" w:cs="Arial" w:eastAsia="Arial" w:hAnsi="Arial"/>
          <w:sz w:val="18"/>
          <w:szCs w:val="18"/>
          <w:color w:val="auto"/>
        </w:rPr>
        <w:t>” or “</w:t>
      </w:r>
      <w:r>
        <w:rPr>
          <w:rFonts w:ascii="Arial" w:cs="Arial" w:eastAsia="Arial" w:hAnsi="Arial"/>
          <w:sz w:val="18"/>
          <w:szCs w:val="18"/>
          <w:i w:val="1"/>
          <w:iCs w:val="1"/>
          <w:color w:val="auto"/>
        </w:rPr>
        <w:t>institutional trustee</w:t>
      </w:r>
      <w:r>
        <w:rPr>
          <w:rFonts w:ascii="Arial" w:cs="Arial" w:eastAsia="Arial" w:hAnsi="Arial"/>
          <w:sz w:val="18"/>
          <w:szCs w:val="18"/>
          <w:color w:val="auto"/>
        </w:rPr>
        <w:t>” means the Trustee.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obligor</w:t>
      </w:r>
      <w:r>
        <w:rPr>
          <w:rFonts w:ascii="Arial" w:cs="Arial" w:eastAsia="Arial" w:hAnsi="Arial"/>
          <w:sz w:val="18"/>
          <w:szCs w:val="18"/>
          <w:color w:val="auto"/>
        </w:rPr>
        <w:t>” on the indenture securities means the Company and any successor obligor upon the Securities.</w:t>
      </w:r>
    </w:p>
    <w:p>
      <w:pPr>
        <w:spacing w:after="0" w:line="225"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All other terms used in this Indenture that are defined by the TIA, defined by TIA reference to another statute or defined by SEC rule under the TIA and not otherwise defined herein are used herein as so defined.</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Rules of Construction</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Unless the context otherwise requires:</w:t>
      </w:r>
    </w:p>
    <w:p>
      <w:pPr>
        <w:spacing w:after="0" w:line="225" w:lineRule="exact"/>
        <w:rPr>
          <w:sz w:val="20"/>
          <w:szCs w:val="20"/>
          <w:color w:val="auto"/>
        </w:rPr>
      </w:pPr>
    </w:p>
    <w:p>
      <w:pPr>
        <w:ind w:left="2040" w:hanging="736"/>
        <w:spacing w:after="0"/>
        <w:tabs>
          <w:tab w:leader="none" w:pos="20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term has the meaning assigned to it;</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 accounting term not otherwise defined has the meaning assigned to it in accordance with GAAP;</w:t>
      </w:r>
    </w:p>
    <w:p>
      <w:pPr>
        <w:spacing w:after="0" w:line="225" w:lineRule="exact"/>
        <w:rPr>
          <w:rFonts w:ascii="Arial" w:cs="Arial" w:eastAsia="Arial" w:hAnsi="Arial"/>
          <w:sz w:val="18"/>
          <w:szCs w:val="18"/>
          <w:color w:val="auto"/>
        </w:rPr>
      </w:pPr>
    </w:p>
    <w:p>
      <w:pPr>
        <w:ind w:left="2040" w:hanging="736"/>
        <w:spacing w:after="0"/>
        <w:tabs>
          <w:tab w:leader="none" w:pos="20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or</w:t>
      </w:r>
      <w:r>
        <w:rPr>
          <w:rFonts w:ascii="Arial" w:cs="Arial" w:eastAsia="Arial" w:hAnsi="Arial"/>
          <w:sz w:val="18"/>
          <w:szCs w:val="18"/>
          <w:color w:val="auto"/>
        </w:rPr>
        <w:t>” is not exclusive;</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words in the singular include the plural, and in the plural include the singular; and</w:t>
      </w:r>
    </w:p>
    <w:p>
      <w:pPr>
        <w:spacing w:after="0" w:line="225" w:lineRule="exact"/>
        <w:rPr>
          <w:rFonts w:ascii="Arial" w:cs="Arial" w:eastAsia="Arial" w:hAnsi="Arial"/>
          <w:sz w:val="18"/>
          <w:szCs w:val="18"/>
          <w:color w:val="auto"/>
        </w:rPr>
      </w:pPr>
    </w:p>
    <w:p>
      <w:pPr>
        <w:ind w:left="2040" w:hanging="736"/>
        <w:spacing w:after="0"/>
        <w:tabs>
          <w:tab w:leader="none" w:pos="20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provisions apply to successive events and transactions.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SECURITIES</w:t>
      </w:r>
    </w:p>
    <w:p>
      <w:pPr>
        <w:spacing w:after="0" w:line="21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5"/>
          <w:szCs w:val="15"/>
          <w:u w:val="single" w:color="auto"/>
          <w:color w:val="auto"/>
        </w:rPr>
        <w:t>Issuable in Series</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91" w:lineRule="auto"/>
        <w:rPr>
          <w:sz w:val="20"/>
          <w:szCs w:val="20"/>
          <w:color w:val="auto"/>
        </w:rPr>
      </w:pPr>
      <w:r>
        <w:rPr>
          <w:rFonts w:ascii="Arial" w:cs="Arial" w:eastAsia="Arial" w:hAnsi="Arial"/>
          <w:sz w:val="16"/>
          <w:szCs w:val="16"/>
          <w:color w:val="auto"/>
        </w:rPr>
        <w:t>The aggregate principal amount of Securities that may be authenticated and delivered under this Indenture is unlimited. The Securities may be issued in one or more Series. All Securities of a Series shall be identical except as may be set forth or determined in the manner provided in a Board Resolution, a supplemental indenture or an Officer’s Certificate detailing the adoption of the terms thereof pursuant to authority granted under a Board Resolution. In the case of Securities of a Series to be issued from time to time, the Board Resolution, Officer’s Certificate or supplemental indenture detailing the adoption of the terms thereof pursuant to authority granted under a Board Resolution may provide for the method by which specified terms (such as interest rate, maturity date, record date or date from which interest shall accrue) are to be determined. Securities may differ between Series in respect of any matters, provided that all Series of Securities shall be equally and ratably entitled to the benefits of the Indenture.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ind w:left="660"/>
        <w:spacing w:after="0"/>
        <w:tabs>
          <w:tab w:leader="none" w:pos="186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6"/>
          <w:szCs w:val="16"/>
          <w:u w:val="single" w:color="auto"/>
          <w:color w:val="auto"/>
        </w:rPr>
        <w:t>Establishment of Terms of Series of Securities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At or prior to the issuance of any Securities within a Series, the following shall be established (as to the Series generally, in the case of Subsection 2.2.1 and either as to such Securities within the Series or as to the Series generally in the case of Subsections 2.2.2 through 2.2.23) by or pursuant to a Board Resolution, and set forth or determined in the manner provided in a Board Resolution, supplemental indenture hereto or Officer’s Certificate:</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2.2.1. the title (which shall distinguish the Securities of that particular Series from the Securities of any other Series) and ranking (including the terms of any subordination provisions) of the Series;</w:t>
      </w:r>
    </w:p>
    <w:p>
      <w:pPr>
        <w:spacing w:after="0" w:line="170"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color w:val="auto"/>
        </w:rPr>
        <w:t>the price or prices (expressed as a percentage of the principal amount thereof) at which the Securities of the Series will be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issued;</w:t>
      </w:r>
    </w:p>
    <w:p>
      <w:pPr>
        <w:spacing w:after="0" w:line="2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2.2.3. any limit upon the aggregate principal amount of the Securities of the Series which may be authenticated and delivered under this Indenture (except for Securities authenticated and delivered upon registration of transfer of, or in exchange for, or in lieu of, other Securities of the Series pursuant to Section 2.7, 2.8, 2.11, 3.6 or 9.6);</w:t>
      </w:r>
    </w:p>
    <w:p>
      <w:pPr>
        <w:spacing w:after="0" w:line="184"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the date or dates on which the principal of the Securities of the Series is payable;</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2.2.5. the rate or rates (which may be fixed or variable) per annum or, if applicable, the method used to determine such rate or rates (including, but not limited to, any commodity, commodity index, stock exchange index or financial index) at which the Securities of the Series shall bear interest, if any, the date or dates from which such interest, if any, shall accrue, the date or dates on which such interest, if any, shall commence and be payable and any regular record date for the interest payable on any interest payment date;</w:t>
      </w:r>
    </w:p>
    <w:p>
      <w:pPr>
        <w:spacing w:after="0" w:line="187"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2.2.6. the place or places where the principal of and interest, if any, on the Securities of the Series shall be payable, where the Securities of such Series may be surrendered for registration of transfer or exchange and where notices and demands to or upon the Company in respect of the Securities of such Series and this Indenture may be delivered, and the method of such payment, if by wire transfer, mail or other means;</w:t>
      </w:r>
    </w:p>
    <w:p>
      <w:pPr>
        <w:spacing w:after="0" w:line="14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2.2.7. if applicable, the period or periods within which, the price or prices at which and the terms and conditions upon which the Securities of the Series may be redeemed, in whole or in part, at the option of the Company;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2.2.8. the obligation, if any, of the Company to redeem or purchase the Securities of the Series pursuant to any sinking fund or analogous provisions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p>
      <w:pPr>
        <w:jc w:val="both"/>
        <w:ind w:right="20" w:firstLine="1296"/>
        <w:spacing w:after="0" w:line="277" w:lineRule="auto"/>
        <w:rPr>
          <w:sz w:val="20"/>
          <w:szCs w:val="20"/>
          <w:color w:val="auto"/>
        </w:rPr>
      </w:pPr>
      <w:r>
        <w:rPr>
          <w:rFonts w:ascii="Arial" w:cs="Arial" w:eastAsia="Arial" w:hAnsi="Arial"/>
          <w:sz w:val="18"/>
          <w:szCs w:val="18"/>
          <w:color w:val="auto"/>
        </w:rPr>
        <w:t>2.2.9. the dates, if any, on which and the price or prices at which the Securities of the Series will be repurchased by the Company at the option of the Holders thereof and other detailed terms and provisions of such repurchase obligations;</w:t>
      </w:r>
    </w:p>
    <w:p>
      <w:pPr>
        <w:spacing w:after="0" w:line="17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2.2.10. if other than denominations of $1,000 and any integral multiple thereof, the denominations in which the Securities of the Series shall be issuable;</w:t>
      </w:r>
    </w:p>
    <w:p>
      <w:pPr>
        <w:spacing w:after="0" w:line="170"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6"/>
          <w:szCs w:val="16"/>
          <w:color w:val="auto"/>
        </w:rPr>
        <w:t>the forms of the Securities of the Series and whether the Securities will be issuable as Global Securities;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2.2.12. if other than the principal amount thereof, the portion of the principal amount of the Securities of the Series that shall be payable upon declaration of acceleration of the maturity thereof pursuant to Section 6.2;</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2.2.13. the currency of denomination of the Securities of the Series, which may be Dollars or any Foreign Currency, and if such currency of denomination is a composite currency, the agency or organization, if any, responsible for overseeing such composite currency;</w:t>
      </w:r>
    </w:p>
    <w:p>
      <w:pPr>
        <w:spacing w:after="0" w:line="146"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2.2.14. the designation of the currency, currencies or currency units in which payment of the principal of and interest, if any, on the Securities of the Series will be made;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2.2.15. if payments of principal of or interest, if any, on the Securities of the Series are to be made in one or more currencies or currency units other than that or those in which such Securities are denominated, the manner in which the exchange rate with respect to such payments will be determined;</w:t>
      </w:r>
    </w:p>
    <w:p>
      <w:pPr>
        <w:spacing w:after="0" w:line="184"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2.2.16. the manner in which the amounts of payment of principal of or interest, if any, on the Securities of the Series will be determined, if such amounts may be determined by reference to an index based on a currency or currencies or by reference to a commodity, commodity index, stock exchange index or financial index;</w:t>
      </w:r>
    </w:p>
    <w:p>
      <w:pPr>
        <w:spacing w:after="0" w:line="184"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18"/>
          <w:szCs w:val="18"/>
          <w:color w:val="auto"/>
        </w:rPr>
        <w:t>2.2.17.</w:t>
      </w:r>
      <w:r>
        <w:rPr>
          <w:sz w:val="20"/>
          <w:szCs w:val="20"/>
          <w:color w:val="auto"/>
        </w:rPr>
        <w:tab/>
      </w:r>
      <w:r>
        <w:rPr>
          <w:rFonts w:ascii="Arial" w:cs="Arial" w:eastAsia="Arial" w:hAnsi="Arial"/>
          <w:sz w:val="16"/>
          <w:szCs w:val="16"/>
          <w:color w:val="auto"/>
        </w:rPr>
        <w:t>the provisions, if any, relating to any security provided for the Securities of the Series;</w:t>
      </w:r>
    </w:p>
    <w:p>
      <w:pPr>
        <w:spacing w:after="0" w:line="225"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2.2.18. any addition to, deletion of or change in the Events of Default which applies to any Securities of the Series and any change in the right of the Trustee or the requisite Holders of such Securities to declare the principal amount thereof due and payable pursuant to Section 6.2;</w:t>
      </w:r>
    </w:p>
    <w:p>
      <w:pPr>
        <w:spacing w:after="0" w:line="146" w:lineRule="exact"/>
        <w:rPr>
          <w:sz w:val="20"/>
          <w:szCs w:val="20"/>
          <w:color w:val="auto"/>
        </w:rPr>
      </w:pPr>
    </w:p>
    <w:p>
      <w:pPr>
        <w:ind w:left="1300"/>
        <w:spacing w:after="0"/>
        <w:tabs>
          <w:tab w:leader="none" w:pos="2180" w:val="left"/>
        </w:tabs>
        <w:rPr>
          <w:sz w:val="20"/>
          <w:szCs w:val="20"/>
          <w:color w:val="auto"/>
        </w:rPr>
      </w:pPr>
      <w:r>
        <w:rPr>
          <w:rFonts w:ascii="Arial" w:cs="Arial" w:eastAsia="Arial" w:hAnsi="Arial"/>
          <w:sz w:val="18"/>
          <w:szCs w:val="18"/>
          <w:color w:val="auto"/>
        </w:rPr>
        <w:t>2.2.19.</w:t>
      </w:r>
      <w:r>
        <w:rPr>
          <w:sz w:val="20"/>
          <w:szCs w:val="20"/>
          <w:color w:val="auto"/>
        </w:rPr>
        <w:tab/>
      </w:r>
      <w:r>
        <w:rPr>
          <w:rFonts w:ascii="Arial" w:cs="Arial" w:eastAsia="Arial" w:hAnsi="Arial"/>
          <w:sz w:val="16"/>
          <w:szCs w:val="16"/>
          <w:color w:val="auto"/>
        </w:rPr>
        <w:t>any addition to, deletion of or change in the covenants set forth in Articles IV or V which applies to Securities of the Series;</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2.2.20. any Depositaries, interest rate calculation agents, exchange rate calculation agents or other agents with respect to Securities of such Series if other than those appointed herein;</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2.2.21. the provisions, if any, relating to conversion or exchange of any Securities of such Series, including if applicable, the conversion or exchange price, the conversion or exchange period, provisions as to whether conversion or exchange will be mandatory, at the option of the Holders thereof or at the option of the Company, the events requiring an adjustment of the conversion price or exchange price and provisions affecting conversion or exchange if such Series of Securities are redeemed;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jc w:val="both"/>
        <w:ind w:firstLine="1296"/>
        <w:spacing w:after="0" w:line="263" w:lineRule="auto"/>
        <w:rPr>
          <w:sz w:val="20"/>
          <w:szCs w:val="20"/>
          <w:color w:val="auto"/>
        </w:rPr>
      </w:pPr>
      <w:r>
        <w:rPr>
          <w:rFonts w:ascii="Arial" w:cs="Arial" w:eastAsia="Arial" w:hAnsi="Arial"/>
          <w:sz w:val="18"/>
          <w:szCs w:val="18"/>
          <w:color w:val="auto"/>
        </w:rPr>
        <w:t>2.2.22. any other terms of the Series (which may supplement, modify or delete any provision of this Indenture insofar as it applies to such Series), including any terms that may be required under applicable law or regulations or advisable in connection with the marketing of Securities of that Series; and</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2.2.23. whether any of the Company’s direct or indirect Subsidiaries will guarantee the Securities of that Series, including the terms of subordination, if any, of such guarantees.</w:t>
      </w:r>
    </w:p>
    <w:p>
      <w:pPr>
        <w:spacing w:after="0" w:line="170"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All Securities of any one Series need not be issued at the same time and may be issued from time to time, consistent with the terms of this Indenture, if so provided by or pursuant to the Board Resolution, supplemental indenture hereto or Officer’s Certificate referred to above.</w:t>
      </w:r>
    </w:p>
    <w:p>
      <w:pPr>
        <w:spacing w:after="0" w:line="146"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2.3.</w:t>
      </w:r>
      <w:r>
        <w:rPr>
          <w:sz w:val="20"/>
          <w:szCs w:val="20"/>
          <w:color w:val="auto"/>
        </w:rPr>
        <w:tab/>
      </w:r>
      <w:r>
        <w:rPr>
          <w:rFonts w:ascii="Arial" w:cs="Arial" w:eastAsia="Arial" w:hAnsi="Arial"/>
          <w:sz w:val="16"/>
          <w:szCs w:val="16"/>
          <w:u w:val="single" w:color="auto"/>
          <w:color w:val="auto"/>
        </w:rPr>
        <w:t>Execution and Authentication</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An Officer shall sign the Securities for the Company by manual, facsimile or electronic signature.</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If an Officer whose signature is on a Security no longer holds that office at the time the Security is authenticated, the Security shall nevertheless be valid.</w:t>
      </w:r>
    </w:p>
    <w:p>
      <w:pPr>
        <w:spacing w:after="0" w:line="170"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A Security shall not be valid until authenticated by the manual signature of the Trustee or an authenticating agent. The signature shall be conclusive evidence that the Security has been authenticated under this Indenture.</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Trustee shall at any time, and from time to time, authenticate Securities for original issue in the principal amount provided in the Board Resolution, supplemental indenture hereto or Officer’s Certificate, upon receipt by the Trustee of a Company Order. Each Security shall be dated the date of its authentication.</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aggregate principal amount of Securities of any Series outstanding at any time may not exceed any limit upon the maximum principal amount for such Series set forth in the Board Resolution, supplemental indenture hereto or Officer’s Certificate delivered pursuant to Section 2.2, except as provided in Section 2.8.</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Prior to the issuance of Securities of any Series, the Trustee shall have received and (subject to Section 7.2) shall be fully protected in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relying on: (a) the Board Resolution, supplemental indenture hereto or Officer’s Certificate establishing the form of the Securities of that Series or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Securities within that Series and the terms of the Securities of that Series or of Securities within that Series, (b) an Officer’s Certificate complying with</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Section 10.4, and (c) an Opinion of Counsel complying with Section 10.4.</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jc w:val="both"/>
        <w:ind w:firstLine="1296"/>
        <w:spacing w:after="0" w:line="259" w:lineRule="auto"/>
        <w:rPr>
          <w:sz w:val="20"/>
          <w:szCs w:val="20"/>
          <w:color w:val="auto"/>
        </w:rPr>
      </w:pPr>
      <w:r>
        <w:rPr>
          <w:rFonts w:ascii="Arial" w:cs="Arial" w:eastAsia="Arial" w:hAnsi="Arial"/>
          <w:sz w:val="18"/>
          <w:szCs w:val="18"/>
          <w:color w:val="auto"/>
        </w:rPr>
        <w:t>The Trustee shall have the right to decline to authenticate and deliver any Securities of such Series: (a) if the Trustee, being advised by counsel, determines that such action may not be taken lawfully; or (b) if the Trustee in good faith by its board of directors or trustees, executive committee or a trust committee of directors and/or vice-presidents or a committee of Responsible Officers shall determine that such action would expose the Trustee to personal liability to Holders of any then outstanding Series of Securities.</w:t>
      </w:r>
    </w:p>
    <w:p>
      <w:pPr>
        <w:spacing w:after="0" w:line="18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The Trustee may appoint an authenticating agent acceptable to the Company to authenticate Securities. An authenticating agent may authenticate Securities whenever the Trustee may do so. Each reference in this Indenture to authentication by the Trustee includes authentication by such agent. An authenticating agent has the same rights as an Agent to deal with the Company or an Affiliate of the Company.</w:t>
      </w:r>
    </w:p>
    <w:p>
      <w:pPr>
        <w:spacing w:after="0" w:line="165"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2.4.</w:t>
      </w:r>
      <w:r>
        <w:rPr>
          <w:sz w:val="20"/>
          <w:szCs w:val="20"/>
          <w:color w:val="auto"/>
        </w:rPr>
        <w:tab/>
      </w:r>
      <w:r>
        <w:rPr>
          <w:rFonts w:ascii="Arial" w:cs="Arial" w:eastAsia="Arial" w:hAnsi="Arial"/>
          <w:sz w:val="16"/>
          <w:szCs w:val="16"/>
          <w:u w:val="single" w:color="auto"/>
          <w:color w:val="auto"/>
        </w:rPr>
        <w:t>Registrar and Paying Agent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The Company shall maintain, with respect to each Series of Securities, at the place or places specified with respect to such Series pursuant to Section 2.2, an office or agency where Securities of such Series may be presented or surrendered for payment (“</w:t>
      </w:r>
      <w:r>
        <w:rPr>
          <w:rFonts w:ascii="Arial" w:cs="Arial" w:eastAsia="Arial" w:hAnsi="Arial"/>
          <w:sz w:val="16"/>
          <w:szCs w:val="16"/>
          <w:i w:val="1"/>
          <w:iCs w:val="1"/>
          <w:color w:val="auto"/>
        </w:rPr>
        <w:t>Paying Agent</w:t>
      </w:r>
      <w:r>
        <w:rPr>
          <w:rFonts w:ascii="Arial" w:cs="Arial" w:eastAsia="Arial" w:hAnsi="Arial"/>
          <w:sz w:val="16"/>
          <w:szCs w:val="16"/>
          <w:color w:val="auto"/>
        </w:rPr>
        <w:t>”), where Securities of such Series may be surrendered for registration of transfer or exchange (“</w:t>
      </w:r>
      <w:r>
        <w:rPr>
          <w:rFonts w:ascii="Arial" w:cs="Arial" w:eastAsia="Arial" w:hAnsi="Arial"/>
          <w:sz w:val="16"/>
          <w:szCs w:val="16"/>
          <w:i w:val="1"/>
          <w:iCs w:val="1"/>
          <w:color w:val="auto"/>
        </w:rPr>
        <w:t>Registrar</w:t>
      </w:r>
      <w:r>
        <w:rPr>
          <w:rFonts w:ascii="Arial" w:cs="Arial" w:eastAsia="Arial" w:hAnsi="Arial"/>
          <w:sz w:val="16"/>
          <w:szCs w:val="16"/>
          <w:color w:val="auto"/>
        </w:rPr>
        <w:t>”) and where notices and demands to or upon the Company in respect of the Securities of such Series and this Indenture may be delivered (“</w:t>
      </w:r>
      <w:r>
        <w:rPr>
          <w:rFonts w:ascii="Arial" w:cs="Arial" w:eastAsia="Arial" w:hAnsi="Arial"/>
          <w:sz w:val="16"/>
          <w:szCs w:val="16"/>
          <w:i w:val="1"/>
          <w:iCs w:val="1"/>
          <w:color w:val="auto"/>
        </w:rPr>
        <w:t>Notice Agent</w:t>
      </w:r>
      <w:r>
        <w:rPr>
          <w:rFonts w:ascii="Arial" w:cs="Arial" w:eastAsia="Arial" w:hAnsi="Arial"/>
          <w:sz w:val="16"/>
          <w:szCs w:val="16"/>
          <w:color w:val="auto"/>
        </w:rPr>
        <w:t xml:space="preserve">”). The Registrar shall keep a register with respect to each Series of Securities and to their transfer and exchange. The Company will give prompt written notice to the Trustee of the name and address, and any change in the name or address, of each Registrar, Paying Agent or Notice Agent. If at any time the Company shall fail to maintain any such required Registrar, Paying Agent or Notice Agent or shall fail to furnish the Trustee with the name and address thereof, such presentations, surrenders, notices and demands may be made or served at the Corporate Trust Office of the Trustee, and the Company hereby appoints the Trustee as its agent to receive all such presentations, surrenders, notices and demands;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appointment of the Trustee as the Notice Agent shall exclude the appointment of the Trustee or any office of the Trustee as an agent to receive the service of legal process on the Company.</w:t>
      </w:r>
    </w:p>
    <w:p>
      <w:pPr>
        <w:spacing w:after="0" w:line="16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The Company may also from time to time designate one or more co-registrars, additional paying agents or additional notice agents and may from time to time rescind such designations;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designation or rescission shall in any manner relieve the Company of its obligations to maintain a Registrar, Paying Agent and Notice Agent in each place so specified pursuant to Section 2.2 for Securities of any Series for such purposes. The Company will give prompt written notice to the Trustee of any such designation or rescission and of any change in the name or address of any such co-registrar, additional paying agent or additional notice agent. The term “</w:t>
      </w:r>
      <w:r>
        <w:rPr>
          <w:rFonts w:ascii="Arial" w:cs="Arial" w:eastAsia="Arial" w:hAnsi="Arial"/>
          <w:sz w:val="18"/>
          <w:szCs w:val="18"/>
          <w:i w:val="1"/>
          <w:iCs w:val="1"/>
          <w:color w:val="auto"/>
        </w:rPr>
        <w:t>Registrar</w:t>
      </w:r>
      <w:r>
        <w:rPr>
          <w:rFonts w:ascii="Arial" w:cs="Arial" w:eastAsia="Arial" w:hAnsi="Arial"/>
          <w:sz w:val="18"/>
          <w:szCs w:val="18"/>
          <w:color w:val="auto"/>
        </w:rPr>
        <w:t>” includes any co-registrar; the term “</w:t>
      </w:r>
      <w:r>
        <w:rPr>
          <w:rFonts w:ascii="Arial" w:cs="Arial" w:eastAsia="Arial" w:hAnsi="Arial"/>
          <w:sz w:val="18"/>
          <w:szCs w:val="18"/>
          <w:i w:val="1"/>
          <w:iCs w:val="1"/>
          <w:color w:val="auto"/>
        </w:rPr>
        <w:t>Paying Agent</w:t>
      </w:r>
      <w:r>
        <w:rPr>
          <w:rFonts w:ascii="Arial" w:cs="Arial" w:eastAsia="Arial" w:hAnsi="Arial"/>
          <w:sz w:val="18"/>
          <w:szCs w:val="18"/>
          <w:color w:val="auto"/>
        </w:rPr>
        <w:t>” includes any additional paying agent; and the term “</w:t>
      </w:r>
      <w:r>
        <w:rPr>
          <w:rFonts w:ascii="Arial" w:cs="Arial" w:eastAsia="Arial" w:hAnsi="Arial"/>
          <w:sz w:val="18"/>
          <w:szCs w:val="18"/>
          <w:i w:val="1"/>
          <w:iCs w:val="1"/>
          <w:color w:val="auto"/>
        </w:rPr>
        <w:t>Notice Agent</w:t>
      </w:r>
      <w:r>
        <w:rPr>
          <w:rFonts w:ascii="Arial" w:cs="Arial" w:eastAsia="Arial" w:hAnsi="Arial"/>
          <w:sz w:val="18"/>
          <w:szCs w:val="18"/>
          <w:color w:val="auto"/>
        </w:rPr>
        <w:t>” includes any additional notice agent. The Company or any of its Affiliates may serve as Registrar or Paying Agent.</w:t>
      </w:r>
    </w:p>
    <w:p>
      <w:pPr>
        <w:spacing w:after="0" w:line="19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Company hereby appoints the Trustee the initial Registrar, Paying Agent and Notice Agent for each Series unless another Registrar, Paying Agent or Notice Agent, as the case may be, is appointed prior to the time Securities of that Series are first issued.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p>
      <w:pPr>
        <w:ind w:left="660"/>
        <w:spacing w:after="0"/>
        <w:tabs>
          <w:tab w:leader="none" w:pos="1860" w:val="left"/>
        </w:tabs>
        <w:rPr>
          <w:sz w:val="20"/>
          <w:szCs w:val="20"/>
          <w:color w:val="auto"/>
        </w:rPr>
      </w:pPr>
      <w:r>
        <w:rPr>
          <w:rFonts w:ascii="Arial" w:cs="Arial" w:eastAsia="Arial" w:hAnsi="Arial"/>
          <w:sz w:val="18"/>
          <w:szCs w:val="18"/>
          <w:color w:val="auto"/>
        </w:rPr>
        <w:t>Section 2.5.</w:t>
      </w:r>
      <w:r>
        <w:rPr>
          <w:sz w:val="20"/>
          <w:szCs w:val="20"/>
          <w:color w:val="auto"/>
        </w:rPr>
        <w:tab/>
      </w:r>
      <w:r>
        <w:rPr>
          <w:rFonts w:ascii="Arial" w:cs="Arial" w:eastAsia="Arial" w:hAnsi="Arial"/>
          <w:sz w:val="16"/>
          <w:szCs w:val="16"/>
          <w:u w:val="single" w:color="auto"/>
          <w:color w:val="auto"/>
        </w:rPr>
        <w:t>Paying Agent to Hold Money in Trust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The Company shall require each Paying Agent other than the Trustee to agree in writing that the Paying Agent will hold in trust, for the benefit of Securityholders of any Series of Securities, or the Trustee, all money held by the Paying Agent for the payment of principal of or interest on the Series of Securities, and will notify the Trustee in writing of any default by the Company in making any such payment. While any such default continues, the Trustee may require a Paying Agent to pay all money held by it to the Trustee. The Company at any time may require a Paying Agent to pay all money held by it to the Trustee. Upon payment over to the Trustee, the Paying Agent (if other than the Company or a Subsidiary of the Company) shall have no further liability for the money. If the Company or a Subsidiary of the Company acts as Paying Agent, it shall segregate and hold in a separate trust fund for the benefit of Securityholders of any Series of Securities all money held by it as Paying Agent. Upon any bankruptcy, reorganization or similar proceeding with respect to the Company, the Trustee shall serve as Paying Agent for the Securities.</w:t>
      </w:r>
    </w:p>
    <w:p>
      <w:pPr>
        <w:spacing w:after="0" w:line="178"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Securityholder Lists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The Trustee shall preserve in as current a form as is reasonably practicable the most recent list available to it of the names and addresses of Securityholders of each Series of Securities and shall otherwise comply with TIA § 312(a). If the Trustee is not the Registrar, the Company shall furnish to the Trustee at least ten days before each interest payment date and at such other times as the Trustee may request in writing a list, in such form and as of such date as the Trustee may reasonably require, of the names and addresses of Securityholders of each Series of Securities.</w:t>
      </w:r>
    </w:p>
    <w:p>
      <w:pPr>
        <w:spacing w:after="0" w:line="157"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2.7.</w:t>
      </w:r>
      <w:r>
        <w:rPr>
          <w:sz w:val="20"/>
          <w:szCs w:val="20"/>
          <w:color w:val="auto"/>
        </w:rPr>
        <w:tab/>
      </w:r>
      <w:r>
        <w:rPr>
          <w:rFonts w:ascii="Arial" w:cs="Arial" w:eastAsia="Arial" w:hAnsi="Arial"/>
          <w:sz w:val="15"/>
          <w:szCs w:val="15"/>
          <w:u w:val="single" w:color="auto"/>
          <w:color w:val="auto"/>
        </w:rPr>
        <w:t>Transfer and Exchange</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Where Securities of a Series are presented to the Registrar or a co-registrar with a request to register a transfer or to exchange them for an equal principal amount of Securities of the same Series, the Registrar shall register the transfer or make the exchange if its requirements for such transactions are met. To permit registrations of transfers and exchanges, the Trustee shall authenticate Securities at the Registrar’s request. No service charge shall be made for any registration of transfer or exchange (except as otherwise expressly permitted herein), but the Company may require payment of a sum sufficient to cover any transfer tax or similar governmental charge payable in connection therewith (other than any such transfer tax or similar governmental charge payable upon exchanges pursuant to Sections 2.11, 3.6 or 9.6).</w:t>
      </w:r>
    </w:p>
    <w:p>
      <w:pPr>
        <w:spacing w:after="0" w:line="178"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Neither the Company nor the Registrar shall be required (a) to issue, register the transfer of, or exchange Securities of any Series for the period beginning at the opening of business fifteen days immediately preceding the sending of a notice of redemption of Securities of that Series selected for redemption and ending at the close of business on the day such notice is sent, or (b) to register the transfer of or exchange Securities of any Series selected, called or being called for redemption as a whole or the portion being redeemed of any such Securities selected, called or being called for redemption in part.</w:t>
      </w:r>
    </w:p>
    <w:p>
      <w:pPr>
        <w:spacing w:after="0" w:line="188"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2.8.</w:t>
      </w:r>
      <w:r>
        <w:rPr>
          <w:sz w:val="20"/>
          <w:szCs w:val="20"/>
          <w:color w:val="auto"/>
        </w:rPr>
        <w:tab/>
      </w:r>
      <w:r>
        <w:rPr>
          <w:rFonts w:ascii="Arial" w:cs="Arial" w:eastAsia="Arial" w:hAnsi="Arial"/>
          <w:sz w:val="16"/>
          <w:szCs w:val="16"/>
          <w:u w:val="single" w:color="auto"/>
          <w:color w:val="auto"/>
        </w:rPr>
        <w:t>Mutilated, Destroyed, Lost and Stolen Securities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If any mutilated Security is surrendered to the Trustee, the Company shall execute and the Trustee shall authenticate and deliver in exchange therefor a new Security of the same Series and of like tenor and principal amount and bearing a number not contemporaneously outstanding.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jc w:val="both"/>
        <w:ind w:firstLine="1296"/>
        <w:spacing w:after="0" w:line="275" w:lineRule="auto"/>
        <w:rPr>
          <w:sz w:val="20"/>
          <w:szCs w:val="20"/>
          <w:color w:val="auto"/>
        </w:rPr>
      </w:pPr>
      <w:r>
        <w:rPr>
          <w:rFonts w:ascii="Arial" w:cs="Arial" w:eastAsia="Arial" w:hAnsi="Arial"/>
          <w:sz w:val="17"/>
          <w:szCs w:val="17"/>
          <w:color w:val="auto"/>
        </w:rPr>
        <w:t>If there shall be delivered to the Company and the Trustee (i) evidence to their satisfaction of the destruction, loss or theft of any Security and (ii) such security or indemnity bond as may be required by each of them to hold itself and any of its agents harmless, then, in the absence of notice to the Company or the Trustee that such Security has been acquired by a bona fide purchaser, the Company shall execute and upon receipt of a Company Order the Trustee shall authenticate and make available for delivery, in lieu of any such destroyed, lost or stolen Security, a new Security of the same Series and of like tenor and principal amount and bearing a number not contemporaneously outstanding.</w:t>
      </w:r>
    </w:p>
    <w:p>
      <w:pPr>
        <w:spacing w:after="0" w:line="17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In case any such mutilated, destroyed, lost or stolen Security has become or is about to become due and payable, the Company in its discretion may, instead of issuing a new Security, pay such Security.</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Upon the issuance of any new Security under this Section, the Company may require the payment of a sum sufficient to cover any tax or other governmental charge that may be imposed in relation thereto and any other expenses (including the fees and expenses of the Trustee) connected therewith.</w:t>
      </w:r>
    </w:p>
    <w:p>
      <w:pPr>
        <w:spacing w:after="0" w:line="184"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Every new Security of any Series issued pursuant to this Section in lieu of any destroyed, lost or stolen Security shall constitute an original additional contractual obligation of the Company, whether or not the destroyed, lost or stolen Security shall be at any time enforceable by anyone, and shall be entitled to all the benefits of this Indenture equally and proportionately with any and all other Securities of that Series duly issued hereunder.</w:t>
      </w:r>
    </w:p>
    <w:p>
      <w:pPr>
        <w:spacing w:after="0" w:line="14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provisions of this Section are exclusive and shall preclude (to the extent lawful) all other rights and remedies with respect to the replacement or payment of mutilated, destroyed, lost or stolen Securities.</w:t>
      </w:r>
    </w:p>
    <w:p>
      <w:pPr>
        <w:spacing w:after="0" w:line="17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Outstanding Securities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Securities outstanding at any time are all the Securities authenticated by the Trustee except for those canceled by it, those delivered to it for cancellation, those reductions in the interest on a Global Security effected by the Trustee in accordance with the provisions hereof and those described in this Section as not outstanding.</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If a Security is replaced pursuant to Section 2.8, it ceases to be outstanding until the Trustee receives proof satisfactory to it that the replaced Security is held by a bona fide purchaser.</w:t>
      </w:r>
    </w:p>
    <w:p>
      <w:pPr>
        <w:spacing w:after="0" w:line="170"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If the Paying Agent (other than the Company, a Subsidiary of the Company or an Affiliate of the Company) holds on the Maturity of Securities of a Series money sufficient to pay such Securities payable on that date, then on and after that date such Securities of the Series cease to be outstanding and interest on them ceases to accrue.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6" w:name="page137"/>
    <w:bookmarkEnd w:id="136"/>
    <w:p>
      <w:pPr>
        <w:ind w:left="1300"/>
        <w:spacing w:after="0"/>
        <w:rPr>
          <w:sz w:val="20"/>
          <w:szCs w:val="20"/>
          <w:color w:val="auto"/>
        </w:rPr>
      </w:pPr>
      <w:r>
        <w:rPr>
          <w:rFonts w:ascii="Arial" w:cs="Arial" w:eastAsia="Arial" w:hAnsi="Arial"/>
          <w:sz w:val="16"/>
          <w:szCs w:val="16"/>
          <w:color w:val="auto"/>
        </w:rPr>
        <w:t>The Company may purchase or otherwise acquire the Securities, whether by open market purchases, negotiated transactions or otherwise.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 Security does not cease to be outstanding because the Company or an Affiliate of the Company holds the Security (but see Section 2.10 below).</w:t>
      </w:r>
    </w:p>
    <w:p>
      <w:pPr>
        <w:spacing w:after="0" w:line="222"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In determining whether the Holders of the requisite principal amount of outstanding Securities have given any request, demand, authorization, direction, notice, consent or waiver hereunder, the principal amount of a Discount Security that shall be deemed to be outstanding for such purposes shall be the amount of the principal thereof that would be due and payable as of the date of such determination upon a declaration of acceleration of the Maturity thereof pursuant to Section 6.2.</w:t>
      </w:r>
    </w:p>
    <w:p>
      <w:pPr>
        <w:spacing w:after="0" w:line="187"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2.10.</w:t>
      </w:r>
      <w:r>
        <w:rPr>
          <w:sz w:val="20"/>
          <w:szCs w:val="20"/>
          <w:color w:val="auto"/>
        </w:rPr>
        <w:tab/>
      </w:r>
      <w:r>
        <w:rPr>
          <w:rFonts w:ascii="Arial" w:cs="Arial" w:eastAsia="Arial" w:hAnsi="Arial"/>
          <w:sz w:val="15"/>
          <w:szCs w:val="15"/>
          <w:u w:val="single" w:color="auto"/>
          <w:color w:val="auto"/>
        </w:rPr>
        <w:t>Treasury Securities</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In determining whether the Holders of the required principal amount of Securities of a Series have concurred in any request, demand, authorization, direction, notice, consent or waiver, Securities of a Series owned by the Company or any Affiliate of the Company shall be disregarded, except that for the purposes of determining whether the Trustee shall be protected in relying on any such request, demand, authorization, direction, notice, consent or waiver only Securities of a Series that a Responsible Officer of the Trustee knows are so owned shall be so disregarded.</w:t>
      </w:r>
    </w:p>
    <w:p>
      <w:pPr>
        <w:spacing w:after="0" w:line="157"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auto"/>
        </w:rPr>
        <w:t>Section 2.11.</w:t>
      </w:r>
      <w:r>
        <w:rPr>
          <w:sz w:val="20"/>
          <w:szCs w:val="20"/>
          <w:color w:val="auto"/>
        </w:rPr>
        <w:tab/>
      </w:r>
      <w:r>
        <w:rPr>
          <w:rFonts w:ascii="Arial" w:cs="Arial" w:eastAsia="Arial" w:hAnsi="Arial"/>
          <w:sz w:val="16"/>
          <w:szCs w:val="16"/>
          <w:u w:val="single" w:color="auto"/>
          <w:color w:val="auto"/>
        </w:rPr>
        <w:t>Temporary Securities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Until definitive Securities are ready for delivery, the Company may prepare and the Trustee shall authenticate temporary Securities upon a Company Order. Temporary Securities shall be substantially in the form of definitive Securities but may have variations that the Company considers appropriate for temporary Securities. Without unreasonable delay, the Company shall prepare and the Trustee upon receipt of a Company Order shall authenticate definitive Securities of the same Series and date of maturity in exchange for temporary Securities. Until so exchanged, temporary securities shall have the same rights under this Indenture as the definitive Securities.</w:t>
      </w:r>
    </w:p>
    <w:p>
      <w:pPr>
        <w:spacing w:after="0" w:line="188"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6"/>
          <w:szCs w:val="16"/>
          <w:u w:val="single" w:color="auto"/>
          <w:color w:val="auto"/>
        </w:rPr>
        <w:t>Cancellation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The Company at any time may deliver Securities to the Trustee for cancellation. The Registrar and the Paying Agent shall forward to the Trustee any Securities surrendered to them for registration of transfer, exchange or payment. The Trustee shall cancel all Securities surrendered for transfer, exchange, payment, replacement or cancellation and shall destroy such canceled Securities (subject to the record retention requirement of the Exchange Act and the Trustee) and deliver a certificate of such cancellation to the Company upon written request of the Company. The Company may not issue new Securities to replace Securities that it has paid or delivered to the Trustee for cancellation.</w:t>
      </w:r>
    </w:p>
    <w:p>
      <w:pPr>
        <w:spacing w:after="0" w:line="176"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2.13.</w:t>
      </w:r>
      <w:r>
        <w:rPr>
          <w:sz w:val="20"/>
          <w:szCs w:val="20"/>
          <w:color w:val="auto"/>
        </w:rPr>
        <w:tab/>
      </w:r>
      <w:r>
        <w:rPr>
          <w:rFonts w:ascii="Arial" w:cs="Arial" w:eastAsia="Arial" w:hAnsi="Arial"/>
          <w:sz w:val="16"/>
          <w:szCs w:val="16"/>
          <w:u w:val="single" w:color="auto"/>
          <w:color w:val="auto"/>
        </w:rPr>
        <w:t>Defaulted Interest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If the Company defaults in a payment of interest on a Series of Securities, it shall pay the defaulted interest, plus, to the extent permitted by law, any interest payable on the defaulted interest, to the persons who are Securityholders of the Series on a subsequent special record date. The Company shall fix the record date and payment date. At least 10 days before the special record date, the Company shall send to the Trustee and to each Securityholder of the Series a notice that states the special record date, the payment date and the amount of interest to be paid. The Company may pay defaulted interest in any other lawful manner.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7" w:name="page138"/>
    <w:bookmarkEnd w:id="137"/>
    <w:p>
      <w:pPr>
        <w:ind w:left="660"/>
        <w:spacing w:after="0"/>
        <w:tabs>
          <w:tab w:leader="none" w:pos="186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u w:val="single" w:color="auto"/>
          <w:color w:val="auto"/>
        </w:rPr>
        <w:t>Global Securities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2.14.1. </w:t>
      </w:r>
      <w:r>
        <w:rPr>
          <w:rFonts w:ascii="Arial" w:cs="Arial" w:eastAsia="Arial" w:hAnsi="Arial"/>
          <w:sz w:val="18"/>
          <w:szCs w:val="18"/>
          <w:u w:val="single" w:color="auto"/>
          <w:color w:val="auto"/>
        </w:rPr>
        <w:t>Terms of Securities</w:t>
      </w:r>
      <w:r>
        <w:rPr>
          <w:rFonts w:ascii="Arial" w:cs="Arial" w:eastAsia="Arial" w:hAnsi="Arial"/>
          <w:sz w:val="18"/>
          <w:szCs w:val="18"/>
          <w:color w:val="auto"/>
        </w:rPr>
        <w:t>. A Board Resolution, a supplemental indenture hereto or an Officer’s Certificate shall establish whether the Securities of a Series shall be issued in whole or in part in the form of one or more Global Securities and the Depositary for such Global Security or Securities.</w:t>
      </w:r>
    </w:p>
    <w:p>
      <w:pPr>
        <w:spacing w:after="0" w:line="184"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 xml:space="preserve">2.14.2. </w:t>
      </w:r>
      <w:r>
        <w:rPr>
          <w:rFonts w:ascii="Arial" w:cs="Arial" w:eastAsia="Arial" w:hAnsi="Arial"/>
          <w:sz w:val="16"/>
          <w:szCs w:val="16"/>
          <w:u w:val="single" w:color="auto"/>
          <w:color w:val="auto"/>
        </w:rPr>
        <w:t>Transfer and Exchange</w:t>
      </w:r>
      <w:r>
        <w:rPr>
          <w:rFonts w:ascii="Arial" w:cs="Arial" w:eastAsia="Arial" w:hAnsi="Arial"/>
          <w:sz w:val="16"/>
          <w:szCs w:val="16"/>
          <w:color w:val="auto"/>
        </w:rPr>
        <w:t>. Notwithstanding any provisions to the contrary contained in Section 2.7 of the Indenture and in addition thereto, any Global Security shall be exchangeable pursuant to Section 2.7 of the Indenture for Securities registered in the names of Holders other than the Depositary for such Security or its nominee only if (i) such Depositary notifies the Company that it is unwilling or unable to continue as Depositary for such Global Security or if at any time such Depositary ceases to be a clearing agency registered under the Exchange Act, and, in either case, the Company fails to appoint a successor Depositary registered as a clearing agency under the Exchange Act within 90 days of such event or (ii) the Company executes and delivers to the Trustee an Officer’s Certificate to the effect that such Global Security shall be so exchangeable. Any Global Security that is exchangeable pursuant to the preceding sentence shall be exchangeable for Securities registered in such names as the Depositary shall direct in writing in an aggregate principal amount equal to the principal amount of the Global Security with like tenor and terms.</w:t>
      </w:r>
    </w:p>
    <w:p>
      <w:pPr>
        <w:spacing w:after="0" w:line="16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Except as provided in this Section 2.14.2, a Global Security may not be transferred except as a whole by the Depositary with respect to such Global Security to a nominee of such Depositary, by a nominee of such Depositary to such Depositary or another nominee of such Depositary or by the Depositary or any such nominee to a successor Depositary or a nominee of such a successor Depositary.</w:t>
      </w:r>
    </w:p>
    <w:p>
      <w:pPr>
        <w:spacing w:after="0" w:line="184" w:lineRule="exact"/>
        <w:rPr>
          <w:sz w:val="20"/>
          <w:szCs w:val="20"/>
          <w:color w:val="auto"/>
        </w:rPr>
      </w:pPr>
    </w:p>
    <w:p>
      <w:pPr>
        <w:ind w:left="1300"/>
        <w:spacing w:after="0"/>
        <w:tabs>
          <w:tab w:leader="none" w:pos="2220" w:val="left"/>
        </w:tabs>
        <w:rPr>
          <w:sz w:val="20"/>
          <w:szCs w:val="20"/>
          <w:color w:val="auto"/>
        </w:rPr>
      </w:pPr>
      <w:r>
        <w:rPr>
          <w:rFonts w:ascii="Arial" w:cs="Arial" w:eastAsia="Arial" w:hAnsi="Arial"/>
          <w:sz w:val="18"/>
          <w:szCs w:val="18"/>
          <w:color w:val="auto"/>
        </w:rPr>
        <w:t>2.14.3.</w:t>
      </w:r>
      <w:r>
        <w:rPr>
          <w:sz w:val="20"/>
          <w:szCs w:val="20"/>
          <w:color w:val="auto"/>
        </w:rPr>
        <w:tab/>
      </w:r>
      <w:r>
        <w:rPr>
          <w:rFonts w:ascii="Arial" w:cs="Arial" w:eastAsia="Arial" w:hAnsi="Arial"/>
          <w:sz w:val="16"/>
          <w:szCs w:val="16"/>
          <w:u w:val="single" w:color="auto"/>
          <w:color w:val="auto"/>
        </w:rPr>
        <w:t>Legends</w:t>
      </w:r>
      <w:r>
        <w:rPr>
          <w:rFonts w:ascii="Arial" w:cs="Arial" w:eastAsia="Arial" w:hAnsi="Arial"/>
          <w:sz w:val="16"/>
          <w:szCs w:val="16"/>
          <w:color w:val="auto"/>
        </w:rPr>
        <w:t>. Any Global Security issued hereunder shall bear a legend in substantially the following form:</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“THIS SECURITY IS A GLOBAL SECURITY WITHIN THE MEANING OF THE INDENTURE HEREINAFTER REFERRED TO AND IS REGISTERED IN THE NAME OF THE DEPOSITARY OR A NOMINEE OF THE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BY A NOMINEE OF THE DEPOSITARY TO THE DEPOSITARY OR ANOTHER NOMINEE OF THE DEPOSITARY OR BY THE DEPOSITARY OR ANY SUCH NOMINEE TO A SUCCESSOR DEPOSITARY OR A NOMINEE OF SUCH A SUCCESSOR DEPOSITARY.”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8" w:name="page139"/>
    <w:bookmarkEnd w:id="138"/>
    <w:p>
      <w:pPr>
        <w:jc w:val="both"/>
        <w:ind w:firstLine="1296"/>
        <w:spacing w:after="0" w:line="277" w:lineRule="auto"/>
        <w:rPr>
          <w:sz w:val="20"/>
          <w:szCs w:val="20"/>
          <w:color w:val="auto"/>
        </w:rPr>
      </w:pPr>
      <w:r>
        <w:rPr>
          <w:rFonts w:ascii="Arial" w:cs="Arial" w:eastAsia="Arial" w:hAnsi="Arial"/>
          <w:sz w:val="18"/>
          <w:szCs w:val="18"/>
          <w:color w:val="auto"/>
        </w:rPr>
        <w:t>In addition, so long as the Depository Trust Company (“DTC”) is the Depositary, each Global Note registered in the name of DTC or its nominee shall bear a legend in substantially the following form:</w:t>
      </w:r>
    </w:p>
    <w:p>
      <w:pPr>
        <w:spacing w:after="0" w:line="170"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“UNLESS THIS GLOBAL NOTE IS PRESENTED BY AN AUTHORIZED REPRESENTATIVE OF THE DEPOSITORY TRUST COMPANY, A NEW YORK CORPORATION (“DTC”), TO THE COMPANY OR ITS AGENT FOR REGISTRATION OF TRANSFER, EXCHANGE OR PAYMENT, AND ANY GLOBAL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95"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 xml:space="preserve">2.14.4. </w:t>
      </w:r>
      <w:r>
        <w:rPr>
          <w:rFonts w:ascii="Arial" w:cs="Arial" w:eastAsia="Arial" w:hAnsi="Arial"/>
          <w:sz w:val="17"/>
          <w:szCs w:val="17"/>
          <w:u w:val="single" w:color="auto"/>
          <w:color w:val="auto"/>
        </w:rPr>
        <w:t>Acts of Holders</w:t>
      </w:r>
      <w:r>
        <w:rPr>
          <w:rFonts w:ascii="Arial" w:cs="Arial" w:eastAsia="Arial" w:hAnsi="Arial"/>
          <w:sz w:val="17"/>
          <w:szCs w:val="17"/>
          <w:color w:val="auto"/>
        </w:rPr>
        <w:t>. The Depositary, as a Holder, may appoint agents and otherwise authorize participants to give or take any request, demand, authorization, direction, notice, consent, waiver or other action which a Holder is entitled to give or take under the Indenture.</w:t>
      </w:r>
    </w:p>
    <w:p>
      <w:pPr>
        <w:spacing w:after="0" w:line="146"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2.14.5. </w:t>
      </w:r>
      <w:r>
        <w:rPr>
          <w:rFonts w:ascii="Arial" w:cs="Arial" w:eastAsia="Arial" w:hAnsi="Arial"/>
          <w:sz w:val="18"/>
          <w:szCs w:val="18"/>
          <w:u w:val="single" w:color="auto"/>
          <w:color w:val="auto"/>
        </w:rPr>
        <w:t>Payments</w:t>
      </w:r>
      <w:r>
        <w:rPr>
          <w:rFonts w:ascii="Arial" w:cs="Arial" w:eastAsia="Arial" w:hAnsi="Arial"/>
          <w:sz w:val="18"/>
          <w:szCs w:val="18"/>
          <w:color w:val="auto"/>
        </w:rPr>
        <w:t>. Notwithstanding the other provisions of this Indenture, unless otherwise specified as contemplated by Section 2.2, payment of the principal of and interest, if any, on any Global Security shall be made to the Holder thereof.</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2.14.6. </w:t>
      </w:r>
      <w:r>
        <w:rPr>
          <w:rFonts w:ascii="Arial" w:cs="Arial" w:eastAsia="Arial" w:hAnsi="Arial"/>
          <w:sz w:val="18"/>
          <w:szCs w:val="18"/>
          <w:u w:val="single" w:color="auto"/>
          <w:color w:val="auto"/>
        </w:rPr>
        <w:t>Consents, Declaration and Directions</w:t>
      </w:r>
      <w:r>
        <w:rPr>
          <w:rFonts w:ascii="Arial" w:cs="Arial" w:eastAsia="Arial" w:hAnsi="Arial"/>
          <w:sz w:val="18"/>
          <w:szCs w:val="18"/>
          <w:color w:val="auto"/>
        </w:rPr>
        <w:t>. The Company, the Trustee and any Agent shall treat a person as the Holder of such principal amount of outstanding Securities of such Series represented by a Global Security as shall be specified in a written statement of the Depositary or by the applicable procedures of such Depositary with respect to such Global Security, for purposes of obtaining any consents, declarations, waivers or directions required to be given by the Holders pursuant to this Indenture.</w:t>
      </w:r>
    </w:p>
    <w:p>
      <w:pPr>
        <w:spacing w:after="0" w:line="187"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2.15.</w:t>
      </w:r>
      <w:r>
        <w:rPr>
          <w:sz w:val="20"/>
          <w:szCs w:val="20"/>
          <w:color w:val="auto"/>
        </w:rPr>
        <w:tab/>
      </w:r>
      <w:r>
        <w:rPr>
          <w:rFonts w:ascii="Arial" w:cs="Arial" w:eastAsia="Arial" w:hAnsi="Arial"/>
          <w:sz w:val="16"/>
          <w:szCs w:val="16"/>
          <w:u w:val="single" w:color="auto"/>
          <w:color w:val="auto"/>
        </w:rPr>
        <w:t>CUSIP Numbers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 xml:space="preserve">The Company in issuing the Securities may use “CUSIP” numbers (if then generally in use), and, if so, the Trustee shall use “CUSIP” numbers in notices of redemption as a convenience to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9" w:name="page140"/>
    <w:bookmarkEnd w:id="139"/>
    <w:p>
      <w:pPr>
        <w:ind w:left="5120"/>
        <w:spacing w:after="0"/>
        <w:rPr>
          <w:sz w:val="20"/>
          <w:szCs w:val="20"/>
          <w:color w:val="auto"/>
        </w:rPr>
      </w:pPr>
      <w:r>
        <w:rPr>
          <w:rFonts w:ascii="Arial" w:cs="Arial" w:eastAsia="Arial" w:hAnsi="Arial"/>
          <w:sz w:val="18"/>
          <w:szCs w:val="18"/>
          <w:color w:val="auto"/>
        </w:rPr>
        <w:t>ARTICLE III.</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REDEMPTION</w:t>
      </w:r>
    </w:p>
    <w:p>
      <w:pPr>
        <w:spacing w:after="0" w:line="21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6"/>
          <w:szCs w:val="16"/>
          <w:u w:val="single" w:color="auto"/>
          <w:color w:val="auto"/>
        </w:rPr>
        <w:t>Notice to Trustee</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The Company may, with respect to any Series of Securities, reserve the right to redeem and pay the Series of Securities or may covenant to redeem and pay the Series of Securities or any part thereof prior to the Stated Maturity thereof at such time and on such terms as provided for in such Securities. If a Series of Securities is redeemable and the Company wants or is obligated to redeem prior to the Stated Maturity thereof all or part of the Series of Securities pursuant to the terms of such Securities, it shall notify the Trustee in writing of the redemption date and the principal amount of Series of Securities to be redeemed. The Company shall give the notice at least 15 days before the redemption date, unless a shorter period is satisfactory to the Trustee.</w:t>
      </w:r>
    </w:p>
    <w:p>
      <w:pPr>
        <w:spacing w:after="0" w:line="192"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3.2.</w:t>
      </w:r>
      <w:r>
        <w:rPr>
          <w:sz w:val="20"/>
          <w:szCs w:val="20"/>
          <w:color w:val="auto"/>
        </w:rPr>
        <w:tab/>
      </w:r>
      <w:r>
        <w:rPr>
          <w:rFonts w:ascii="Arial" w:cs="Arial" w:eastAsia="Arial" w:hAnsi="Arial"/>
          <w:sz w:val="16"/>
          <w:szCs w:val="16"/>
          <w:u w:val="single" w:color="auto"/>
          <w:color w:val="auto"/>
        </w:rPr>
        <w:t>Selection of Securities to be Redeemed</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Unless otherwise indicated for a particular Series by a Board Resolution, a supplemental indenture hereto or an Officer’s Certificate, if less than all the Securities of a Series are to be redeemed, the Securities of the Series to be redeemed will be selected as follows: (a) if the Securities are in the form of Global Securities, in accordance with the procedures of the Depositary, (b) if the Securities are listed on any national securities exchange, in compliance with the requirements of the principal national securities exchange, if any, on which the Securities are listed, or (c) if not otherwise provided for under clause (a) or (b) in the manner that the Trustee deems fair and appropriate, including by lot or other method, unless otherwise required by law or applicable stock exchange requirements, subject, in the case of Global Securities, to the applicable rules and procedures of the Depositary. The Securities to be redeemed shall be selected from Securities of the Series outstanding not previously called for redemption. Portions of the principal of Securities of the Series that have denominations larger than $1,000 may be selected for redemption. Securities of the Series and portions of them it selected for redemption shall be in amounts of $1,000 or whole multiples of $1,000 or, with respect to Securities of any Series issuable in other denominations pursuant to Section 2.2.10, the minimum principal denomination for each Series and the authorized integral multiples thereof. Provisions of this Indenture that apply to Securities of a Series called for redemption also apply to portions of Securities of that Series called for redemption.</w:t>
      </w:r>
    </w:p>
    <w:p>
      <w:pPr>
        <w:spacing w:after="0" w:line="172"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Notice of Redemption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Unless otherwise indicated for a particular Series by Board Resolution, a supplemental indenture hereto or an Officer’s Certificate, at least 15 days but not more than 60 days before a redemption date, the Company shall send or cause to be sent by first-class mail or electronically, in accordance with the procedures of the Depositary, a notice of redemption to each Holder whose Securities are to be redeemed.</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notice shall identify the Securities of the Series to be redeemed and shall state:</w:t>
      </w:r>
    </w:p>
    <w:p>
      <w:pPr>
        <w:spacing w:after="0" w:line="225" w:lineRule="exact"/>
        <w:rPr>
          <w:sz w:val="20"/>
          <w:szCs w:val="20"/>
          <w:color w:val="auto"/>
        </w:rPr>
      </w:pPr>
    </w:p>
    <w:p>
      <w:pPr>
        <w:ind w:left="1860" w:hanging="556"/>
        <w:spacing w:after="0"/>
        <w:tabs>
          <w:tab w:leader="none" w:pos="18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0" w:name="page141"/>
    <w:bookmarkEnd w:id="140"/>
    <w:p>
      <w:pPr>
        <w:ind w:left="2060" w:hanging="756"/>
        <w:spacing w:after="0"/>
        <w:tabs>
          <w:tab w:leader="none" w:pos="20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redemption price;</w:t>
      </w:r>
    </w:p>
    <w:p>
      <w:pPr>
        <w:spacing w:after="0" w:line="225" w:lineRule="exact"/>
        <w:rPr>
          <w:rFonts w:ascii="Arial" w:cs="Arial" w:eastAsia="Arial" w:hAnsi="Arial"/>
          <w:sz w:val="18"/>
          <w:szCs w:val="18"/>
          <w:color w:val="auto"/>
        </w:rPr>
      </w:pPr>
    </w:p>
    <w:p>
      <w:pPr>
        <w:ind w:left="2040" w:hanging="736"/>
        <w:spacing w:after="0"/>
        <w:tabs>
          <w:tab w:leader="none" w:pos="20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name and address of the Paying Agent;</w:t>
      </w:r>
    </w:p>
    <w:p>
      <w:pPr>
        <w:spacing w:after="0" w:line="225" w:lineRule="exact"/>
        <w:rPr>
          <w:rFonts w:ascii="Arial" w:cs="Arial" w:eastAsia="Arial" w:hAnsi="Arial"/>
          <w:sz w:val="18"/>
          <w:szCs w:val="18"/>
          <w:color w:val="auto"/>
        </w:rPr>
      </w:pPr>
    </w:p>
    <w:p>
      <w:pPr>
        <w:jc w:val="both"/>
        <w:ind w:left="660" w:firstLine="644"/>
        <w:spacing w:after="0" w:line="286" w:lineRule="auto"/>
        <w:tabs>
          <w:tab w:leader="none" w:pos="216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if any Securities are being redeemed in part, the portion of the principal amount of such Securities to be redeemed and that, after the redemption date and upon surrender of such Security, a new Security or Securities in principal amount equal to the unredeemed portion of the original Security shall be issued in the name of the Holder thereof upon cancellation of the original Security;</w:t>
      </w:r>
    </w:p>
    <w:p>
      <w:pPr>
        <w:spacing w:after="0" w:line="165" w:lineRule="exact"/>
        <w:rPr>
          <w:rFonts w:ascii="Arial" w:cs="Arial" w:eastAsia="Arial" w:hAnsi="Arial"/>
          <w:sz w:val="17"/>
          <w:szCs w:val="17"/>
          <w:color w:val="auto"/>
        </w:rPr>
      </w:pPr>
    </w:p>
    <w:p>
      <w:pPr>
        <w:ind w:left="2040" w:hanging="736"/>
        <w:spacing w:after="0"/>
        <w:tabs>
          <w:tab w:leader="none" w:pos="204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that Securities of the Series called for redemption must be surrendered to the Paying Agent to collect the redemption price;</w:t>
      </w:r>
    </w:p>
    <w:p>
      <w:pPr>
        <w:spacing w:after="0" w:line="248" w:lineRule="exact"/>
        <w:rPr>
          <w:rFonts w:ascii="Arial" w:cs="Arial" w:eastAsia="Arial" w:hAnsi="Arial"/>
          <w:sz w:val="16"/>
          <w:szCs w:val="16"/>
          <w:color w:val="auto"/>
        </w:rPr>
      </w:pPr>
    </w:p>
    <w:p>
      <w:pPr>
        <w:ind w:left="660" w:firstLine="644"/>
        <w:spacing w:after="0" w:line="277" w:lineRule="auto"/>
        <w:tabs>
          <w:tab w:leader="none" w:pos="2248"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that interest on Securities of the Series called for redemption ceases to accrue on and after the redemption date unless the Company defaults in the deposit of the redemption price;</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CUSIP number, if any; and</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any other information as may be required by the terms of the particular Series or the Securities of a Series being redeemed.</w:t>
      </w:r>
    </w:p>
    <w:p>
      <w:pPr>
        <w:spacing w:after="0" w:line="248"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At the Company’s request, the Trustee shall give the notice of redemption in the Company’s name and at its expense, provided, however, that the Company has delivered to the Trustee, at least 10 days (unless a shorter time shall be acceptable to the Trustee) prior to the notice date, an Officer’s Certificate requesting that the Trustee give such notice and setting forth the information to be stated in such notice.</w:t>
      </w:r>
    </w:p>
    <w:p>
      <w:pPr>
        <w:spacing w:after="0" w:line="16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3.4.</w:t>
      </w:r>
      <w:r>
        <w:rPr>
          <w:sz w:val="20"/>
          <w:szCs w:val="20"/>
          <w:color w:val="auto"/>
        </w:rPr>
        <w:tab/>
      </w:r>
      <w:r>
        <w:rPr>
          <w:rFonts w:ascii="Arial" w:cs="Arial" w:eastAsia="Arial" w:hAnsi="Arial"/>
          <w:sz w:val="16"/>
          <w:szCs w:val="16"/>
          <w:u w:val="single" w:color="auto"/>
          <w:color w:val="auto"/>
        </w:rPr>
        <w:t>Effect of Notice of Redemption</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Once notice of redemption is sent as provided in Section 3.3, Securities of a Series called for redemption become due and payable on the redemption date and at the redemption price. Except as otherwise provided in the supplemental indenture, Board Resolution or Officer’s Certificate for a Series, a notice of redemption may not be conditional. Upon surrender to the Paying Agent, such Securities shall be paid at the redemption price plus accrued interest to the redemption date.</w:t>
      </w:r>
    </w:p>
    <w:p>
      <w:pPr>
        <w:spacing w:after="0" w:line="18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3.5.</w:t>
      </w:r>
      <w:r>
        <w:rPr>
          <w:sz w:val="20"/>
          <w:szCs w:val="20"/>
          <w:color w:val="auto"/>
        </w:rPr>
        <w:tab/>
      </w:r>
      <w:r>
        <w:rPr>
          <w:rFonts w:ascii="Arial" w:cs="Arial" w:eastAsia="Arial" w:hAnsi="Arial"/>
          <w:sz w:val="16"/>
          <w:szCs w:val="16"/>
          <w:u w:val="single" w:color="auto"/>
          <w:color w:val="auto"/>
        </w:rPr>
        <w:t>Deposit of Redemption Price</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On or before 11:00 a.m., New York City time, on the redemption date, the Company shall deposit with the Paying Agent money sufficient to pay the redemption price of and accrued interest, if any, on all Securities to be redeemed on that date.</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3.6.</w:t>
      </w:r>
      <w:r>
        <w:rPr>
          <w:sz w:val="20"/>
          <w:szCs w:val="20"/>
          <w:color w:val="auto"/>
        </w:rPr>
        <w:tab/>
      </w:r>
      <w:r>
        <w:rPr>
          <w:rFonts w:ascii="Arial" w:cs="Arial" w:eastAsia="Arial" w:hAnsi="Arial"/>
          <w:sz w:val="15"/>
          <w:szCs w:val="15"/>
          <w:u w:val="single" w:color="auto"/>
          <w:color w:val="auto"/>
        </w:rPr>
        <w:t>Securities Redeemed in Part</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Upon surrender of a Security that is redeemed in part, the Trustee shall authenticate for the Holder a new Security of the same Series and the same maturity equal in principal amount to the unredeemed portion of the Security surrendered.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1" w:name="page142"/>
    <w:bookmarkEnd w:id="141"/>
    <w:p>
      <w:pPr>
        <w:ind w:left="5120"/>
        <w:spacing w:after="0"/>
        <w:rPr>
          <w:sz w:val="20"/>
          <w:szCs w:val="20"/>
          <w:color w:val="auto"/>
        </w:rPr>
      </w:pPr>
      <w:r>
        <w:rPr>
          <w:rFonts w:ascii="Arial" w:cs="Arial" w:eastAsia="Arial" w:hAnsi="Arial"/>
          <w:sz w:val="18"/>
          <w:szCs w:val="18"/>
          <w:color w:val="auto"/>
        </w:rPr>
        <w:t>ARTICLE IV.</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COVENANTS</w:t>
      </w:r>
    </w:p>
    <w:p>
      <w:pPr>
        <w:spacing w:after="0" w:line="21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4.1.</w:t>
      </w:r>
      <w:r>
        <w:rPr>
          <w:sz w:val="20"/>
          <w:szCs w:val="20"/>
          <w:color w:val="auto"/>
        </w:rPr>
        <w:tab/>
      </w:r>
      <w:r>
        <w:rPr>
          <w:rFonts w:ascii="Arial" w:cs="Arial" w:eastAsia="Arial" w:hAnsi="Arial"/>
          <w:sz w:val="16"/>
          <w:szCs w:val="16"/>
          <w:u w:val="single" w:color="auto"/>
          <w:color w:val="auto"/>
        </w:rPr>
        <w:t>Payment of Principal and Interest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Company covenants and agrees for the benefit of the Holders of each Series of Securities that it will duly and punctually pay the principal of and interest, if any, on the Securities of that Series in accordance with the terms of such Securities and this Indenture. On or before 11:00 a.m., New York City time, on the applicable payment date, the Company shall deposit with the Paying Agent money sufficient to pay the principal of and interest, if any, on the Securities of each Series in accordance with the terms of such Securities and this Indenture.</w:t>
      </w:r>
    </w:p>
    <w:p>
      <w:pPr>
        <w:spacing w:after="0" w:line="18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4.2.</w:t>
      </w:r>
      <w:r>
        <w:rPr>
          <w:sz w:val="20"/>
          <w:szCs w:val="20"/>
          <w:color w:val="auto"/>
        </w:rPr>
        <w:tab/>
      </w:r>
      <w:r>
        <w:rPr>
          <w:rFonts w:ascii="Arial" w:cs="Arial" w:eastAsia="Arial" w:hAnsi="Arial"/>
          <w:sz w:val="16"/>
          <w:szCs w:val="16"/>
          <w:u w:val="single" w:color="auto"/>
          <w:color w:val="auto"/>
        </w:rPr>
        <w:t>SEC Reports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To the extent any Securities of a Series are outstanding, the Company shall deliver to the Trustee within 15 days after it files them with the SEC copies of the annual reports and of the information, documents, and other reports (or copies of such portions of any of the foregoing as the SEC may by rules and regulations prescribe) which the Company is required to file with the SEC pursuant to Section 13 or 15(d) of the Exchange Act. The Company also shall comply with the other provisions of TIA § 314(a). Reports, information and documents filed with the SEC via the EDGAR system will be deemed to be delivered to the Trustee as of the time of such filing via EDGAR for purposes of this Section 4.2.</w:t>
      </w:r>
    </w:p>
    <w:p>
      <w:pPr>
        <w:spacing w:after="0" w:line="176"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Delivery of reports, information and documents to the Trustee under this Section 4.2 are for informational purposes only and the Trustee’s receipt of the foregoing shall not constitute constructive or actual notice of any information contained therein or determinable from information contained therein, including the Company’s compliance with any of their covenants hereunder (as to which the Trustee is entitled to rely exclusively on Officer’s Certificates).</w:t>
      </w:r>
    </w:p>
    <w:p>
      <w:pPr>
        <w:spacing w:after="0" w:line="18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4.3.</w:t>
      </w:r>
      <w:r>
        <w:rPr>
          <w:sz w:val="20"/>
          <w:szCs w:val="20"/>
          <w:color w:val="auto"/>
        </w:rPr>
        <w:tab/>
      </w:r>
      <w:r>
        <w:rPr>
          <w:rFonts w:ascii="Arial" w:cs="Arial" w:eastAsia="Arial" w:hAnsi="Arial"/>
          <w:sz w:val="16"/>
          <w:szCs w:val="16"/>
          <w:u w:val="single" w:color="auto"/>
          <w:color w:val="auto"/>
        </w:rPr>
        <w:t>Compliance Certificate</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To the extent any Securities of a Series are outstanding, the Company shall deliver to the Trustee, within 120 days after the end of each fiscal year of the Company, an Officer’s Certificate stating that a review of the activities of the Company and its Subsidiaries during the preceding fiscal year has been made under the supervision of the signing Officers with a view to determining whether the Company has kept, observed, performed and fulfilled its obligations under this Indenture, and further stating, as to each such Officer signing such certificate, that to the best of his/her knowledge the Company has kept, observed, performed and fulfilled each and every covenant contained in this Indenture and is not in default in the performance or observance of any of the terms, provisions and conditions hereof (or, if a Default or Event of Default shall have occurred, describing all such Defaults or Events of Default of which the Officer may have knowledge).</w:t>
      </w:r>
    </w:p>
    <w:p>
      <w:pPr>
        <w:spacing w:after="0" w:line="19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4.4.</w:t>
      </w:r>
      <w:r>
        <w:rPr>
          <w:sz w:val="20"/>
          <w:szCs w:val="20"/>
          <w:color w:val="auto"/>
        </w:rPr>
        <w:tab/>
      </w:r>
      <w:r>
        <w:rPr>
          <w:rFonts w:ascii="Arial" w:cs="Arial" w:eastAsia="Arial" w:hAnsi="Arial"/>
          <w:sz w:val="16"/>
          <w:szCs w:val="16"/>
          <w:u w:val="single" w:color="auto"/>
          <w:color w:val="auto"/>
        </w:rPr>
        <w:t>Stay, Extension and Usury Laws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The Company covenants (to the extent that it may lawfully do so) that it will not at any time insist upon, plead, or in any manner whatsoever claim or take the benefit or advantage of, any stay, extension or usury law wherever enacted, now or at any time hereafter in force, which may affect the covenants or the performance of this Indenture or the Securities; and the Company (to the extent it may lawfully do so) hereby expressly waives all benefit or advantage of any such law and covenants that it will not, by resort to any such law, hinder, delay or impede the execution of any power herein granted to the Trustee, but will suffer and permit the execution of every such power as though no such law has been enacted.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8"/>
          <w:szCs w:val="18"/>
          <w:color w:val="auto"/>
        </w:rPr>
        <w:t>ARTICLE V.</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SUCCESSORS</w:t>
      </w:r>
    </w:p>
    <w:p>
      <w:pPr>
        <w:spacing w:after="0" w:line="21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5.1.</w:t>
      </w:r>
      <w:r>
        <w:rPr>
          <w:sz w:val="20"/>
          <w:szCs w:val="20"/>
          <w:color w:val="auto"/>
        </w:rPr>
        <w:tab/>
      </w:r>
      <w:r>
        <w:rPr>
          <w:rFonts w:ascii="Arial" w:cs="Arial" w:eastAsia="Arial" w:hAnsi="Arial"/>
          <w:sz w:val="16"/>
          <w:szCs w:val="16"/>
          <w:u w:val="single" w:color="auto"/>
          <w:color w:val="auto"/>
        </w:rPr>
        <w:t>When Company May Merge, Etc</w:t>
      </w:r>
      <w:r>
        <w:rPr>
          <w:rFonts w:ascii="Arial" w:cs="Arial" w:eastAsia="Arial" w:hAnsi="Arial"/>
          <w:sz w:val="16"/>
          <w:szCs w:val="16"/>
          <w:color w:val="auto"/>
        </w:rPr>
        <w:t>.</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The Company shall not consolidate with or merge with or into, or convey, transfer or lease all or substantially all of its properties and assets to, any person (a “</w:t>
      </w:r>
      <w:r>
        <w:rPr>
          <w:rFonts w:ascii="Arial" w:cs="Arial" w:eastAsia="Arial" w:hAnsi="Arial"/>
          <w:sz w:val="18"/>
          <w:szCs w:val="18"/>
          <w:i w:val="1"/>
          <w:iCs w:val="1"/>
          <w:color w:val="auto"/>
        </w:rPr>
        <w:t>successor person</w:t>
      </w:r>
      <w:r>
        <w:rPr>
          <w:rFonts w:ascii="Arial" w:cs="Arial" w:eastAsia="Arial" w:hAnsi="Arial"/>
          <w:sz w:val="18"/>
          <w:szCs w:val="18"/>
          <w:color w:val="auto"/>
        </w:rPr>
        <w:t>”) unless:</w:t>
      </w:r>
    </w:p>
    <w:p>
      <w:pPr>
        <w:spacing w:after="0" w:line="170" w:lineRule="exact"/>
        <w:rPr>
          <w:sz w:val="20"/>
          <w:szCs w:val="20"/>
          <w:color w:val="auto"/>
        </w:rPr>
      </w:pPr>
    </w:p>
    <w:p>
      <w:pPr>
        <w:jc w:val="both"/>
        <w:ind w:left="660" w:firstLine="644"/>
        <w:spacing w:after="0" w:line="263" w:lineRule="auto"/>
        <w:tabs>
          <w:tab w:leader="none" w:pos="211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Company is the surviving corporation or the successor person (if other than the Company) is a corporation organized and validly existing under the laws of any U.S. domestic or United Kingdom jurisdiction and expressly assumes the Company’s obligations on the Securities and under this Indenture; and</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immediately after giving effect to the transaction, no Default or Event of Default, shall have occurred and be continuing.</w:t>
      </w:r>
    </w:p>
    <w:p>
      <w:pPr>
        <w:spacing w:after="0" w:line="237"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The Company shall deliver to the Trustee prior to the consummation of the proposed transaction an Officer’s Certificate to the foregoing effect and an Opinion of Counsel stating that the proposed transaction and any supplemental indenture comply with this Indenture.</w:t>
      </w:r>
    </w:p>
    <w:p>
      <w:pPr>
        <w:spacing w:after="0" w:line="146" w:lineRule="exact"/>
        <w:rPr>
          <w:sz w:val="20"/>
          <w:szCs w:val="20"/>
          <w:color w:val="auto"/>
        </w:rPr>
      </w:pPr>
    </w:p>
    <w:p>
      <w:pPr>
        <w:jc w:val="both"/>
        <w:ind w:right="20" w:firstLine="1296"/>
        <w:spacing w:after="0" w:line="308" w:lineRule="auto"/>
        <w:rPr>
          <w:sz w:val="20"/>
          <w:szCs w:val="20"/>
          <w:color w:val="auto"/>
        </w:rPr>
      </w:pPr>
      <w:r>
        <w:rPr>
          <w:rFonts w:ascii="Arial" w:cs="Arial" w:eastAsia="Arial" w:hAnsi="Arial"/>
          <w:sz w:val="17"/>
          <w:szCs w:val="17"/>
          <w:color w:val="auto"/>
        </w:rPr>
        <w:t>Notwithstanding the above, any Subsidiary of the Company may consolidate with, merge into or transfer all or part of its properties to the Company. Neither an Officer’s Certificate nor an Opinion of Counsel shall be required to be delivered in connection therewith.</w:t>
      </w:r>
    </w:p>
    <w:p>
      <w:pPr>
        <w:spacing w:after="0" w:line="14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5.2.</w:t>
      </w:r>
      <w:r>
        <w:rPr>
          <w:sz w:val="20"/>
          <w:szCs w:val="20"/>
          <w:color w:val="auto"/>
        </w:rPr>
        <w:tab/>
      </w:r>
      <w:r>
        <w:rPr>
          <w:rFonts w:ascii="Arial" w:cs="Arial" w:eastAsia="Arial" w:hAnsi="Arial"/>
          <w:sz w:val="16"/>
          <w:szCs w:val="16"/>
          <w:u w:val="single" w:color="auto"/>
          <w:color w:val="auto"/>
        </w:rPr>
        <w:t>Successor Corporation Substituted</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Upon any consolidation or merger, or any sale, lease, conveyance or other disposition of all or substantially all of the assets of the Company in accordance with Section 5.1, the successor corporation formed by such consolidation or into or with which the Company is merged or to which such sale, lease, conveyance or other disposition is made shall succeed to, and be substituted for, and may exercise every right and power of, the Company under this Indenture with the same effect as if such successor person has been named as the Company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predecessor Company in the case of a sale, conveyance or other disposition (other than a lease) shall be released from all obligations and covenants under this Indenture and the Securities.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color w:val="auto"/>
        </w:rPr>
        <w:t>ARTICLE VI.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DEFAULTS AND REMEDIES</w:t>
      </w:r>
    </w:p>
    <w:p>
      <w:pPr>
        <w:spacing w:after="0" w:line="21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6.1.</w:t>
      </w:r>
      <w:r>
        <w:rPr>
          <w:sz w:val="20"/>
          <w:szCs w:val="20"/>
          <w:color w:val="auto"/>
        </w:rPr>
        <w:tab/>
      </w:r>
      <w:r>
        <w:rPr>
          <w:rFonts w:ascii="Arial" w:cs="Arial" w:eastAsia="Arial" w:hAnsi="Arial"/>
          <w:sz w:val="16"/>
          <w:szCs w:val="16"/>
          <w:u w:val="single" w:color="auto"/>
          <w:color w:val="auto"/>
        </w:rPr>
        <w:t>Events of Default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wherever used herein with respect to Securities of any Series, means any one of the following events, unless in the establishing Board Resolution, supplemental indenture or Officer’s Certificate, it is provided that such Series shall not have the benefit of said Event of Default:</w:t>
      </w:r>
    </w:p>
    <w:p>
      <w:pPr>
        <w:spacing w:after="0" w:line="184" w:lineRule="exact"/>
        <w:rPr>
          <w:sz w:val="20"/>
          <w:szCs w:val="20"/>
          <w:color w:val="auto"/>
        </w:rPr>
      </w:pPr>
    </w:p>
    <w:p>
      <w:pPr>
        <w:jc w:val="both"/>
        <w:ind w:left="660" w:firstLine="644"/>
        <w:spacing w:after="0" w:line="274" w:lineRule="auto"/>
        <w:tabs>
          <w:tab w:leader="none" w:pos="204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default in the payment of any interest on any Security of that Series when it becomes due and payable, and continuance of such default for a period of 30 days (unless the entire amount of such payment is deposited by the Company with the Trustee or with a Paying Agent prior to 11:00 a.m., New York City time, on the 30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such period); or</w:t>
      </w:r>
    </w:p>
    <w:p>
      <w:pPr>
        <w:spacing w:after="0" w:line="51" w:lineRule="exact"/>
        <w:rPr>
          <w:rFonts w:ascii="Arial" w:cs="Arial" w:eastAsia="Arial" w:hAnsi="Arial"/>
          <w:sz w:val="18"/>
          <w:szCs w:val="18"/>
          <w:color w:val="auto"/>
        </w:rPr>
      </w:pPr>
    </w:p>
    <w:p>
      <w:pPr>
        <w:ind w:left="2060" w:hanging="756"/>
        <w:spacing w:after="0"/>
        <w:tabs>
          <w:tab w:leader="none" w:pos="20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 or</w:t>
      </w:r>
    </w:p>
    <w:p>
      <w:pPr>
        <w:spacing w:after="0" w:line="225" w:lineRule="exact"/>
        <w:rPr>
          <w:rFonts w:ascii="Arial" w:cs="Arial" w:eastAsia="Arial" w:hAnsi="Arial"/>
          <w:sz w:val="18"/>
          <w:szCs w:val="18"/>
          <w:color w:val="auto"/>
        </w:rPr>
      </w:pPr>
    </w:p>
    <w:p>
      <w:pPr>
        <w:jc w:val="both"/>
        <w:ind w:left="660" w:firstLine="644"/>
        <w:spacing w:after="0" w:line="255" w:lineRule="auto"/>
        <w:tabs>
          <w:tab w:leader="none" w:pos="227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default in the performance or breach of any covenant or warranty of the Company in this Indenture (other than defaults pursuant to paragraphs (a) or (b) above or pursuant to a covenant or warranty that has been included in this Indenture solely for the benefit of Series of Securities other than that Series), which default continues uncured for a period of 60 days after there has been given, by registered or certified mail, to the Company by the Trustee or to the Company and the Trustee by the Holders of at least 25% in principal amount of the outstanding Securities of that Series a written notice specifying such default or breach and requiring it to be remedied and stating that such notice is a “Notice of Default” hereunder; or</w:t>
      </w:r>
    </w:p>
    <w:p>
      <w:pPr>
        <w:spacing w:after="0" w:line="192" w:lineRule="exact"/>
        <w:rPr>
          <w:rFonts w:ascii="Arial" w:cs="Arial" w:eastAsia="Arial" w:hAnsi="Arial"/>
          <w:sz w:val="18"/>
          <w:szCs w:val="18"/>
          <w:color w:val="auto"/>
        </w:rPr>
      </w:pPr>
    </w:p>
    <w:p>
      <w:pPr>
        <w:ind w:left="2060" w:hanging="756"/>
        <w:spacing w:after="0"/>
        <w:tabs>
          <w:tab w:leader="none" w:pos="20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Company pursuant to or within the meaning of any Bankruptcy Law:</w:t>
      </w:r>
    </w:p>
    <w:p>
      <w:pPr>
        <w:spacing w:after="0" w:line="225" w:lineRule="exact"/>
        <w:rPr>
          <w:rFonts w:ascii="Arial" w:cs="Arial" w:eastAsia="Arial" w:hAnsi="Arial"/>
          <w:sz w:val="18"/>
          <w:szCs w:val="18"/>
          <w:color w:val="auto"/>
        </w:rPr>
      </w:pPr>
    </w:p>
    <w:p>
      <w:pPr>
        <w:ind w:left="2880" w:hanging="928"/>
        <w:spacing w:after="0"/>
        <w:tabs>
          <w:tab w:leader="none" w:pos="28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commences a voluntary case,</w:t>
      </w:r>
    </w:p>
    <w:p>
      <w:pPr>
        <w:spacing w:after="0" w:line="225" w:lineRule="exact"/>
        <w:rPr>
          <w:rFonts w:ascii="Arial" w:cs="Arial" w:eastAsia="Arial" w:hAnsi="Arial"/>
          <w:sz w:val="18"/>
          <w:szCs w:val="18"/>
          <w:color w:val="auto"/>
        </w:rPr>
      </w:pPr>
    </w:p>
    <w:p>
      <w:pPr>
        <w:ind w:left="2800" w:hanging="848"/>
        <w:spacing w:after="0"/>
        <w:tabs>
          <w:tab w:leader="none" w:pos="28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consents to the entry of an order for relief against it in an involuntary case,</w:t>
      </w:r>
    </w:p>
    <w:p>
      <w:pPr>
        <w:spacing w:after="0" w:line="225" w:lineRule="exact"/>
        <w:rPr>
          <w:rFonts w:ascii="Arial" w:cs="Arial" w:eastAsia="Arial" w:hAnsi="Arial"/>
          <w:sz w:val="18"/>
          <w:szCs w:val="18"/>
          <w:color w:val="auto"/>
        </w:rPr>
      </w:pPr>
    </w:p>
    <w:p>
      <w:pPr>
        <w:ind w:left="2760" w:hanging="808"/>
        <w:spacing w:after="0"/>
        <w:tabs>
          <w:tab w:leader="none" w:pos="27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consents to the appointment of a Custodian of it or for all or substantially all of its property,</w:t>
      </w:r>
    </w:p>
    <w:p>
      <w:pPr>
        <w:spacing w:after="0" w:line="225" w:lineRule="exact"/>
        <w:rPr>
          <w:rFonts w:ascii="Arial" w:cs="Arial" w:eastAsia="Arial" w:hAnsi="Arial"/>
          <w:sz w:val="18"/>
          <w:szCs w:val="18"/>
          <w:color w:val="auto"/>
        </w:rPr>
      </w:pPr>
    </w:p>
    <w:p>
      <w:pPr>
        <w:ind w:left="2800" w:hanging="848"/>
        <w:spacing w:after="0"/>
        <w:tabs>
          <w:tab w:leader="none" w:pos="28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makes a general assignment for the benefit of its creditors, or</w:t>
      </w:r>
    </w:p>
    <w:p>
      <w:pPr>
        <w:spacing w:after="0" w:line="225" w:lineRule="exact"/>
        <w:rPr>
          <w:rFonts w:ascii="Arial" w:cs="Arial" w:eastAsia="Arial" w:hAnsi="Arial"/>
          <w:sz w:val="18"/>
          <w:szCs w:val="18"/>
          <w:color w:val="auto"/>
        </w:rPr>
      </w:pPr>
    </w:p>
    <w:p>
      <w:pPr>
        <w:ind w:left="2840" w:hanging="888"/>
        <w:spacing w:after="0"/>
        <w:tabs>
          <w:tab w:leader="none" w:pos="28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generally is unable to pay its debts as the same become due; or</w:t>
      </w:r>
    </w:p>
    <w:p>
      <w:pPr>
        <w:spacing w:after="0" w:line="225" w:lineRule="exact"/>
        <w:rPr>
          <w:rFonts w:ascii="Arial" w:cs="Arial" w:eastAsia="Arial" w:hAnsi="Arial"/>
          <w:sz w:val="18"/>
          <w:szCs w:val="18"/>
          <w:color w:val="auto"/>
        </w:rPr>
      </w:pPr>
    </w:p>
    <w:p>
      <w:pPr>
        <w:ind w:left="2040" w:hanging="736"/>
        <w:spacing w:after="0"/>
        <w:tabs>
          <w:tab w:leader="none" w:pos="20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 court of competent jurisdiction enters an order or decree under any Bankruptcy Law that:</w:t>
      </w:r>
    </w:p>
    <w:p>
      <w:pPr>
        <w:spacing w:after="0" w:line="225" w:lineRule="exact"/>
        <w:rPr>
          <w:rFonts w:ascii="Arial" w:cs="Arial" w:eastAsia="Arial" w:hAnsi="Arial"/>
          <w:sz w:val="18"/>
          <w:szCs w:val="18"/>
          <w:color w:val="auto"/>
        </w:rPr>
      </w:pPr>
    </w:p>
    <w:p>
      <w:pPr>
        <w:ind w:left="2880" w:hanging="928"/>
        <w:spacing w:after="0"/>
        <w:tabs>
          <w:tab w:leader="none" w:pos="28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is for relief against the Company in an involuntary case,</w:t>
      </w:r>
    </w:p>
    <w:p>
      <w:pPr>
        <w:spacing w:after="0" w:line="225" w:lineRule="exact"/>
        <w:rPr>
          <w:rFonts w:ascii="Arial" w:cs="Arial" w:eastAsia="Arial" w:hAnsi="Arial"/>
          <w:sz w:val="18"/>
          <w:szCs w:val="18"/>
          <w:color w:val="auto"/>
        </w:rPr>
      </w:pPr>
    </w:p>
    <w:p>
      <w:pPr>
        <w:ind w:left="2800" w:hanging="848"/>
        <w:spacing w:after="0"/>
        <w:tabs>
          <w:tab w:leader="none" w:pos="280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appoints a Custodian of the Company or for all or substantially all of its property, or</w:t>
      </w:r>
    </w:p>
    <w:p>
      <w:pPr>
        <w:spacing w:after="0" w:line="225" w:lineRule="exact"/>
        <w:rPr>
          <w:rFonts w:ascii="Arial" w:cs="Arial" w:eastAsia="Arial" w:hAnsi="Arial"/>
          <w:sz w:val="18"/>
          <w:szCs w:val="18"/>
          <w:color w:val="auto"/>
        </w:rPr>
      </w:pPr>
    </w:p>
    <w:p>
      <w:pPr>
        <w:ind w:left="2760" w:hanging="808"/>
        <w:spacing w:after="0"/>
        <w:tabs>
          <w:tab w:leader="none" w:pos="276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orders the liquidation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the order or decree remains unstayed and in effect for 60 days; or</w:t>
      </w:r>
    </w:p>
    <w:p>
      <w:pPr>
        <w:spacing w:after="0" w:line="225" w:lineRule="exact"/>
        <w:rPr>
          <w:sz w:val="20"/>
          <w:szCs w:val="20"/>
          <w:color w:val="auto"/>
        </w:rPr>
      </w:pPr>
    </w:p>
    <w:p>
      <w:pPr>
        <w:ind w:left="660" w:right="20" w:firstLine="644"/>
        <w:spacing w:after="0" w:line="277" w:lineRule="auto"/>
        <w:tabs>
          <w:tab w:leader="none" w:pos="227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 which is specified in a Board Resolution, a supplemental indenture hereto or an Officer’s Certificate, in accordance with Section 2.2.18.</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4" w:name="page145"/>
    <w:bookmarkEnd w:id="144"/>
    <w:p>
      <w:pPr>
        <w:jc w:val="both"/>
        <w:ind w:firstLine="1296"/>
        <w:spacing w:after="0" w:line="308" w:lineRule="auto"/>
        <w:rPr>
          <w:sz w:val="20"/>
          <w:szCs w:val="20"/>
          <w:color w:val="auto"/>
        </w:rPr>
      </w:pPr>
      <w:r>
        <w:rPr>
          <w:rFonts w:ascii="Arial" w:cs="Arial" w:eastAsia="Arial" w:hAnsi="Arial"/>
          <w:sz w:val="17"/>
          <w:szCs w:val="17"/>
          <w:color w:val="auto"/>
        </w:rPr>
        <w:t>The term “</w:t>
      </w:r>
      <w:r>
        <w:rPr>
          <w:rFonts w:ascii="Arial" w:cs="Arial" w:eastAsia="Arial" w:hAnsi="Arial"/>
          <w:sz w:val="17"/>
          <w:szCs w:val="17"/>
          <w:i w:val="1"/>
          <w:iCs w:val="1"/>
          <w:color w:val="auto"/>
        </w:rPr>
        <w:t>Bankruptcy Law</w:t>
      </w:r>
      <w:r>
        <w:rPr>
          <w:rFonts w:ascii="Arial" w:cs="Arial" w:eastAsia="Arial" w:hAnsi="Arial"/>
          <w:sz w:val="17"/>
          <w:szCs w:val="17"/>
          <w:color w:val="auto"/>
        </w:rPr>
        <w:t>” means title 11, U.S. Code or any similar Federal or State law for the relief of debtors or the United Kingdom Insolvency Act 1986. The term “</w:t>
      </w:r>
      <w:r>
        <w:rPr>
          <w:rFonts w:ascii="Arial" w:cs="Arial" w:eastAsia="Arial" w:hAnsi="Arial"/>
          <w:sz w:val="17"/>
          <w:szCs w:val="17"/>
          <w:i w:val="1"/>
          <w:iCs w:val="1"/>
          <w:color w:val="auto"/>
        </w:rPr>
        <w:t>Custodian</w:t>
      </w:r>
      <w:r>
        <w:rPr>
          <w:rFonts w:ascii="Arial" w:cs="Arial" w:eastAsia="Arial" w:hAnsi="Arial"/>
          <w:sz w:val="17"/>
          <w:szCs w:val="17"/>
          <w:color w:val="auto"/>
        </w:rPr>
        <w:t>” means any receiver, trustee, assignee, liquidator or similar official under any Bankruptcy Law.</w:t>
      </w:r>
    </w:p>
    <w:p>
      <w:pPr>
        <w:spacing w:after="0" w:line="14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Company will provide the Trustee written notice of any Default or Event of Default within 30 days of becoming aware of the occurrence of such Default or Event of Default, which notice will describe in reasonable detail the status of such Default or Event of Default and what action the Company is taking or proposes to take in respect thereof.</w:t>
      </w:r>
    </w:p>
    <w:p>
      <w:pPr>
        <w:spacing w:after="0" w:line="18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6.2.</w:t>
      </w:r>
      <w:r>
        <w:rPr>
          <w:sz w:val="20"/>
          <w:szCs w:val="20"/>
          <w:color w:val="auto"/>
        </w:rPr>
        <w:tab/>
      </w:r>
      <w:r>
        <w:rPr>
          <w:rFonts w:ascii="Arial" w:cs="Arial" w:eastAsia="Arial" w:hAnsi="Arial"/>
          <w:sz w:val="16"/>
          <w:szCs w:val="16"/>
          <w:u w:val="single" w:color="auto"/>
          <w:color w:val="auto"/>
        </w:rPr>
        <w:t>Acceleration of Maturity; Rescission and Annulment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If an Event of Default with respect to Securities of any Series at the time outstanding occurs and is continuing (other than an Event of Default referred to in Section 6.1(d) or (e)) then in every such case the Trustee or the Holders of not less than 25% in principal amount of the outstanding Securities of that Series may declare the principal amount (or, if any Securities of that Series are Discount Securities, such portion of the principal amount as may be specified in the terms of such Securities) of and accrued and unpaid interest, if any, on all of the Securities of that Series to be due and payable immediately, by a notice in writing to the Company (and to the Trustee if given by Holders), and upon any such declaration such principal amount (or specified amount) and accrued and unpaid interest, if any, shall become immediately due and payable. If an Event of Default specified in Section 6.1(d) or</w:t>
      </w:r>
    </w:p>
    <w:p>
      <w:pPr>
        <w:spacing w:after="0" w:line="4" w:lineRule="exact"/>
        <w:rPr>
          <w:sz w:val="20"/>
          <w:szCs w:val="20"/>
          <w:color w:val="auto"/>
        </w:rPr>
      </w:pPr>
    </w:p>
    <w:p>
      <w:pPr>
        <w:ind w:firstLine="8"/>
        <w:spacing w:after="0" w:line="260" w:lineRule="auto"/>
        <w:tabs>
          <w:tab w:leader="none" w:pos="25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shall occur, the principal amount (or specified amount) of and accrued and unpaid interest, if any, on all outstanding Securities shall </w:t>
      </w:r>
      <w:r>
        <w:rPr>
          <w:rFonts w:ascii="Arial" w:cs="Arial" w:eastAsia="Arial" w:hAnsi="Arial"/>
          <w:sz w:val="18"/>
          <w:szCs w:val="18"/>
          <w:i w:val="1"/>
          <w:iCs w:val="1"/>
          <w:color w:val="auto"/>
        </w:rPr>
        <w:t>ipso facto</w:t>
      </w:r>
      <w:r>
        <w:rPr>
          <w:rFonts w:ascii="Arial" w:cs="Arial" w:eastAsia="Arial" w:hAnsi="Arial"/>
          <w:sz w:val="18"/>
          <w:szCs w:val="18"/>
          <w:color w:val="auto"/>
        </w:rPr>
        <w:t xml:space="preserve"> become and be immediately due and payable without any declaration or other act on the part of the Trustee or any Holder.</w:t>
      </w:r>
    </w:p>
    <w:p>
      <w:pPr>
        <w:spacing w:after="0" w:line="18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At any time after such a declaration of acceleration with respect to any Series has been made and before a judgment or decree for payment of the money due has been obtained by the Trustee as hereinafter in this Article provided, the Holders of a majority in principal amount of the outstanding Securities of that Series, by written notice to the Company and the Trustee, may rescind and annul such declaration and its consequences if all Events of Default with respect to Securities of that Series, other than the non-payment of the principal and interest, if any, of Securities of that Series which have become due solely by such declaration of acceleration, have been cured or waived as provided in Section 6.13.</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5" w:name="page146"/>
    <w:bookmarkEnd w:id="145"/>
    <w:p>
      <w:pPr>
        <w:ind w:left="660"/>
        <w:spacing w:after="0"/>
        <w:tabs>
          <w:tab w:leader="none" w:pos="1900" w:val="left"/>
        </w:tabs>
        <w:rPr>
          <w:sz w:val="20"/>
          <w:szCs w:val="20"/>
          <w:color w:val="auto"/>
        </w:rPr>
      </w:pPr>
      <w:r>
        <w:rPr>
          <w:rFonts w:ascii="Arial" w:cs="Arial" w:eastAsia="Arial" w:hAnsi="Arial"/>
          <w:sz w:val="18"/>
          <w:szCs w:val="18"/>
          <w:color w:val="auto"/>
        </w:rPr>
        <w:t>Section 6.3.</w:t>
      </w:r>
      <w:r>
        <w:rPr>
          <w:sz w:val="20"/>
          <w:szCs w:val="20"/>
          <w:color w:val="auto"/>
        </w:rPr>
        <w:tab/>
      </w:r>
      <w:r>
        <w:rPr>
          <w:rFonts w:ascii="Arial" w:cs="Arial" w:eastAsia="Arial" w:hAnsi="Arial"/>
          <w:sz w:val="16"/>
          <w:szCs w:val="16"/>
          <w:u w:val="single" w:color="auto"/>
          <w:color w:val="auto"/>
        </w:rPr>
        <w:t>Collection of Indebtedness and Suits for Enforcement by Trustee</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covenants that if</w:t>
      </w:r>
    </w:p>
    <w:p>
      <w:pPr>
        <w:spacing w:after="0" w:line="225" w:lineRule="exact"/>
        <w:rPr>
          <w:sz w:val="20"/>
          <w:szCs w:val="20"/>
          <w:color w:val="auto"/>
        </w:rPr>
      </w:pPr>
    </w:p>
    <w:p>
      <w:pPr>
        <w:ind w:left="660" w:firstLine="644"/>
        <w:spacing w:after="0" w:line="277" w:lineRule="auto"/>
        <w:tabs>
          <w:tab w:leader="none" w:pos="211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default is made in the payment of any interest on any Security when such interest becomes due and payable and such default continues for a period of 30 days, or</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default is made in the payment of principal of any Security at the Maturity thereof, or</w:t>
      </w:r>
    </w:p>
    <w:p>
      <w:pPr>
        <w:spacing w:after="0" w:line="225" w:lineRule="exact"/>
        <w:rPr>
          <w:rFonts w:ascii="Arial" w:cs="Arial" w:eastAsia="Arial" w:hAnsi="Arial"/>
          <w:sz w:val="18"/>
          <w:szCs w:val="18"/>
          <w:color w:val="auto"/>
        </w:rPr>
      </w:pPr>
    </w:p>
    <w:p>
      <w:pPr>
        <w:ind w:left="2040" w:hanging="736"/>
        <w:spacing w:after="0"/>
        <w:tabs>
          <w:tab w:leader="none" w:pos="20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default is made in the deposit of any sinking fund payment, if any, when and as due by the terms of a Security,</w:t>
      </w:r>
    </w:p>
    <w:p>
      <w:pPr>
        <w:spacing w:after="0" w:line="22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then, </w:t>
      </w:r>
      <w:r>
        <w:rPr>
          <w:rFonts w:ascii="Arial" w:cs="Arial" w:eastAsia="Arial" w:hAnsi="Arial"/>
          <w:sz w:val="16"/>
          <w:szCs w:val="16"/>
          <w:color w:val="auto"/>
        </w:rPr>
        <w:t>the Company will, upon demand of the Trustee, pay to it, for the benefit of the Holders of such Securities, the whole amount then due and payable on</w:t>
      </w:r>
      <w:r>
        <w:rPr>
          <w:rFonts w:ascii="Arial" w:cs="Arial" w:eastAsia="Arial" w:hAnsi="Arial"/>
          <w:sz w:val="16"/>
          <w:szCs w:val="16"/>
          <w:i w:val="1"/>
          <w:iCs w:val="1"/>
          <w:color w:val="auto"/>
        </w:rPr>
        <w:t xml:space="preserve"> </w:t>
      </w:r>
      <w:r>
        <w:rPr>
          <w:rFonts w:ascii="Arial" w:cs="Arial" w:eastAsia="Arial" w:hAnsi="Arial"/>
          <w:sz w:val="16"/>
          <w:szCs w:val="16"/>
          <w:color w:val="auto"/>
        </w:rPr>
        <w:t>such Securities for principal and interest and, to the extent that payment of such interest shall be legally enforceable, interest on any overdue principal and any overdue interest at the rate or rates prescribed therefor in such Securities, and, in addition thereto, such further amount as shall be sufficient to cover the costs and expenses of collection, including the compensation, reasonable expenses, disbursements and advances of the Trustee, its agents and counsel.</w:t>
      </w:r>
    </w:p>
    <w:p>
      <w:pPr>
        <w:spacing w:after="0" w:line="157"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If the Company fails to pay such amounts forthwith upon such demand, the Trustee, in its own name and as trustee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deemed to be payable in the manner provided by law out of the property of the Company or any other obligor upon such Securities, wherever situated.</w:t>
      </w:r>
    </w:p>
    <w:p>
      <w:pPr>
        <w:spacing w:after="0" w:line="171"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If an Event of Default with respect to any Securities of any Series occurs and is continuing, the Trustee may in its discretion proceed to protect and enforce its rights and the rights of the Holders of Securities of such Series by such appropriate judicial proceedings as the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6" w:name="page147"/>
    <w:bookmarkEnd w:id="146"/>
    <w:p>
      <w:pPr>
        <w:ind w:left="660"/>
        <w:spacing w:after="0"/>
        <w:tabs>
          <w:tab w:leader="none" w:pos="1900" w:val="left"/>
        </w:tabs>
        <w:rPr>
          <w:sz w:val="20"/>
          <w:szCs w:val="20"/>
          <w:color w:val="auto"/>
        </w:rPr>
      </w:pPr>
      <w:r>
        <w:rPr>
          <w:rFonts w:ascii="Arial" w:cs="Arial" w:eastAsia="Arial" w:hAnsi="Arial"/>
          <w:sz w:val="18"/>
          <w:szCs w:val="18"/>
          <w:color w:val="auto"/>
        </w:rPr>
        <w:t>Section 6.4.</w:t>
      </w:r>
      <w:r>
        <w:rPr>
          <w:sz w:val="20"/>
          <w:szCs w:val="20"/>
          <w:color w:val="auto"/>
        </w:rPr>
        <w:tab/>
      </w:r>
      <w:r>
        <w:rPr>
          <w:rFonts w:ascii="Arial" w:cs="Arial" w:eastAsia="Arial" w:hAnsi="Arial"/>
          <w:sz w:val="16"/>
          <w:szCs w:val="16"/>
          <w:u w:val="single" w:color="auto"/>
          <w:color w:val="auto"/>
        </w:rPr>
        <w:t>Trustee May File Proofs of Claim</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the Trustee (irrespective of whether the principal of the Securities shall then be due and payable as therein expressed or by declaration or otherwise and irrespective of whether the Trustee shall have made any demand on the Company for the payment of overdue principal or interest) shall be entitled and empowered, by intervention in such proceeding or otherwise,</w:t>
      </w:r>
    </w:p>
    <w:p>
      <w:pPr>
        <w:spacing w:after="0" w:line="188" w:lineRule="exact"/>
        <w:rPr>
          <w:sz w:val="20"/>
          <w:szCs w:val="20"/>
          <w:color w:val="auto"/>
        </w:rPr>
      </w:pPr>
    </w:p>
    <w:p>
      <w:pPr>
        <w:jc w:val="both"/>
        <w:ind w:left="660" w:firstLine="644"/>
        <w:spacing w:after="0" w:line="259" w:lineRule="auto"/>
        <w:tabs>
          <w:tab w:leader="none" w:pos="204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principal and interest owing and unpaid in respect of the Securities and to file such other papers or documents as may be necessary or advisable in order to have the claims of the Trustee (including any claim for the compensation, reasonable expenses, disbursements and advances of the Trustee, its agents and counsel) and of the Holders allowed in such judicial proceeding, and</w:t>
      </w:r>
    </w:p>
    <w:p>
      <w:pPr>
        <w:spacing w:after="0" w:line="186" w:lineRule="exact"/>
        <w:rPr>
          <w:rFonts w:ascii="Arial" w:cs="Arial" w:eastAsia="Arial" w:hAnsi="Arial"/>
          <w:sz w:val="18"/>
          <w:szCs w:val="18"/>
          <w:color w:val="auto"/>
        </w:rPr>
      </w:pPr>
    </w:p>
    <w:p>
      <w:pPr>
        <w:ind w:left="2060" w:hanging="756"/>
        <w:spacing w:after="0"/>
        <w:tabs>
          <w:tab w:leader="none" w:pos="20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to collect and receive any moneys or other property payable or deliverable on any such claims and to distribute the same,</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Holder to make such payments to the Trustee and, in the event that the Trustee shall consent to the making of such payments directly to the Holders, to pay to the Trustee any amount due it for the compensation, reasonable expenses, disbursements and advances of the Trustee, its agents and counsel, and any other amounts due the Trustee under Section 7.7.</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Nothing herein contained shall be deemed to authorize the Trustee to authorize or consent to or accept or adopt on behalf of any Holder any plan of reorganization, arrangement, adjustment or composition affecting the Securities or the rights of any Holder thereof or to authorize the Trustee to vote in respect of the claim of any Holder in any such proceeding.</w:t>
      </w:r>
    </w:p>
    <w:p>
      <w:pPr>
        <w:spacing w:after="0" w:line="18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6.5.</w:t>
      </w:r>
      <w:r>
        <w:rPr>
          <w:sz w:val="20"/>
          <w:szCs w:val="20"/>
          <w:color w:val="auto"/>
        </w:rPr>
        <w:tab/>
      </w:r>
      <w:r>
        <w:rPr>
          <w:rFonts w:ascii="Arial" w:cs="Arial" w:eastAsia="Arial" w:hAnsi="Arial"/>
          <w:sz w:val="16"/>
          <w:szCs w:val="16"/>
          <w:u w:val="single" w:color="auto"/>
          <w:color w:val="auto"/>
        </w:rPr>
        <w:t>Trustee May Enforce Claims Without Possession of Securities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All rights of action and claims under this Indenture or the Securities may be prosecuted and enforced by the Trustee without the possession of any of the Securities or the production thereof in any proceeding relating thereto, and any such proceeding instituted by the Trustee shall be brought in its own name as trustee of an express trust, and any recovery of judgment shall, after provision for the payment of the compensation, reasonable expenses, disbursements and advances of the Trustee, its agents and counsel, be for the ratable benefit of the Holders of the Securities in respect of which such judgment has been recovered.</w:t>
      </w:r>
    </w:p>
    <w:p>
      <w:pPr>
        <w:spacing w:after="0" w:line="18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6.6.</w:t>
      </w:r>
      <w:r>
        <w:rPr>
          <w:sz w:val="20"/>
          <w:szCs w:val="20"/>
          <w:color w:val="auto"/>
        </w:rPr>
        <w:tab/>
      </w:r>
      <w:r>
        <w:rPr>
          <w:rFonts w:ascii="Arial" w:cs="Arial" w:eastAsia="Arial" w:hAnsi="Arial"/>
          <w:sz w:val="16"/>
          <w:szCs w:val="16"/>
          <w:u w:val="single" w:color="auto"/>
          <w:color w:val="auto"/>
        </w:rPr>
        <w:t>Application of Money Collected.</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Any money or property collected by the Trustee pursuant to this Article shall be applied in the following order, at the date or dates fixed by the Trustee and, in case of the distribution of such money or property on account of principal or interest, upon presentation of the Securities and the notation thereon of the payment if only partially paid and upon surrender thereof if fully paid:</w:t>
      </w:r>
    </w:p>
    <w:p>
      <w:pPr>
        <w:sectPr>
          <w:pgSz w:w="11900" w:h="16838" w:orient="portrait"/>
          <w:cols w:equalWidth="0" w:num="1">
            <w:col w:w="11240"/>
          </w:cols>
          <w:pgMar w:left="320" w:top="908" w:right="339" w:bottom="1440" w:gutter="0" w:footer="0" w:header="0"/>
        </w:sectPr>
      </w:pP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First: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To the payment of all amounts due the Trustee under Section 7.7; and</w:t>
      </w:r>
    </w:p>
    <w:p>
      <w:pPr>
        <w:spacing w:after="0" w:line="211" w:lineRule="exact"/>
        <w:rPr>
          <w:sz w:val="20"/>
          <w:szCs w:val="20"/>
          <w:color w:val="auto"/>
        </w:rPr>
      </w:pPr>
    </w:p>
    <w:p>
      <w:pPr>
        <w:sectPr>
          <w:pgSz w:w="11900" w:h="16838" w:orient="portrait"/>
          <w:cols w:equalWidth="0" w:num="2">
            <w:col w:w="1680" w:space="580"/>
            <w:col w:w="8980"/>
          </w:cols>
          <w:pgMar w:left="320" w:top="908" w:right="339" w:bottom="1440" w:gutter="0" w:footer="0" w:header="0"/>
          <w:type w:val="continuous"/>
        </w:sectPr>
      </w:pPr>
    </w:p>
    <w:p>
      <w:pPr>
        <w:spacing w:after="0" w:line="37" w:lineRule="exact"/>
        <w:rPr>
          <w:sz w:val="20"/>
          <w:szCs w:val="20"/>
          <w:color w:val="auto"/>
        </w:rPr>
      </w:pPr>
    </w:p>
    <w:p>
      <w:pPr>
        <w:ind w:left="1300"/>
        <w:spacing w:after="0"/>
        <w:tabs>
          <w:tab w:leader="none" w:pos="2260" w:val="left"/>
        </w:tabs>
        <w:rPr>
          <w:sz w:val="20"/>
          <w:szCs w:val="20"/>
          <w:color w:val="auto"/>
        </w:rPr>
      </w:pPr>
      <w:r>
        <w:rPr>
          <w:rFonts w:ascii="Arial" w:cs="Arial" w:eastAsia="Arial" w:hAnsi="Arial"/>
          <w:sz w:val="16"/>
          <w:szCs w:val="16"/>
          <w:color w:val="auto"/>
        </w:rPr>
        <w:t>Second:</w:t>
      </w:r>
      <w:r>
        <w:rPr>
          <w:sz w:val="20"/>
          <w:szCs w:val="20"/>
          <w:color w:val="auto"/>
        </w:rPr>
        <w:tab/>
      </w:r>
      <w:r>
        <w:rPr>
          <w:rFonts w:ascii="Arial" w:cs="Arial" w:eastAsia="Arial" w:hAnsi="Arial"/>
          <w:sz w:val="16"/>
          <w:szCs w:val="16"/>
          <w:color w:val="auto"/>
        </w:rPr>
        <w:t>To the payment of the amounts then due and unpaid for principal of and interest on the Securities in respect of which or for</w:t>
      </w:r>
    </w:p>
    <w:p>
      <w:pPr>
        <w:sectPr>
          <w:pgSz w:w="11900" w:h="16838" w:orient="portrait"/>
          <w:cols w:equalWidth="0" w:num="1">
            <w:col w:w="11240"/>
          </w:cols>
          <w:pgMar w:left="320" w:top="908" w:right="339" w:bottom="1440" w:gutter="0" w:footer="0" w:header="0"/>
          <w:type w:val="continuous"/>
        </w:sectPr>
      </w:pPr>
    </w:p>
    <w:p>
      <w:pPr>
        <w:spacing w:after="0" w:line="46"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benefit of which such money has been collected, ratably, without preference or priority of any kind, according to the amounts due and payable on such Securities for principal and interest, respectively; and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tcPr>
          <w:p>
            <w:pPr>
              <w:ind w:left="1300"/>
              <w:spacing w:after="0"/>
              <w:rPr>
                <w:sz w:val="20"/>
                <w:szCs w:val="20"/>
                <w:color w:val="auto"/>
              </w:rPr>
            </w:pPr>
            <w:r>
              <w:rPr>
                <w:rFonts w:ascii="Arial" w:cs="Arial" w:eastAsia="Arial" w:hAnsi="Arial"/>
                <w:sz w:val="18"/>
                <w:szCs w:val="18"/>
                <w:color w:val="auto"/>
              </w:rPr>
              <w:t>Third:</w:t>
            </w:r>
          </w:p>
        </w:tc>
        <w:tc>
          <w:tcPr>
            <w:tcW w:w="9240" w:type="dxa"/>
            <w:vAlign w:val="bottom"/>
          </w:tcPr>
          <w:p>
            <w:pPr>
              <w:jc w:val="right"/>
              <w:ind w:right="7670"/>
              <w:spacing w:after="0"/>
              <w:rPr>
                <w:sz w:val="20"/>
                <w:szCs w:val="20"/>
                <w:color w:val="auto"/>
              </w:rPr>
            </w:pPr>
            <w:r>
              <w:rPr>
                <w:rFonts w:ascii="Arial" w:cs="Arial" w:eastAsia="Arial" w:hAnsi="Arial"/>
                <w:sz w:val="18"/>
                <w:szCs w:val="18"/>
                <w:color w:val="auto"/>
              </w:rPr>
              <w:t>To the Company.</w:t>
            </w:r>
          </w:p>
        </w:tc>
      </w:tr>
      <w:tr>
        <w:trPr>
          <w:trHeight w:val="648"/>
        </w:trPr>
        <w:tc>
          <w:tcPr>
            <w:tcW w:w="2000" w:type="dxa"/>
            <w:vAlign w:val="bottom"/>
            <w:tcBorders>
              <w:bottom w:val="single" w:sz="8" w:color="auto"/>
            </w:tcBorders>
          </w:tcPr>
          <w:p>
            <w:pPr>
              <w:spacing w:after="0"/>
              <w:rPr>
                <w:sz w:val="24"/>
                <w:szCs w:val="24"/>
                <w:color w:val="auto"/>
              </w:rPr>
            </w:pPr>
          </w:p>
        </w:tc>
        <w:tc>
          <w:tcPr>
            <w:tcW w:w="9240" w:type="dxa"/>
            <w:vAlign w:val="bottom"/>
            <w:tcBorders>
              <w:bottom w:val="single" w:sz="8" w:color="auto"/>
            </w:tcBorders>
          </w:tcPr>
          <w:p>
            <w:pPr>
              <w:jc w:val="right"/>
              <w:ind w:right="543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240"/>
          </w:cols>
          <w:pgMar w:left="320" w:top="908" w:right="339" w:bottom="1440" w:gutter="0" w:footer="0" w:header="0"/>
          <w:type w:val="continuous"/>
        </w:sectPr>
      </w:pPr>
    </w:p>
    <w:bookmarkStart w:id="147" w:name="page148"/>
    <w:bookmarkEnd w:id="147"/>
    <w:p>
      <w:pPr>
        <w:ind w:left="660"/>
        <w:spacing w:after="0"/>
        <w:tabs>
          <w:tab w:leader="none" w:pos="1900" w:val="left"/>
        </w:tabs>
        <w:rPr>
          <w:sz w:val="20"/>
          <w:szCs w:val="20"/>
          <w:color w:val="auto"/>
        </w:rPr>
      </w:pPr>
      <w:r>
        <w:rPr>
          <w:rFonts w:ascii="Arial" w:cs="Arial" w:eastAsia="Arial" w:hAnsi="Arial"/>
          <w:sz w:val="18"/>
          <w:szCs w:val="18"/>
          <w:color w:val="auto"/>
        </w:rPr>
        <w:t>Section 6.7.</w:t>
      </w:r>
      <w:r>
        <w:rPr>
          <w:sz w:val="20"/>
          <w:szCs w:val="20"/>
          <w:color w:val="auto"/>
        </w:rPr>
        <w:tab/>
      </w:r>
      <w:r>
        <w:rPr>
          <w:rFonts w:ascii="Arial" w:cs="Arial" w:eastAsia="Arial" w:hAnsi="Arial"/>
          <w:sz w:val="16"/>
          <w:szCs w:val="16"/>
          <w:u w:val="single" w:color="auto"/>
          <w:color w:val="auto"/>
        </w:rPr>
        <w:t>Limitation on Suits</w:t>
      </w:r>
      <w:r>
        <w:rPr>
          <w:rFonts w:ascii="Arial" w:cs="Arial" w:eastAsia="Arial" w:hAnsi="Arial"/>
          <w:sz w:val="16"/>
          <w:szCs w:val="16"/>
          <w:color w:val="auto"/>
        </w:rPr>
        <w:t>.</w:t>
      </w:r>
    </w:p>
    <w:p>
      <w:pPr>
        <w:spacing w:after="0" w:line="225"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for the appointment of a receiver or trustee, or for any other remedy hereunder, unless</w:t>
      </w:r>
    </w:p>
    <w:p>
      <w:pPr>
        <w:spacing w:after="0" w:line="170" w:lineRule="exact"/>
        <w:rPr>
          <w:sz w:val="20"/>
          <w:szCs w:val="20"/>
          <w:color w:val="auto"/>
        </w:rPr>
      </w:pPr>
    </w:p>
    <w:p>
      <w:pPr>
        <w:ind w:left="2040" w:hanging="736"/>
        <w:spacing w:after="0"/>
        <w:tabs>
          <w:tab w:leader="none" w:pos="204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 of a continuing Event of Default with respect to the Securities of</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that Series;</w:t>
      </w:r>
    </w:p>
    <w:p>
      <w:pPr>
        <w:spacing w:after="0" w:line="210" w:lineRule="exact"/>
        <w:rPr>
          <w:rFonts w:ascii="Arial" w:cs="Arial" w:eastAsia="Arial" w:hAnsi="Arial"/>
          <w:sz w:val="16"/>
          <w:szCs w:val="16"/>
          <w:color w:val="auto"/>
        </w:rPr>
      </w:pPr>
    </w:p>
    <w:p>
      <w:pPr>
        <w:ind w:left="660" w:firstLine="644"/>
        <w:spacing w:after="0" w:line="277" w:lineRule="auto"/>
        <w:tabs>
          <w:tab w:leader="none" w:pos="2246"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Securities of that Series shall have made written request to the Trustee to institute proceedings in respect of such Event of Default in its own name as Trustee hereunder;</w:t>
      </w:r>
    </w:p>
    <w:p>
      <w:pPr>
        <w:spacing w:after="0" w:line="170" w:lineRule="exact"/>
        <w:rPr>
          <w:rFonts w:ascii="Arial" w:cs="Arial" w:eastAsia="Arial" w:hAnsi="Arial"/>
          <w:sz w:val="18"/>
          <w:szCs w:val="18"/>
          <w:color w:val="auto"/>
        </w:rPr>
      </w:pPr>
    </w:p>
    <w:p>
      <w:pPr>
        <w:ind w:left="660" w:firstLine="644"/>
        <w:spacing w:after="0" w:line="277" w:lineRule="auto"/>
        <w:tabs>
          <w:tab w:leader="none" w:pos="207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 indemnity or security satisfactory to the Trustee against the costs, expenses and liabilities which might be incurred by the Trustee in compliance with such request;</w:t>
      </w:r>
    </w:p>
    <w:p>
      <w:pPr>
        <w:spacing w:after="0" w:line="170" w:lineRule="exact"/>
        <w:rPr>
          <w:rFonts w:ascii="Arial" w:cs="Arial" w:eastAsia="Arial" w:hAnsi="Arial"/>
          <w:sz w:val="18"/>
          <w:szCs w:val="18"/>
          <w:color w:val="auto"/>
        </w:rPr>
      </w:pPr>
    </w:p>
    <w:p>
      <w:pPr>
        <w:ind w:left="2360" w:hanging="1056"/>
        <w:spacing w:after="0"/>
        <w:tabs>
          <w:tab w:leader="none" w:pos="23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Trustee for 60 days after its receipt of such notice, request and offer of indemnity has failed to institute any such</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proceeding; and</w:t>
      </w:r>
    </w:p>
    <w:p>
      <w:pPr>
        <w:spacing w:after="0" w:line="210" w:lineRule="exact"/>
        <w:rPr>
          <w:rFonts w:ascii="Arial" w:cs="Arial" w:eastAsia="Arial" w:hAnsi="Arial"/>
          <w:sz w:val="17"/>
          <w:szCs w:val="17"/>
          <w:color w:val="auto"/>
        </w:rPr>
      </w:pPr>
    </w:p>
    <w:p>
      <w:pPr>
        <w:ind w:left="660" w:firstLine="644"/>
        <w:spacing w:after="0" w:line="277" w:lineRule="auto"/>
        <w:tabs>
          <w:tab w:leader="none" w:pos="206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 direction inconsistent with such written request has been given to the Trustee during such 60-day period by the Holders of a majority in principal amount of the outstanding Securities of that Series;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it being understood, intended and expressly covenanted by the Holder of every Security with every other Holder and the Trustee that no one or more of such Holders shall have any right in any manner whatever by virtue of, or by availing of, any provision of this Indenture to affect, disturb or prejudice the rights of any other of such Holders, or to obtain or to seek to obtain priority or preference over any other of such Holders or to enforce any right under this Indenture, except in the manner herein provided and for the equal and ratable benefit of all such Holders of the applicable Series.</w:t>
      </w:r>
    </w:p>
    <w:p>
      <w:pPr>
        <w:spacing w:after="0" w:line="17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6.8.</w:t>
      </w:r>
      <w:r>
        <w:rPr>
          <w:sz w:val="20"/>
          <w:szCs w:val="20"/>
          <w:color w:val="auto"/>
        </w:rPr>
        <w:tab/>
      </w:r>
      <w:r>
        <w:rPr>
          <w:rFonts w:ascii="Arial" w:cs="Arial" w:eastAsia="Arial" w:hAnsi="Arial"/>
          <w:sz w:val="16"/>
          <w:szCs w:val="16"/>
          <w:u w:val="single" w:color="auto"/>
          <w:color w:val="auto"/>
        </w:rPr>
        <w:t>Unconditional Right of Holders to Receive Principal and Interest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of the principal of and interest, if any, on such Security on the Maturity of such Security, including the Stated Maturity expressed in such Security (or, in the case of redemption, on the redemption date) and to institute suit for the enforcement of any such payment, and such rights shall not be impaired without the consent of such Holder.</w:t>
      </w:r>
    </w:p>
    <w:p>
      <w:pPr>
        <w:spacing w:after="0" w:line="18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6.9.</w:t>
      </w:r>
      <w:r>
        <w:rPr>
          <w:sz w:val="20"/>
          <w:szCs w:val="20"/>
          <w:color w:val="auto"/>
        </w:rPr>
        <w:tab/>
      </w:r>
      <w:r>
        <w:rPr>
          <w:rFonts w:ascii="Arial" w:cs="Arial" w:eastAsia="Arial" w:hAnsi="Arial"/>
          <w:sz w:val="16"/>
          <w:szCs w:val="16"/>
          <w:u w:val="single" w:color="auto"/>
          <w:color w:val="auto"/>
        </w:rPr>
        <w:t>Restoration of Rights and Remedies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301" w:lineRule="auto"/>
        <w:rPr>
          <w:sz w:val="20"/>
          <w:szCs w:val="20"/>
          <w:color w:val="auto"/>
        </w:rPr>
      </w:pPr>
      <w:r>
        <w:rPr>
          <w:rFonts w:ascii="Arial" w:cs="Arial" w:eastAsia="Arial" w:hAnsi="Arial"/>
          <w:sz w:val="16"/>
          <w:szCs w:val="16"/>
          <w:color w:val="auto"/>
        </w:rPr>
        <w:t>If the Trustee or any Holder has instituted any proceeding to enforce any right or remedy under this Indenture and such proceeding has been discontinued or abandoned for any reason, or has been determined adversely to the Trustee or to such Holder, then and in every such case, subject to any determination in such proceeding, the Company, the Trustee and the Holders shall be restored severally and respectively to their former positions hereunder and thereafter all rights and remedies of the Trustee and the Holders shall continue as though no such proceeding had been instituted.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8" w:name="page149"/>
    <w:bookmarkEnd w:id="148"/>
    <w:p>
      <w:pPr>
        <w:ind w:left="660"/>
        <w:spacing w:after="0"/>
        <w:tabs>
          <w:tab w:leader="none" w:pos="1900" w:val="left"/>
        </w:tabs>
        <w:rPr>
          <w:sz w:val="20"/>
          <w:szCs w:val="20"/>
          <w:color w:val="auto"/>
        </w:rPr>
      </w:pPr>
      <w:r>
        <w:rPr>
          <w:rFonts w:ascii="Arial" w:cs="Arial" w:eastAsia="Arial" w:hAnsi="Arial"/>
          <w:sz w:val="18"/>
          <w:szCs w:val="18"/>
          <w:color w:val="auto"/>
        </w:rPr>
        <w:t>Section 6.10.</w:t>
      </w:r>
      <w:r>
        <w:rPr>
          <w:sz w:val="20"/>
          <w:szCs w:val="20"/>
          <w:color w:val="auto"/>
        </w:rPr>
        <w:tab/>
      </w:r>
      <w:r>
        <w:rPr>
          <w:rFonts w:ascii="Arial" w:cs="Arial" w:eastAsia="Arial" w:hAnsi="Arial"/>
          <w:sz w:val="16"/>
          <w:szCs w:val="16"/>
          <w:u w:val="single" w:color="auto"/>
          <w:color w:val="auto"/>
        </w:rPr>
        <w:t>Rights and Remedies Cumulative</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Except as otherwise provided with respect to the replacement or payment of mutilated, destroyed, lost or stolen Securities in Section 2.8, no right or remedy herein conferred upon or reserved to the Trustee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76"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Section 6.11.</w:t>
      </w:r>
      <w:r>
        <w:rPr>
          <w:sz w:val="20"/>
          <w:szCs w:val="20"/>
          <w:color w:val="auto"/>
        </w:rPr>
        <w:tab/>
      </w:r>
      <w:r>
        <w:rPr>
          <w:rFonts w:ascii="Arial" w:cs="Arial" w:eastAsia="Arial" w:hAnsi="Arial"/>
          <w:sz w:val="16"/>
          <w:szCs w:val="16"/>
          <w:u w:val="single" w:color="auto"/>
          <w:color w:val="auto"/>
        </w:rPr>
        <w:t>Delay or Omission Not Waiver</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No delay or omission of the Trustee or of any Holder of any Securities to exercise any right or remedy accruing upon any Event of Default shall impair any such right or remedy or constitute a waiver of any such Event of Default or an acquiescence therein. Every right and remedy given by this Article or by law to the Trustee or to the Holders may be exercised from time to time, and as often as may be deemed expedient, by the Trustee or by the Holders, as the case may be.</w:t>
      </w:r>
    </w:p>
    <w:p>
      <w:pPr>
        <w:spacing w:after="0" w:line="18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6.12.</w:t>
      </w:r>
      <w:r>
        <w:rPr>
          <w:sz w:val="20"/>
          <w:szCs w:val="20"/>
          <w:color w:val="auto"/>
        </w:rPr>
        <w:tab/>
      </w:r>
      <w:r>
        <w:rPr>
          <w:rFonts w:ascii="Arial" w:cs="Arial" w:eastAsia="Arial" w:hAnsi="Arial"/>
          <w:sz w:val="16"/>
          <w:szCs w:val="16"/>
          <w:u w:val="single" w:color="auto"/>
          <w:color w:val="auto"/>
        </w:rPr>
        <w:t>Control by Holders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Holders of a majority in principal amount of the outstanding Securities of any Series shall have the right to direct the time, method and place of conducting any proceeding for any remedy available to the Trustee, or exercising any trust or power conferred on the Trustee, with respect to the Securities of such Series, provided that</w:t>
      </w:r>
    </w:p>
    <w:p>
      <w:pPr>
        <w:spacing w:after="0" w:line="184" w:lineRule="exact"/>
        <w:rPr>
          <w:sz w:val="20"/>
          <w:szCs w:val="20"/>
          <w:color w:val="auto"/>
        </w:rPr>
      </w:pPr>
    </w:p>
    <w:p>
      <w:pPr>
        <w:ind w:left="2040" w:hanging="736"/>
        <w:spacing w:after="0"/>
        <w:tabs>
          <w:tab w:leader="none" w:pos="20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Trustee may take any other action deemed proper by the Trustee which is not inconsistent with such direction,</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206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subject to the provisions of Section 7.1, the Trustee shall have the right to decline to follow any such direction if the Trustee in good faith shall, by a Responsible Officer of the Trustee, determine that the proceeding so directed would involve the Trustee in personal liability, and</w:t>
      </w:r>
    </w:p>
    <w:p>
      <w:pPr>
        <w:spacing w:after="0" w:line="183" w:lineRule="exact"/>
        <w:rPr>
          <w:rFonts w:ascii="Arial" w:cs="Arial" w:eastAsia="Arial" w:hAnsi="Arial"/>
          <w:sz w:val="18"/>
          <w:szCs w:val="18"/>
          <w:color w:val="auto"/>
        </w:rPr>
      </w:pPr>
    </w:p>
    <w:p>
      <w:pPr>
        <w:ind w:left="660" w:right="20" w:firstLine="644"/>
        <w:spacing w:after="0" w:line="277" w:lineRule="auto"/>
        <w:tabs>
          <w:tab w:leader="none" w:pos="2071"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prior to taking any action as directed under this Section 6.12, the Trustee shall be entitled to indemnity satisfactory to it against the costs, expenses and liabilities which might be incurred by it in compliance with such request or direction.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9" w:name="page150"/>
    <w:bookmarkEnd w:id="149"/>
    <w:p>
      <w:pPr>
        <w:ind w:left="660"/>
        <w:spacing w:after="0"/>
        <w:tabs>
          <w:tab w:leader="none" w:pos="1900" w:val="left"/>
        </w:tabs>
        <w:rPr>
          <w:sz w:val="20"/>
          <w:szCs w:val="20"/>
          <w:color w:val="auto"/>
        </w:rPr>
      </w:pPr>
      <w:r>
        <w:rPr>
          <w:rFonts w:ascii="Arial" w:cs="Arial" w:eastAsia="Arial" w:hAnsi="Arial"/>
          <w:sz w:val="18"/>
          <w:szCs w:val="18"/>
          <w:color w:val="auto"/>
        </w:rPr>
        <w:t>Section 6.13.</w:t>
      </w:r>
      <w:r>
        <w:rPr>
          <w:sz w:val="20"/>
          <w:szCs w:val="20"/>
          <w:color w:val="auto"/>
        </w:rPr>
        <w:tab/>
      </w:r>
      <w:r>
        <w:rPr>
          <w:rFonts w:ascii="Arial" w:cs="Arial" w:eastAsia="Arial" w:hAnsi="Arial"/>
          <w:sz w:val="16"/>
          <w:szCs w:val="16"/>
          <w:u w:val="single" w:color="auto"/>
          <w:color w:val="auto"/>
        </w:rPr>
        <w:t>Waiver of Past Defaults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The Holders of not less than a majority in principal amount of the outstanding Securities of any Series may on behalf of the Holders of all the Securities of such Series, by written notice to the Trustee and the Company, waive any past Default hereunder with respect to such Series and its consequences, except a Default in the payment of the principal of or interest on any Security of such Series (provided, however, that the Holders of a majority in principal amount of the outstanding Securities of any Series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9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6.14.</w:t>
      </w:r>
      <w:r>
        <w:rPr>
          <w:sz w:val="20"/>
          <w:szCs w:val="20"/>
          <w:color w:val="auto"/>
        </w:rPr>
        <w:tab/>
      </w:r>
      <w:r>
        <w:rPr>
          <w:rFonts w:ascii="Arial" w:cs="Arial" w:eastAsia="Arial" w:hAnsi="Arial"/>
          <w:sz w:val="16"/>
          <w:szCs w:val="16"/>
          <w:u w:val="single" w:color="auto"/>
          <w:color w:val="auto"/>
        </w:rPr>
        <w:t>Undertaking for Costs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Company, to any suit instituted by the Trustee, to any suit instituted by any Holder, or group of Holders, holding in the aggregate more than 10% in principal amount of the outstanding Securities of any Series, or to any suit instituted by any Holder for the enforcement of the payment of the principal of or interest on any Security on or after the Maturity of such Security, including the Stated Maturity expressed in such Security (or, in the case of redemption, on the redemption date).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7.1.</w:t>
      </w:r>
      <w:r>
        <w:rPr>
          <w:sz w:val="20"/>
          <w:szCs w:val="20"/>
          <w:color w:val="auto"/>
        </w:rPr>
        <w:tab/>
      </w:r>
      <w:r>
        <w:rPr>
          <w:rFonts w:ascii="Arial" w:cs="Arial" w:eastAsia="Arial" w:hAnsi="Arial"/>
          <w:sz w:val="16"/>
          <w:szCs w:val="16"/>
          <w:u w:val="single" w:color="auto"/>
          <w:color w:val="auto"/>
        </w:rPr>
        <w:t>Duties of Trustee</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63" w:lineRule="auto"/>
        <w:tabs>
          <w:tab w:leader="none" w:pos="2223"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an Event of Default has occurred and is continuing, the Trustee shall exercise the rights and powers vested in it by this Indenture and use the same degree of care and skill in their exercise as a prudent person would exercise or use under the circumstances in the conduct of such person’s own affairs.</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Except during the continuance of an Event of Default:</w:t>
      </w:r>
    </w:p>
    <w:p>
      <w:pPr>
        <w:spacing w:after="0" w:line="225" w:lineRule="exact"/>
        <w:rPr>
          <w:rFonts w:ascii="Arial" w:cs="Arial" w:eastAsia="Arial" w:hAnsi="Arial"/>
          <w:sz w:val="18"/>
          <w:szCs w:val="18"/>
          <w:color w:val="auto"/>
        </w:rPr>
      </w:pPr>
    </w:p>
    <w:p>
      <w:pPr>
        <w:ind w:left="2880" w:hanging="928"/>
        <w:spacing w:after="0"/>
        <w:tabs>
          <w:tab w:leader="none" w:pos="288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Trustee need perform only those duties that are specifically set forth in this Indenture and no others.</w:t>
      </w:r>
    </w:p>
    <w:p>
      <w:pPr>
        <w:spacing w:after="0" w:line="225" w:lineRule="exact"/>
        <w:rPr>
          <w:rFonts w:ascii="Arial" w:cs="Arial" w:eastAsia="Arial" w:hAnsi="Arial"/>
          <w:sz w:val="18"/>
          <w:szCs w:val="18"/>
          <w:color w:val="auto"/>
        </w:rPr>
      </w:pPr>
    </w:p>
    <w:p>
      <w:pPr>
        <w:jc w:val="both"/>
        <w:ind w:left="1300" w:firstLine="652"/>
        <w:spacing w:after="0" w:line="275" w:lineRule="auto"/>
        <w:tabs>
          <w:tab w:leader="none" w:pos="2932" w:val="left"/>
        </w:tabs>
        <w:numPr>
          <w:ilvl w:val="1"/>
          <w:numId w:val="117"/>
        </w:numPr>
        <w:rPr>
          <w:rFonts w:ascii="Arial" w:cs="Arial" w:eastAsia="Arial" w:hAnsi="Arial"/>
          <w:sz w:val="17"/>
          <w:szCs w:val="17"/>
          <w:color w:val="auto"/>
        </w:rPr>
      </w:pPr>
      <w:r>
        <w:rPr>
          <w:rFonts w:ascii="Arial" w:cs="Arial" w:eastAsia="Arial" w:hAnsi="Arial"/>
          <w:sz w:val="17"/>
          <w:szCs w:val="17"/>
          <w:color w:val="auto"/>
        </w:rPr>
        <w:t xml:space="preserve">In the absence of bad faith on its part, the Trustee may conclusively rely, as to the truth of the statements and the correctness of the opinions expressed therein, upon Officer’s Certificates or Opinions of Counsel furnished to the Trustee and conforming to the requirements of this Indenture; </w:t>
      </w:r>
      <w:r>
        <w:rPr>
          <w:rFonts w:ascii="Arial" w:cs="Arial" w:eastAsia="Arial" w:hAnsi="Arial"/>
          <w:sz w:val="17"/>
          <w:szCs w:val="17"/>
          <w:u w:val="single" w:color="auto"/>
          <w:color w:val="auto"/>
        </w:rPr>
        <w:t>however</w:t>
      </w:r>
      <w:r>
        <w:rPr>
          <w:rFonts w:ascii="Arial" w:cs="Arial" w:eastAsia="Arial" w:hAnsi="Arial"/>
          <w:sz w:val="17"/>
          <w:szCs w:val="17"/>
          <w:color w:val="auto"/>
        </w:rPr>
        <w:t>, in the case of any such Officer’s Certificates or Opinions of Counsel which by any provisions hereof are specifically required to be furnished to the Trustee, the Trustee shall examine such Officer’s Certificates and Opinions of Counsel to determine whether or not they conform to the form requirements of this Indenture.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0" w:name="page151"/>
    <w:bookmarkEnd w:id="150"/>
    <w:p>
      <w:pPr>
        <w:ind w:firstLine="644"/>
        <w:spacing w:after="0" w:line="277" w:lineRule="auto"/>
        <w:tabs>
          <w:tab w:leader="none" w:pos="146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Trustee may not be relieved from liability for its own negligent action, its own negligent failure to act or its own willful misconduct, except that:</w:t>
      </w:r>
    </w:p>
    <w:p>
      <w:pPr>
        <w:spacing w:after="0" w:line="170" w:lineRule="exact"/>
        <w:rPr>
          <w:rFonts w:ascii="Arial" w:cs="Arial" w:eastAsia="Arial" w:hAnsi="Arial"/>
          <w:sz w:val="18"/>
          <w:szCs w:val="18"/>
          <w:color w:val="auto"/>
        </w:rPr>
      </w:pPr>
    </w:p>
    <w:p>
      <w:pPr>
        <w:ind w:left="2100" w:hanging="808"/>
        <w:spacing w:after="0"/>
        <w:tabs>
          <w:tab w:leader="none" w:pos="210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This paragraph does not limit the effect of paragraph (b) of this Section.</w:t>
      </w:r>
    </w:p>
    <w:p>
      <w:pPr>
        <w:spacing w:after="0" w:line="225" w:lineRule="exact"/>
        <w:rPr>
          <w:rFonts w:ascii="Arial" w:cs="Arial" w:eastAsia="Arial" w:hAnsi="Arial"/>
          <w:sz w:val="18"/>
          <w:szCs w:val="18"/>
          <w:color w:val="auto"/>
        </w:rPr>
      </w:pPr>
    </w:p>
    <w:p>
      <w:pPr>
        <w:ind w:left="640" w:firstLine="652"/>
        <w:spacing w:after="0" w:line="277" w:lineRule="auto"/>
        <w:tabs>
          <w:tab w:leader="none" w:pos="2228"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unless it is proved that the Trustee was negligent in ascertaining the pertinent facts.</w:t>
      </w:r>
    </w:p>
    <w:p>
      <w:pPr>
        <w:spacing w:after="0" w:line="170" w:lineRule="exact"/>
        <w:rPr>
          <w:rFonts w:ascii="Arial" w:cs="Arial" w:eastAsia="Arial" w:hAnsi="Arial"/>
          <w:sz w:val="18"/>
          <w:szCs w:val="18"/>
          <w:color w:val="auto"/>
        </w:rPr>
      </w:pPr>
    </w:p>
    <w:p>
      <w:pPr>
        <w:jc w:val="both"/>
        <w:ind w:left="640" w:firstLine="652"/>
        <w:spacing w:after="0" w:line="257" w:lineRule="auto"/>
        <w:tabs>
          <w:tab w:leader="none" w:pos="2133"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suffered or omitted to be taken by it with respect to Securities of any Series in good faith in accordance with the direction of the Holders of a majority in principal amount of the outstanding Securities of such Series relating to the time, method and place of conducting any proceeding for any remedy available to the Trustee, or exercising any trust or power conferred upon the Trustee, under this Indenture with respect to the Securities of such Series in accordance with Section 6.12.</w:t>
      </w:r>
    </w:p>
    <w:p>
      <w:pPr>
        <w:spacing w:after="0" w:line="187" w:lineRule="exact"/>
        <w:rPr>
          <w:rFonts w:ascii="Arial" w:cs="Arial" w:eastAsia="Arial" w:hAnsi="Arial"/>
          <w:sz w:val="18"/>
          <w:szCs w:val="18"/>
          <w:color w:val="auto"/>
        </w:rPr>
      </w:pPr>
    </w:p>
    <w:p>
      <w:pPr>
        <w:ind w:left="1300" w:hanging="656"/>
        <w:spacing w:after="0"/>
        <w:tabs>
          <w:tab w:leader="none" w:pos="13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Every provision of this Indenture that in any way relates to the Trustee is subject to paragraph (a), (b) and (c) of this Section.</w:t>
      </w:r>
    </w:p>
    <w:p>
      <w:pPr>
        <w:spacing w:after="0" w:line="248" w:lineRule="exact"/>
        <w:rPr>
          <w:rFonts w:ascii="Arial" w:cs="Arial" w:eastAsia="Arial" w:hAnsi="Arial"/>
          <w:sz w:val="16"/>
          <w:szCs w:val="16"/>
          <w:color w:val="auto"/>
        </w:rPr>
      </w:pPr>
    </w:p>
    <w:p>
      <w:pPr>
        <w:ind w:firstLine="644"/>
        <w:spacing w:after="0" w:line="308" w:lineRule="auto"/>
        <w:tabs>
          <w:tab w:leader="none" w:pos="13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Trustee may refuse to perform any duty or exercise any right or power unless it receives indemnity satisfactory to it against the costs, expenses and liabilities which might be incurred by it in performing such duty or exercising such right or power.</w:t>
      </w:r>
    </w:p>
    <w:p>
      <w:pPr>
        <w:spacing w:after="0" w:line="146" w:lineRule="exact"/>
        <w:rPr>
          <w:rFonts w:ascii="Arial" w:cs="Arial" w:eastAsia="Arial" w:hAnsi="Arial"/>
          <w:sz w:val="17"/>
          <w:szCs w:val="17"/>
          <w:color w:val="auto"/>
        </w:rPr>
      </w:pPr>
    </w:p>
    <w:p>
      <w:pPr>
        <w:ind w:right="20" w:firstLine="644"/>
        <w:spacing w:after="0" w:line="277" w:lineRule="auto"/>
        <w:tabs>
          <w:tab w:leader="none" w:pos="1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Trustee shall not be liable for interest on any money received by it except as the Trustee may agree in writing with the Company. Money held in trust by the Trustee need not be segregated from other funds except to the extent required by law.</w:t>
      </w:r>
    </w:p>
    <w:p>
      <w:pPr>
        <w:spacing w:after="0" w:line="170" w:lineRule="exact"/>
        <w:rPr>
          <w:rFonts w:ascii="Arial" w:cs="Arial" w:eastAsia="Arial" w:hAnsi="Arial"/>
          <w:sz w:val="18"/>
          <w:szCs w:val="18"/>
          <w:color w:val="auto"/>
        </w:rPr>
      </w:pPr>
    </w:p>
    <w:p>
      <w:pPr>
        <w:jc w:val="both"/>
        <w:ind w:firstLine="644"/>
        <w:spacing w:after="0" w:line="263" w:lineRule="auto"/>
        <w:tabs>
          <w:tab w:leader="none" w:pos="139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 provision of this Indenture shall require the Trustee to risk its own funds or otherwise incur any financial liability in the performance of any of its duties, or in the exercise of any of its rights or powers, if adequate indemnity against such risk is not assured to the Trustee in its satisfaction.</w:t>
      </w:r>
    </w:p>
    <w:p>
      <w:pPr>
        <w:spacing w:after="0" w:line="183" w:lineRule="exact"/>
        <w:rPr>
          <w:rFonts w:ascii="Arial" w:cs="Arial" w:eastAsia="Arial" w:hAnsi="Arial"/>
          <w:sz w:val="18"/>
          <w:szCs w:val="18"/>
          <w:color w:val="auto"/>
        </w:rPr>
      </w:pPr>
    </w:p>
    <w:p>
      <w:pPr>
        <w:ind w:firstLine="644"/>
        <w:spacing w:after="0" w:line="277" w:lineRule="auto"/>
        <w:tabs>
          <w:tab w:leader="none" w:pos="133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Paying Agent, the Registrar and any authenticating agent shall be entitled to the protections and immunities as are set forth in paragraphs (e), (f) and (g) of this Section and in Section 7.2, each with respect to the Trustee.</w:t>
      </w:r>
    </w:p>
    <w:p>
      <w:pPr>
        <w:spacing w:after="0" w:line="170"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Section 7.2.</w:t>
      </w:r>
      <w:r>
        <w:rPr>
          <w:sz w:val="20"/>
          <w:szCs w:val="20"/>
          <w:color w:val="auto"/>
        </w:rPr>
        <w:tab/>
      </w:r>
      <w:r>
        <w:rPr>
          <w:rFonts w:ascii="Arial" w:cs="Arial" w:eastAsia="Arial" w:hAnsi="Arial"/>
          <w:sz w:val="16"/>
          <w:szCs w:val="16"/>
          <w:u w:val="single" w:color="auto"/>
          <w:color w:val="auto"/>
        </w:rPr>
        <w:t>Rights of Trustee</w:t>
      </w:r>
      <w:r>
        <w:rPr>
          <w:rFonts w:ascii="Arial" w:cs="Arial" w:eastAsia="Arial" w:hAnsi="Arial"/>
          <w:sz w:val="16"/>
          <w:szCs w:val="16"/>
          <w:color w:val="auto"/>
        </w:rPr>
        <w:t>.</w:t>
      </w:r>
    </w:p>
    <w:p>
      <w:pPr>
        <w:spacing w:after="0" w:line="225" w:lineRule="exact"/>
        <w:rPr>
          <w:sz w:val="20"/>
          <w:szCs w:val="20"/>
          <w:color w:val="auto"/>
        </w:rPr>
      </w:pPr>
    </w:p>
    <w:p>
      <w:pPr>
        <w:jc w:val="both"/>
        <w:ind w:firstLine="644"/>
        <w:spacing w:after="0" w:line="263" w:lineRule="auto"/>
        <w:tabs>
          <w:tab w:leader="none" w:pos="1342"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Trustee may rely on and shall be protected in acting or refraining from acting upon any document (whether in its original or facsimile form) believed by it to be genuine and to have been signed or presented by the proper person. The Trustee need not investigate any fact or matter stated in the document.</w:t>
      </w:r>
    </w:p>
    <w:p>
      <w:pPr>
        <w:spacing w:after="0" w:line="40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1124" w:right="339" w:bottom="1440" w:gutter="0" w:footer="0" w:header="0"/>
        </w:sectPr>
      </w:pPr>
    </w:p>
    <w:bookmarkStart w:id="151" w:name="page152"/>
    <w:bookmarkEnd w:id="151"/>
    <w:p>
      <w:pPr>
        <w:ind w:right="20" w:firstLine="644"/>
        <w:spacing w:after="0" w:line="342" w:lineRule="auto"/>
        <w:tabs>
          <w:tab w:leader="none" w:pos="145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w:t>
      </w:r>
    </w:p>
    <w:p>
      <w:pPr>
        <w:spacing w:after="0" w:line="123" w:lineRule="exact"/>
        <w:rPr>
          <w:rFonts w:ascii="Arial" w:cs="Arial" w:eastAsia="Arial" w:hAnsi="Arial"/>
          <w:sz w:val="16"/>
          <w:szCs w:val="16"/>
          <w:color w:val="auto"/>
        </w:rPr>
      </w:pPr>
    </w:p>
    <w:p>
      <w:pPr>
        <w:jc w:val="both"/>
        <w:ind w:firstLine="644"/>
        <w:spacing w:after="0" w:line="263" w:lineRule="auto"/>
        <w:tabs>
          <w:tab w:leader="none" w:pos="139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Trustee may act through agents and shall not be responsible for the misconduct or negligence of any agent appointed with due care. No Depositary shall be deemed an agent of the Trustee and the Trustee shall not be responsible for any act or omission by any Depositary.</w:t>
      </w:r>
    </w:p>
    <w:p>
      <w:pPr>
        <w:spacing w:after="0" w:line="183" w:lineRule="exact"/>
        <w:rPr>
          <w:rFonts w:ascii="Arial" w:cs="Arial" w:eastAsia="Arial" w:hAnsi="Arial"/>
          <w:sz w:val="18"/>
          <w:szCs w:val="18"/>
          <w:color w:val="auto"/>
        </w:rPr>
      </w:pPr>
    </w:p>
    <w:p>
      <w:pPr>
        <w:ind w:firstLine="644"/>
        <w:spacing w:after="0" w:line="277" w:lineRule="auto"/>
        <w:tabs>
          <w:tab w:leader="none" w:pos="138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Trustee shall not be liable for any action it takes or omits to take in good faith which it believes to be authorized or within its rights or powers, provided that the Trustee’s conduct does not constitute willful misconduct or negligence.</w:t>
      </w:r>
    </w:p>
    <w:p>
      <w:pPr>
        <w:spacing w:after="0" w:line="170" w:lineRule="exact"/>
        <w:rPr>
          <w:rFonts w:ascii="Arial" w:cs="Arial" w:eastAsia="Arial" w:hAnsi="Arial"/>
          <w:sz w:val="18"/>
          <w:szCs w:val="18"/>
          <w:color w:val="auto"/>
        </w:rPr>
      </w:pPr>
    </w:p>
    <w:p>
      <w:pPr>
        <w:jc w:val="both"/>
        <w:ind w:firstLine="644"/>
        <w:spacing w:after="0" w:line="263" w:lineRule="auto"/>
        <w:tabs>
          <w:tab w:leader="none" w:pos="1467"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Trustee may consult with counsel and the advice of such counsel or any Opinion of Counsel shall be full and complete authorization and protection in respect of any action taken, suffered or omitted by it hereunder without willful misconduct or negligence, and in reliance thereon.</w:t>
      </w:r>
    </w:p>
    <w:p>
      <w:pPr>
        <w:spacing w:after="0" w:line="183" w:lineRule="exact"/>
        <w:rPr>
          <w:rFonts w:ascii="Arial" w:cs="Arial" w:eastAsia="Arial" w:hAnsi="Arial"/>
          <w:sz w:val="18"/>
          <w:szCs w:val="18"/>
          <w:color w:val="auto"/>
        </w:rPr>
      </w:pPr>
    </w:p>
    <w:p>
      <w:pPr>
        <w:jc w:val="both"/>
        <w:ind w:firstLine="644"/>
        <w:spacing w:after="0" w:line="263" w:lineRule="auto"/>
        <w:tabs>
          <w:tab w:leader="none" w:pos="1399"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Trustee shall be under no obligation to exercise any of the rights or powers vested in it by this Indenture at the request or direction of any of the Holders of Securities unless such Holders shall have offered to the Trustee security or indemnity satisfactory to it against the costs, expenses and liabilities which might be incurred by it in compliance with such request or direction.</w:t>
      </w:r>
    </w:p>
    <w:p>
      <w:pPr>
        <w:spacing w:after="0" w:line="183" w:lineRule="exact"/>
        <w:rPr>
          <w:rFonts w:ascii="Arial" w:cs="Arial" w:eastAsia="Arial" w:hAnsi="Arial"/>
          <w:sz w:val="18"/>
          <w:szCs w:val="18"/>
          <w:color w:val="auto"/>
        </w:rPr>
      </w:pPr>
    </w:p>
    <w:p>
      <w:pPr>
        <w:jc w:val="both"/>
        <w:ind w:firstLine="644"/>
        <w:spacing w:after="0" w:line="311" w:lineRule="auto"/>
        <w:tabs>
          <w:tab w:leader="none" w:pos="135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w:t>
      </w:r>
    </w:p>
    <w:p>
      <w:pPr>
        <w:spacing w:after="0" w:line="148" w:lineRule="exact"/>
        <w:rPr>
          <w:rFonts w:ascii="Arial" w:cs="Arial" w:eastAsia="Arial" w:hAnsi="Arial"/>
          <w:sz w:val="16"/>
          <w:szCs w:val="16"/>
          <w:color w:val="auto"/>
        </w:rPr>
      </w:pPr>
    </w:p>
    <w:p>
      <w:pPr>
        <w:jc w:val="both"/>
        <w:ind w:firstLine="644"/>
        <w:spacing w:after="0" w:line="311" w:lineRule="auto"/>
        <w:tabs>
          <w:tab w:leader="none" w:pos="1406"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generally or the Securities of a particular Series and this Indenture.</w:t>
      </w:r>
    </w:p>
    <w:p>
      <w:pPr>
        <w:spacing w:after="0" w:line="148" w:lineRule="exact"/>
        <w:rPr>
          <w:rFonts w:ascii="Arial" w:cs="Arial" w:eastAsia="Arial" w:hAnsi="Arial"/>
          <w:sz w:val="16"/>
          <w:szCs w:val="16"/>
          <w:color w:val="auto"/>
        </w:rPr>
      </w:pPr>
    </w:p>
    <w:p>
      <w:pPr>
        <w:ind w:firstLine="644"/>
        <w:spacing w:after="0" w:line="342" w:lineRule="auto"/>
        <w:tabs>
          <w:tab w:leader="none" w:pos="1402" w:val="left"/>
        </w:tabs>
        <w:numPr>
          <w:ilvl w:val="0"/>
          <w:numId w:val="120"/>
        </w:numPr>
        <w:rPr>
          <w:rFonts w:ascii="Arial" w:cs="Arial" w:eastAsia="Arial" w:hAnsi="Arial"/>
          <w:sz w:val="16"/>
          <w:szCs w:val="16"/>
          <w:color w:val="auto"/>
        </w:rPr>
      </w:pPr>
      <w:r>
        <w:rPr>
          <w:rFonts w:ascii="Arial" w:cs="Arial" w:eastAsia="Arial" w:hAnsi="Arial"/>
          <w:sz w:val="16"/>
          <w:szCs w:val="16"/>
          <w:color w:val="auto"/>
        </w:rPr>
        <w:t>In no event shall the Trustee be liable to any person for special, punitive, indirect, consequential or incidental loss or damage of any kind whatsoever (including but not limited to lost profits), even if the Trustee has been advised of the likelihood of such loss or damage.</w:t>
      </w:r>
    </w:p>
    <w:p>
      <w:pPr>
        <w:spacing w:after="0" w:line="123" w:lineRule="exact"/>
        <w:rPr>
          <w:rFonts w:ascii="Arial" w:cs="Arial" w:eastAsia="Arial" w:hAnsi="Arial"/>
          <w:sz w:val="16"/>
          <w:szCs w:val="16"/>
          <w:color w:val="auto"/>
        </w:rPr>
      </w:pPr>
    </w:p>
    <w:p>
      <w:pPr>
        <w:ind w:left="1480" w:hanging="836"/>
        <w:spacing w:after="0"/>
        <w:tabs>
          <w:tab w:leader="none" w:pos="148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permissive right of the Trustee to take the actions permitted by this Indenture shall not be construed as an obligation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duty to do so.</w:t>
      </w:r>
    </w:p>
    <w:p>
      <w:pPr>
        <w:spacing w:after="0" w:line="200" w:lineRule="exact"/>
        <w:rPr>
          <w:sz w:val="20"/>
          <w:szCs w:val="20"/>
          <w:color w:val="auto"/>
        </w:rPr>
      </w:pPr>
    </w:p>
    <w:p>
      <w:pPr>
        <w:spacing w:after="0" w:line="227"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52" w:name="page153"/>
    <w:bookmarkEnd w:id="152"/>
    <w:p>
      <w:pPr>
        <w:ind w:left="660"/>
        <w:spacing w:after="0"/>
        <w:tabs>
          <w:tab w:leader="none" w:pos="1900" w:val="left"/>
        </w:tabs>
        <w:rPr>
          <w:sz w:val="20"/>
          <w:szCs w:val="20"/>
          <w:color w:val="auto"/>
        </w:rPr>
      </w:pPr>
      <w:r>
        <w:rPr>
          <w:rFonts w:ascii="Arial" w:cs="Arial" w:eastAsia="Arial" w:hAnsi="Arial"/>
          <w:sz w:val="18"/>
          <w:szCs w:val="18"/>
          <w:color w:val="auto"/>
        </w:rPr>
        <w:t>Section 7.3.</w:t>
      </w:r>
      <w:r>
        <w:rPr>
          <w:sz w:val="20"/>
          <w:szCs w:val="20"/>
          <w:color w:val="auto"/>
        </w:rPr>
        <w:tab/>
      </w:r>
      <w:r>
        <w:rPr>
          <w:rFonts w:ascii="Arial" w:cs="Arial" w:eastAsia="Arial" w:hAnsi="Arial"/>
          <w:sz w:val="16"/>
          <w:szCs w:val="16"/>
          <w:u w:val="single" w:color="auto"/>
          <w:color w:val="auto"/>
        </w:rPr>
        <w:t>Individual Rights of Trustee.</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Trustee in its individual or any other capacity may become the owner or pledgee of Securities and may otherwise deal with the Company or an Affiliate of the Company with the same rights it would have if it were not Trustee. Any Agent may do the same with like rights. The Trustee is also subject to Sections 7.10 and 7.11.</w:t>
      </w:r>
    </w:p>
    <w:p>
      <w:pPr>
        <w:spacing w:after="0" w:line="18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7.4.</w:t>
      </w:r>
      <w:r>
        <w:rPr>
          <w:sz w:val="20"/>
          <w:szCs w:val="20"/>
          <w:color w:val="auto"/>
        </w:rPr>
        <w:tab/>
      </w:r>
      <w:r>
        <w:rPr>
          <w:rFonts w:ascii="Arial" w:cs="Arial" w:eastAsia="Arial" w:hAnsi="Arial"/>
          <w:sz w:val="16"/>
          <w:szCs w:val="16"/>
          <w:u w:val="single" w:color="auto"/>
          <w:color w:val="auto"/>
        </w:rPr>
        <w:t>Trustee’s Disclaimer</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342" w:lineRule="auto"/>
        <w:rPr>
          <w:sz w:val="20"/>
          <w:szCs w:val="20"/>
          <w:color w:val="auto"/>
        </w:rPr>
      </w:pPr>
      <w:r>
        <w:rPr>
          <w:rFonts w:ascii="Arial" w:cs="Arial" w:eastAsia="Arial" w:hAnsi="Arial"/>
          <w:sz w:val="16"/>
          <w:szCs w:val="16"/>
          <w:color w:val="auto"/>
        </w:rPr>
        <w:t>The Trustee makes no representation as to the validity or adequacy of this Indenture or the Securities, it shall not be accountable for the Company’s use of the proceeds from the Securities, and it shall not be responsible for any statement in the Securities other than its authentication.</w:t>
      </w:r>
    </w:p>
    <w:p>
      <w:pPr>
        <w:spacing w:after="0" w:line="12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7.5.</w:t>
      </w:r>
      <w:r>
        <w:rPr>
          <w:sz w:val="20"/>
          <w:szCs w:val="20"/>
          <w:color w:val="auto"/>
        </w:rPr>
        <w:tab/>
      </w:r>
      <w:r>
        <w:rPr>
          <w:rFonts w:ascii="Arial" w:cs="Arial" w:eastAsia="Arial" w:hAnsi="Arial"/>
          <w:sz w:val="16"/>
          <w:szCs w:val="16"/>
          <w:u w:val="single" w:color="auto"/>
          <w:color w:val="auto"/>
        </w:rPr>
        <w:t>Notice of Defaults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If a Default or Event of Default occurs and is continuing with respect to the Securities of any Series and if it is known to a Responsible Officer of the Trustee, the Trustee shall send to each Securityholder of the Securities of that Series notice of a Default or Event of Default within 90 days after it occurs or, if later, after a Responsible Officer of the Trustee has knowledge of such Default or Event of Default. Except in the case of a Default or Event of Default in payment of principal of or interest on any Security of any Series, the Trustee may withhold the notice if and so long as its corporate trust committee or a committee of its Responsible Officers in good faith determines that withholding the notice is in the interests of Securityholders of that Series.</w:t>
      </w:r>
    </w:p>
    <w:p>
      <w:pPr>
        <w:spacing w:after="0" w:line="19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7.6.</w:t>
      </w:r>
      <w:r>
        <w:rPr>
          <w:sz w:val="20"/>
          <w:szCs w:val="20"/>
          <w:color w:val="auto"/>
        </w:rPr>
        <w:tab/>
      </w:r>
      <w:r>
        <w:rPr>
          <w:rFonts w:ascii="Arial" w:cs="Arial" w:eastAsia="Arial" w:hAnsi="Arial"/>
          <w:sz w:val="16"/>
          <w:szCs w:val="16"/>
          <w:u w:val="single" w:color="auto"/>
          <w:color w:val="auto"/>
        </w:rPr>
        <w:t>Reports by Trustee to Holders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Within 60 days after each [ ] commencing [ ], [ ], the Trustee shall transmit by mail to all Securityholders, as their names and addresses appear on the register kept by the Registrar, a brief report dated as of such anniversary date, in accordance with, and to the extent required under, TIA § 313.</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 copy of each report at the time of its mailing to Securityholders of any Series shall be filed with the SEC and each national securities exchange on which the Securities of that Series are listed. The Company shall promptly notify the Trustee in writing when Securities of any Series are listed on any national securities exchange.</w:t>
      </w:r>
    </w:p>
    <w:p>
      <w:pPr>
        <w:spacing w:after="0" w:line="18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7.7.</w:t>
      </w:r>
      <w:r>
        <w:rPr>
          <w:sz w:val="20"/>
          <w:szCs w:val="20"/>
          <w:color w:val="auto"/>
        </w:rPr>
        <w:tab/>
      </w:r>
      <w:r>
        <w:rPr>
          <w:rFonts w:ascii="Arial" w:cs="Arial" w:eastAsia="Arial" w:hAnsi="Arial"/>
          <w:sz w:val="16"/>
          <w:szCs w:val="16"/>
          <w:u w:val="single" w:color="auto"/>
          <w:color w:val="auto"/>
        </w:rPr>
        <w:t>Compensation and Indemnity</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Company shall pay to the Trustee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 of pocket expenses incurred by it. Such expenses shall include the reasonable compensation and expenses of the Trustee’s agents and counsel.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3" w:name="page154"/>
    <w:bookmarkEnd w:id="153"/>
    <w:p>
      <w:pPr>
        <w:jc w:val="both"/>
        <w:ind w:firstLine="1296"/>
        <w:spacing w:after="0" w:line="271" w:lineRule="auto"/>
        <w:rPr>
          <w:sz w:val="20"/>
          <w:szCs w:val="20"/>
          <w:color w:val="auto"/>
        </w:rPr>
      </w:pPr>
      <w:r>
        <w:rPr>
          <w:rFonts w:ascii="Arial" w:cs="Arial" w:eastAsia="Arial" w:hAnsi="Arial"/>
          <w:sz w:val="17"/>
          <w:szCs w:val="17"/>
          <w:color w:val="auto"/>
        </w:rPr>
        <w:t>The Company shall indemnify each of the Trustee and any predecessor Trustee (including for the cost of defending itself) against any cost, expense or liability, including taxes (other than taxes based upon, measured by or determined by the income of the Trustee) incurred by it except as set forth in the next paragraph in the performance of its duties under this Indenture as Trustee or Agent. The Trustee shall notify the Company promptly of any claim for which it may seek indemnity. Failure by the Trustee to so notify the Company shall not relieve the Company of its obligations hereunder, unless and to the extent that the Company is materially prejudiced thereby.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will not be unreasonably withheld. This indemnification shall apply to officers, directors, employees, shareholders and agents of the Trustee.</w:t>
      </w:r>
    </w:p>
    <w:p>
      <w:pPr>
        <w:spacing w:after="0" w:line="17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The Company need not reimburse any expense or indemnify against any loss or liability incurred by the Trustee or by any officer, director, employee, shareholder or agent of the Trustee through willful misconduct or negligence.</w:t>
      </w:r>
    </w:p>
    <w:p>
      <w:pPr>
        <w:spacing w:after="0" w:line="170"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To secure the Company’s payment obligations in this Section, the Trustee shall have a lien prior to the Securities of any Series on all money or property held or collected by the Trustee, except that held in trust to pay principal of and interest on particular Securities of that Series.</w:t>
      </w:r>
    </w:p>
    <w:p>
      <w:pPr>
        <w:spacing w:after="0" w:line="146"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When the Trustee incurs expenses or renders services after an Event of Default specified in Section 6.1(d) or (e) occurs, the expenses and the compensation for the services are intended to constitute expenses of administration under any Bankruptcy Law.</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provisions of this Section shall survive the termination of this Indenture.</w:t>
      </w:r>
    </w:p>
    <w:p>
      <w:pPr>
        <w:spacing w:after="0" w:line="22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7.8.</w:t>
      </w:r>
      <w:r>
        <w:rPr>
          <w:sz w:val="20"/>
          <w:szCs w:val="20"/>
          <w:color w:val="auto"/>
        </w:rPr>
        <w:tab/>
      </w:r>
      <w:r>
        <w:rPr>
          <w:rFonts w:ascii="Arial" w:cs="Arial" w:eastAsia="Arial" w:hAnsi="Arial"/>
          <w:sz w:val="16"/>
          <w:szCs w:val="16"/>
          <w:u w:val="single" w:color="auto"/>
          <w:color w:val="auto"/>
        </w:rPr>
        <w:t>Replacement of Trustee</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A resignation or removal of the Trustee and appointment of a successor Trustee shall become effective only upon the successor Trustee’s acceptance of appointment as provided in this Section.</w:t>
      </w:r>
    </w:p>
    <w:p>
      <w:pPr>
        <w:spacing w:after="0" w:line="170"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The Trustee may resign with respect to the Securities of one or more Series by so notifying the Company at least 30 days prior to the date of the proposed resignation. The Holders of a majority in principal amount of the Securities of any Series may remove the Trustee with respect to that Series by so notifying the Trustee and the Company. The Company may remove the Trustee with respect to Securities of one or more Series if:</w:t>
      </w:r>
    </w:p>
    <w:p>
      <w:pPr>
        <w:spacing w:after="0" w:line="149" w:lineRule="exact"/>
        <w:rPr>
          <w:sz w:val="20"/>
          <w:szCs w:val="20"/>
          <w:color w:val="auto"/>
        </w:rPr>
      </w:pPr>
    </w:p>
    <w:p>
      <w:pPr>
        <w:ind w:left="2040" w:hanging="736"/>
        <w:spacing w:after="0"/>
        <w:tabs>
          <w:tab w:leader="none" w:pos="20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Trustee fails to comply with Section 7.10;</w:t>
      </w:r>
    </w:p>
    <w:p>
      <w:pPr>
        <w:spacing w:after="0" w:line="225" w:lineRule="exact"/>
        <w:rPr>
          <w:rFonts w:ascii="Arial" w:cs="Arial" w:eastAsia="Arial" w:hAnsi="Arial"/>
          <w:sz w:val="18"/>
          <w:szCs w:val="18"/>
          <w:color w:val="auto"/>
        </w:rPr>
      </w:pPr>
    </w:p>
    <w:p>
      <w:pPr>
        <w:ind w:left="2260" w:hanging="956"/>
        <w:spacing w:after="0"/>
        <w:tabs>
          <w:tab w:leader="none" w:pos="226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Trustee is adjudged a bankrupt or an insolvent or an order for relief is entered with respect to the Trustee under any</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Bankruptcy Law;</w:t>
      </w:r>
    </w:p>
    <w:p>
      <w:pPr>
        <w:spacing w:after="0" w:line="210" w:lineRule="exact"/>
        <w:rPr>
          <w:rFonts w:ascii="Arial" w:cs="Arial" w:eastAsia="Arial" w:hAnsi="Arial"/>
          <w:sz w:val="17"/>
          <w:szCs w:val="17"/>
          <w:color w:val="auto"/>
        </w:rPr>
      </w:pPr>
    </w:p>
    <w:p>
      <w:pPr>
        <w:ind w:left="2040" w:hanging="736"/>
        <w:spacing w:after="0"/>
        <w:tabs>
          <w:tab w:leader="none" w:pos="20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Custodian or public officer takes charge of the Trustee or its property; or</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Trustee becomes incapable of acting.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4" w:name="page155"/>
    <w:bookmarkEnd w:id="154"/>
    <w:p>
      <w:pPr>
        <w:jc w:val="both"/>
        <w:ind w:firstLine="1296"/>
        <w:spacing w:after="0" w:line="263" w:lineRule="auto"/>
        <w:rPr>
          <w:sz w:val="20"/>
          <w:szCs w:val="20"/>
          <w:color w:val="auto"/>
        </w:rPr>
      </w:pPr>
      <w:r>
        <w:rPr>
          <w:rFonts w:ascii="Arial" w:cs="Arial" w:eastAsia="Arial" w:hAnsi="Arial"/>
          <w:sz w:val="18"/>
          <w:szCs w:val="18"/>
          <w:color w:val="auto"/>
        </w:rPr>
        <w:t>If the Trustee resigns or is removed or if a vacancy exists in the office of Trustee for any reason, the Company shall promptly appoint a successor Trustee. Within one year after the successor Trustee takes office, the Holders of a majority in principal amount of the then outstanding Securities may appoint a successor Trustee to replace the successor Trustee appointed by the Company.</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If a successor Trustee with respect to the Securities of any one or more Series does not take office within 60 days after the retiring Trustee resigns or is removed, the retiring Trustee, the Company or the Holders of at least a majority in principal amount of the Securities of the applicable Series may petition any court of competent jurisdiction for the appointment of a successor Trustee.</w:t>
      </w:r>
    </w:p>
    <w:p>
      <w:pPr>
        <w:spacing w:after="0" w:line="184"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A successor Trustee shall deliver a written acceptance of its appointment to the retiring Trustee and to the Company. Immediately after that, the retiring Trustee shall transfer all property held by it as Trustee to the successor Trustee subject to the lien provided for in Section 7.7, the resignation or removal of the retiring Trustee shall become effective, and the successor Trustee shall have all the rights, powers and duties of the Trustee with respect to each Series of Securities for which it is acting as Trustee under this Indenture. A successor Trustee shall mail a notice of its succession to each Securityholder of each such Series. Notwithstanding replacement of the Trustee pursuant to this Section 7.8, the Company’s obligations under Section 7.7 hereof shall continue for the benefit of the retiring Trustee with respect to expenses and liabilities incurred by it for actions taken or omitted to be taken in accordance with its rights, powers and duties under this Indenture prior to such replacement.</w:t>
      </w:r>
    </w:p>
    <w:p>
      <w:pPr>
        <w:spacing w:after="0" w:line="17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7.9.</w:t>
      </w:r>
      <w:r>
        <w:rPr>
          <w:sz w:val="20"/>
          <w:szCs w:val="20"/>
          <w:color w:val="auto"/>
        </w:rPr>
        <w:tab/>
      </w:r>
      <w:r>
        <w:rPr>
          <w:rFonts w:ascii="Arial" w:cs="Arial" w:eastAsia="Arial" w:hAnsi="Arial"/>
          <w:sz w:val="15"/>
          <w:szCs w:val="15"/>
          <w:u w:val="single" w:color="auto"/>
          <w:color w:val="auto"/>
        </w:rPr>
        <w:t>Successor Trustee by Merger, Etc</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If the Trustee consolidates with, merges or converts into, or transfers all or substantially all of its corporate trust business to, another corporation, the successor corporation without any further act shall be the successor Trustee, subject to Section 7.10.</w:t>
      </w:r>
    </w:p>
    <w:p>
      <w:pPr>
        <w:spacing w:after="0" w:line="170"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7.10.</w:t>
      </w:r>
      <w:r>
        <w:rPr>
          <w:sz w:val="20"/>
          <w:szCs w:val="20"/>
          <w:color w:val="auto"/>
        </w:rPr>
        <w:tab/>
      </w:r>
      <w:r>
        <w:rPr>
          <w:rFonts w:ascii="Arial" w:cs="Arial" w:eastAsia="Arial" w:hAnsi="Arial"/>
          <w:sz w:val="17"/>
          <w:szCs w:val="17"/>
          <w:u w:val="single" w:color="auto"/>
          <w:color w:val="auto"/>
        </w:rPr>
        <w:t>Eligibility; Disqualification</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This Indenture shall always have a Trustee who satisfies the requirements of TIA § 310(a)(1), (2) and (5). The Trustee shall always have a combined capital and surplus of at least $25,000,000 as set forth in its most recent published annual report of condition. The Trustee shall comply with TIA § 310(b).</w:t>
      </w:r>
    </w:p>
    <w:p>
      <w:pPr>
        <w:spacing w:after="0" w:line="184"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7.11.</w:t>
      </w:r>
      <w:r>
        <w:rPr>
          <w:sz w:val="20"/>
          <w:szCs w:val="20"/>
          <w:color w:val="auto"/>
        </w:rPr>
        <w:tab/>
      </w:r>
      <w:r>
        <w:rPr>
          <w:rFonts w:ascii="Arial" w:cs="Arial" w:eastAsia="Arial" w:hAnsi="Arial"/>
          <w:sz w:val="16"/>
          <w:szCs w:val="16"/>
          <w:u w:val="single" w:color="auto"/>
          <w:color w:val="auto"/>
        </w:rPr>
        <w:t>Preferential Collection of Claims Against Company</w:t>
      </w:r>
      <w:r>
        <w:rPr>
          <w:rFonts w:ascii="Arial" w:cs="Arial" w:eastAsia="Arial" w:hAnsi="Arial"/>
          <w:sz w:val="16"/>
          <w:szCs w:val="16"/>
          <w:color w:val="auto"/>
        </w:rPr>
        <w:t>.</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The Trustee is subject to TIA § 311(a), excluding any creditor relationship listed in TIA § 311(b). A Trustee who has resigned or been removed shall be subject to TIA § 311(a) to the extent indicated.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8"/>
          <w:szCs w:val="18"/>
          <w:color w:val="auto"/>
        </w:rPr>
        <w:t>ARTICLE VIII.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SATISFACTION AND DISCHARGE; DEFEASANCE</w:t>
      </w:r>
    </w:p>
    <w:p>
      <w:pPr>
        <w:spacing w:after="0" w:line="21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8.1.</w:t>
      </w:r>
      <w:r>
        <w:rPr>
          <w:sz w:val="20"/>
          <w:szCs w:val="20"/>
          <w:color w:val="auto"/>
        </w:rPr>
        <w:tab/>
      </w:r>
      <w:r>
        <w:rPr>
          <w:rFonts w:ascii="Arial" w:cs="Arial" w:eastAsia="Arial" w:hAnsi="Arial"/>
          <w:sz w:val="16"/>
          <w:szCs w:val="16"/>
          <w:u w:val="single" w:color="auto"/>
          <w:color w:val="auto"/>
        </w:rPr>
        <w:t>Satisfaction and Discharge of Indenture</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This Indenture shall upon Company Order be discharged with respect to the Securities of any Series and cease to be of further effect as to all Securities of such Series (except as hereinafter provided in this Section 8.1), and the Trustee, at the expense of the Company, shall execute instruments acknowledging satisfaction and discharge of this Indenture, when</w:t>
      </w:r>
    </w:p>
    <w:p>
      <w:pPr>
        <w:spacing w:after="0" w:line="184" w:lineRule="exact"/>
        <w:rPr>
          <w:sz w:val="20"/>
          <w:szCs w:val="20"/>
          <w:color w:val="auto"/>
        </w:rPr>
      </w:pPr>
    </w:p>
    <w:p>
      <w:pPr>
        <w:ind w:left="2040" w:hanging="736"/>
        <w:spacing w:after="0"/>
        <w:tabs>
          <w:tab w:leader="none" w:pos="20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300" w:firstLine="652"/>
        <w:spacing w:after="0" w:line="277" w:lineRule="auto"/>
        <w:tabs>
          <w:tab w:leader="none" w:pos="2896"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all Securities of such Series theretofore authenticated and delivered (other than Securities that have been destroyed, lost or stolen and that have been replaced or paid) have been delivered to the Trustee for cancellation; or</w:t>
      </w:r>
    </w:p>
    <w:p>
      <w:pPr>
        <w:spacing w:after="0" w:line="170" w:lineRule="exact"/>
        <w:rPr>
          <w:rFonts w:ascii="Arial" w:cs="Arial" w:eastAsia="Arial" w:hAnsi="Arial"/>
          <w:sz w:val="18"/>
          <w:szCs w:val="18"/>
          <w:color w:val="auto"/>
        </w:rPr>
      </w:pPr>
    </w:p>
    <w:p>
      <w:pPr>
        <w:ind w:left="2800" w:hanging="848"/>
        <w:spacing w:after="0"/>
        <w:tabs>
          <w:tab w:leader="none" w:pos="28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all such Securities of such Series not theretofore delivered to the Trustee for cancellation</w:t>
      </w:r>
    </w:p>
    <w:p>
      <w:pPr>
        <w:spacing w:after="0" w:line="225" w:lineRule="exact"/>
        <w:rPr>
          <w:rFonts w:ascii="Arial" w:cs="Arial" w:eastAsia="Arial" w:hAnsi="Arial"/>
          <w:sz w:val="18"/>
          <w:szCs w:val="18"/>
          <w:color w:val="auto"/>
        </w:rPr>
      </w:pPr>
    </w:p>
    <w:p>
      <w:pPr>
        <w:ind w:left="3120" w:hanging="520"/>
        <w:spacing w:after="0"/>
        <w:tabs>
          <w:tab w:leader="none" w:pos="312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have become due and payable by reason of sending a notice of redemption or otherwise, or</w:t>
      </w:r>
    </w:p>
    <w:p>
      <w:pPr>
        <w:spacing w:after="0" w:line="225" w:lineRule="exact"/>
        <w:rPr>
          <w:rFonts w:ascii="Arial" w:cs="Arial" w:eastAsia="Arial" w:hAnsi="Arial"/>
          <w:sz w:val="18"/>
          <w:szCs w:val="18"/>
          <w:color w:val="auto"/>
        </w:rPr>
      </w:pPr>
    </w:p>
    <w:p>
      <w:pPr>
        <w:ind w:left="3120" w:hanging="520"/>
        <w:spacing w:after="0"/>
        <w:tabs>
          <w:tab w:leader="none" w:pos="312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225" w:lineRule="exact"/>
        <w:rPr>
          <w:rFonts w:ascii="Arial" w:cs="Arial" w:eastAsia="Arial" w:hAnsi="Arial"/>
          <w:sz w:val="18"/>
          <w:szCs w:val="18"/>
          <w:color w:val="auto"/>
        </w:rPr>
      </w:pPr>
    </w:p>
    <w:p>
      <w:pPr>
        <w:jc w:val="both"/>
        <w:ind w:left="1960" w:firstLine="640"/>
        <w:spacing w:after="0" w:line="263" w:lineRule="auto"/>
        <w:tabs>
          <w:tab w:leader="none" w:pos="3346" w:val="left"/>
        </w:tabs>
        <w:numPr>
          <w:ilvl w:val="2"/>
          <w:numId w:val="122"/>
        </w:numPr>
        <w:rPr>
          <w:rFonts w:ascii="Arial" w:cs="Arial" w:eastAsia="Arial" w:hAnsi="Arial"/>
          <w:sz w:val="18"/>
          <w:szCs w:val="18"/>
          <w:color w:val="auto"/>
        </w:rPr>
      </w:pPr>
      <w:r>
        <w:rPr>
          <w:rFonts w:ascii="Arial" w:cs="Arial" w:eastAsia="Arial" w:hAnsi="Arial"/>
          <w:sz w:val="18"/>
          <w:szCs w:val="18"/>
          <w:color w:val="auto"/>
        </w:rPr>
        <w:t>have been called for redemption or are to be called for redemption within one year under arrangements satisfactory to the Trustee for the giving of notice of redemption by the Trustee in the name, and at the expense, of the Company, or</w:t>
      </w:r>
    </w:p>
    <w:p>
      <w:pPr>
        <w:spacing w:after="0" w:line="183" w:lineRule="exact"/>
        <w:rPr>
          <w:rFonts w:ascii="Arial" w:cs="Arial" w:eastAsia="Arial" w:hAnsi="Arial"/>
          <w:sz w:val="18"/>
          <w:szCs w:val="18"/>
          <w:color w:val="auto"/>
        </w:rPr>
      </w:pPr>
    </w:p>
    <w:p>
      <w:pPr>
        <w:ind w:left="3120" w:hanging="520"/>
        <w:spacing w:after="0"/>
        <w:tabs>
          <w:tab w:leader="none" w:pos="3120" w:val="left"/>
        </w:tabs>
        <w:numPr>
          <w:ilvl w:val="2"/>
          <w:numId w:val="122"/>
        </w:numPr>
        <w:rPr>
          <w:rFonts w:ascii="Arial" w:cs="Arial" w:eastAsia="Arial" w:hAnsi="Arial"/>
          <w:sz w:val="18"/>
          <w:szCs w:val="18"/>
          <w:color w:val="auto"/>
        </w:rPr>
      </w:pPr>
      <w:r>
        <w:rPr>
          <w:rFonts w:ascii="Arial" w:cs="Arial" w:eastAsia="Arial" w:hAnsi="Arial"/>
          <w:sz w:val="18"/>
          <w:szCs w:val="18"/>
          <w:color w:val="auto"/>
        </w:rPr>
        <w:t>are deemed paid and discharged pursuant to Section 8.3, as applicable;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the Company, in the case of (1), (2) or (3) above, shall have irrevocably deposited or caused to be deposited with the Trustee as trust funds in trust an amount of money or U.S. Government Obligations, which amount shall be sufficient for the purpose of paying and discharging each installment of principal (including mandatory sinking fund or analogous payments) of and interest on all the Securities of such Series on the dates such installments of principal or interest are due;</w:t>
      </w:r>
    </w:p>
    <w:p>
      <w:pPr>
        <w:spacing w:after="0" w:line="187" w:lineRule="exact"/>
        <w:rPr>
          <w:sz w:val="20"/>
          <w:szCs w:val="20"/>
          <w:color w:val="auto"/>
        </w:rPr>
      </w:pPr>
    </w:p>
    <w:p>
      <w:pPr>
        <w:ind w:left="2060" w:hanging="756"/>
        <w:spacing w:after="0"/>
        <w:tabs>
          <w:tab w:leader="none" w:pos="2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225" w:lineRule="exact"/>
        <w:rPr>
          <w:rFonts w:ascii="Arial" w:cs="Arial" w:eastAsia="Arial" w:hAnsi="Arial"/>
          <w:sz w:val="18"/>
          <w:szCs w:val="18"/>
          <w:color w:val="auto"/>
        </w:rPr>
      </w:pPr>
    </w:p>
    <w:p>
      <w:pPr>
        <w:ind w:left="660" w:firstLine="644"/>
        <w:spacing w:after="0" w:line="308" w:lineRule="auto"/>
        <w:tabs>
          <w:tab w:leader="none" w:pos="225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 precedent provided for relating to the satisfaction and discharge contemplated by this Section have been complied with.</w:t>
      </w:r>
    </w:p>
    <w:p>
      <w:pPr>
        <w:spacing w:after="0" w:line="146" w:lineRule="exact"/>
        <w:rPr>
          <w:sz w:val="20"/>
          <w:szCs w:val="20"/>
          <w:color w:val="auto"/>
        </w:rPr>
      </w:pPr>
    </w:p>
    <w:p>
      <w:pPr>
        <w:ind w:right="20" w:firstLine="1296"/>
        <w:spacing w:after="0" w:line="342" w:lineRule="auto"/>
        <w:rPr>
          <w:sz w:val="20"/>
          <w:szCs w:val="20"/>
          <w:color w:val="auto"/>
        </w:rPr>
      </w:pPr>
      <w:r>
        <w:rPr>
          <w:rFonts w:ascii="Arial" w:cs="Arial" w:eastAsia="Arial" w:hAnsi="Arial"/>
          <w:sz w:val="16"/>
          <w:szCs w:val="16"/>
          <w:color w:val="auto"/>
        </w:rPr>
        <w:t>Notwithstanding the satisfaction and discharge of this Indenture, the obligations of the Company to the Trustee under Section 7.7, and, if money shall have been deposited with the Trustee pursuant to clause (a) of this Section, the provisions of Sections 2.4, 2.7, 2.8, 8.2 and 8.5 shall survive.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6" w:name="page157"/>
    <w:bookmarkEnd w:id="156"/>
    <w:p>
      <w:pPr>
        <w:ind w:left="660"/>
        <w:spacing w:after="0"/>
        <w:tabs>
          <w:tab w:leader="none" w:pos="1900" w:val="left"/>
        </w:tabs>
        <w:rPr>
          <w:sz w:val="20"/>
          <w:szCs w:val="20"/>
          <w:color w:val="auto"/>
        </w:rPr>
      </w:pPr>
      <w:r>
        <w:rPr>
          <w:rFonts w:ascii="Arial" w:cs="Arial" w:eastAsia="Arial" w:hAnsi="Arial"/>
          <w:sz w:val="18"/>
          <w:szCs w:val="18"/>
          <w:color w:val="auto"/>
        </w:rPr>
        <w:t>Section 8.2.</w:t>
      </w:r>
      <w:r>
        <w:rPr>
          <w:sz w:val="20"/>
          <w:szCs w:val="20"/>
          <w:color w:val="auto"/>
        </w:rPr>
        <w:tab/>
      </w:r>
      <w:r>
        <w:rPr>
          <w:rFonts w:ascii="Arial" w:cs="Arial" w:eastAsia="Arial" w:hAnsi="Arial"/>
          <w:sz w:val="16"/>
          <w:szCs w:val="16"/>
          <w:u w:val="single" w:color="auto"/>
          <w:color w:val="auto"/>
        </w:rPr>
        <w:t>Application of Trust Funds; Indemnification</w:t>
      </w:r>
      <w:r>
        <w:rPr>
          <w:rFonts w:ascii="Arial" w:cs="Arial" w:eastAsia="Arial" w:hAnsi="Arial"/>
          <w:sz w:val="16"/>
          <w:szCs w:val="16"/>
          <w:color w:val="auto"/>
        </w:rPr>
        <w:t>.</w:t>
      </w:r>
    </w:p>
    <w:p>
      <w:pPr>
        <w:spacing w:after="0" w:line="225" w:lineRule="exact"/>
        <w:rPr>
          <w:sz w:val="20"/>
          <w:szCs w:val="20"/>
          <w:color w:val="auto"/>
        </w:rPr>
      </w:pPr>
    </w:p>
    <w:p>
      <w:pPr>
        <w:jc w:val="both"/>
        <w:ind w:left="660" w:firstLine="644"/>
        <w:spacing w:after="0" w:line="254" w:lineRule="auto"/>
        <w:tabs>
          <w:tab w:leader="none" w:pos="2223"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Subject to the provisions of Section 8.5, all money and U.S. Government Obligations or Foreign Government Obligations deposited with the Trustee pursuant to Section 8.1, 8.3 or 8.4 and all money received by the Trustee in respect of U.S. Government Obligations or Foreign Government Obligations deposited with the Trustee pursuant to Section 8.1, 8.3 or 8.4, shall be held in trust and applied by it, in accordance with the provisions of the Securities and this Indenture, to the payment, either directly or through any Paying Agent (including the Company acting as its own Paying Agent) as the Trustee may determine, to the persons entitled thereto, of the principal and interest for whose payment such money has been deposited with or received by the Trustee or to make mandatory sinking fund payments or analogous payments as contemplated by Sections 8.1, 8.3 or 8.4.</w:t>
      </w:r>
    </w:p>
    <w:p>
      <w:pPr>
        <w:spacing w:after="0" w:line="194" w:lineRule="exact"/>
        <w:rPr>
          <w:rFonts w:ascii="Arial" w:cs="Arial" w:eastAsia="Arial" w:hAnsi="Arial"/>
          <w:sz w:val="18"/>
          <w:szCs w:val="18"/>
          <w:color w:val="auto"/>
        </w:rPr>
      </w:pPr>
    </w:p>
    <w:p>
      <w:pPr>
        <w:jc w:val="both"/>
        <w:ind w:left="660" w:firstLine="644"/>
        <w:spacing w:after="0" w:line="263" w:lineRule="auto"/>
        <w:tabs>
          <w:tab w:leader="none" w:pos="216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shall pay and shall indemnify the Trustee against any tax, fee or other charge imposed on or assessed against U.S. Government Obligations or Foreign Government Obligations deposited pursuant to Sections 8.1, 8.3 or 8.4 or the interest and principal received in respect of such obligations other than any payable by or on behalf of Holders.</w:t>
      </w:r>
    </w:p>
    <w:p>
      <w:pPr>
        <w:spacing w:after="0" w:line="183" w:lineRule="exact"/>
        <w:rPr>
          <w:rFonts w:ascii="Arial" w:cs="Arial" w:eastAsia="Arial" w:hAnsi="Arial"/>
          <w:sz w:val="18"/>
          <w:szCs w:val="18"/>
          <w:color w:val="auto"/>
        </w:rPr>
      </w:pPr>
    </w:p>
    <w:p>
      <w:pPr>
        <w:jc w:val="both"/>
        <w:ind w:left="660" w:firstLine="644"/>
        <w:spacing w:after="0" w:line="273" w:lineRule="auto"/>
        <w:tabs>
          <w:tab w:leader="none" w:pos="2074"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Trustee shall deliver or pay to the Company from time to time upon Company Order any U.S. Government Obligations or Foreign Government Obligations or money held by it as provided in Sections 8.3 or 8.4 which, in the opinion of a nationally recognized firm of independent certified public accountants or investment bank expressed in a written certification thereof delivered to the Trustee, are then in excess of the amount thereof which then would have been required to be deposited for the purpose for which such U.S. Government Obligations or Foreign Government Obligations or money were deposited or received. This provision shall not authorize the sale by the Trustee of any U.S. Government Obligations or Foreign Government Obligations held under this Indenture.</w:t>
      </w:r>
    </w:p>
    <w:p>
      <w:pPr>
        <w:spacing w:after="0" w:line="17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8.3.</w:t>
      </w:r>
      <w:r>
        <w:rPr>
          <w:sz w:val="20"/>
          <w:szCs w:val="20"/>
          <w:color w:val="auto"/>
        </w:rPr>
        <w:tab/>
      </w:r>
      <w:r>
        <w:rPr>
          <w:rFonts w:ascii="Arial" w:cs="Arial" w:eastAsia="Arial" w:hAnsi="Arial"/>
          <w:sz w:val="16"/>
          <w:szCs w:val="16"/>
          <w:u w:val="single" w:color="auto"/>
          <w:color w:val="auto"/>
        </w:rPr>
        <w:t>Legal Defeasance of Securities of any Series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Unless this Section 8.3 is otherwise specified, pursuant to Section 2.2, to be inapplicable to Securities of any Series, the Company shall be deemed to have paid and discharged the entire indebtedness on all the outstanding Securities of any Series on the 91st day after the date of the deposit referred to in subparagraph (d) hereof, and the provisions of this Indenture, as it relates to such outstanding Securities of such Series, shall no longer be in effect (and the Trustee, at the expense of the Company, shall, upon receipt of a Company Order, execute instruments acknowledging the same), except as to:</w:t>
      </w:r>
    </w:p>
    <w:p>
      <w:pPr>
        <w:spacing w:after="0" w:line="188" w:lineRule="exact"/>
        <w:rPr>
          <w:sz w:val="20"/>
          <w:szCs w:val="20"/>
          <w:color w:val="auto"/>
        </w:rPr>
      </w:pPr>
    </w:p>
    <w:p>
      <w:pPr>
        <w:jc w:val="both"/>
        <w:ind w:left="660" w:firstLine="644"/>
        <w:spacing w:after="0" w:line="301" w:lineRule="auto"/>
        <w:tabs>
          <w:tab w:leader="none" w:pos="222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rights of Holders of Securities of such Series to receive, from the trust funds described in subparagraph (d) hereof, (i) payment of the principal of and each installment of principal of and interest on the outstanding Securities of such Series on the Maturity of such principal or installment of principal or interest and (ii) the benefit of any mandatory sinking fund payments applicable to the Securities of such Series on the day on which such payments are due and payable in accordance with the terms of this Indenture and the Securities of such Series;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7" w:name="page158"/>
    <w:bookmarkEnd w:id="157"/>
    <w:p>
      <w:pPr>
        <w:ind w:left="2060" w:hanging="756"/>
        <w:spacing w:after="0"/>
        <w:tabs>
          <w:tab w:leader="none" w:pos="20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provisions of Sections 2.4, 2.5, 2.7, 2.8, 7.7, 8.2, 8.3, 8.5 and 8.6; and</w:t>
      </w:r>
    </w:p>
    <w:p>
      <w:pPr>
        <w:spacing w:after="0" w:line="225" w:lineRule="exact"/>
        <w:rPr>
          <w:rFonts w:ascii="Arial" w:cs="Arial" w:eastAsia="Arial" w:hAnsi="Arial"/>
          <w:sz w:val="18"/>
          <w:szCs w:val="18"/>
          <w:color w:val="auto"/>
        </w:rPr>
      </w:pPr>
    </w:p>
    <w:p>
      <w:pPr>
        <w:ind w:right="440" w:firstLine="1304"/>
        <w:spacing w:after="0" w:line="500" w:lineRule="auto"/>
        <w:tabs>
          <w:tab w:leader="none" w:pos="199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rights, powers, trusts and immunities of the Trustee hereunder and the Company’s obligations in connection therewith; provided that, the following conditions shall have been satisfied:</w:t>
      </w:r>
    </w:p>
    <w:p>
      <w:pPr>
        <w:spacing w:after="0" w:line="1" w:lineRule="exact"/>
        <w:rPr>
          <w:rFonts w:ascii="Arial" w:cs="Arial" w:eastAsia="Arial" w:hAnsi="Arial"/>
          <w:sz w:val="18"/>
          <w:szCs w:val="18"/>
          <w:color w:val="auto"/>
        </w:rPr>
      </w:pPr>
    </w:p>
    <w:p>
      <w:pPr>
        <w:jc w:val="both"/>
        <w:ind w:left="660" w:firstLine="644"/>
        <w:spacing w:after="0" w:line="289" w:lineRule="auto"/>
        <w:tabs>
          <w:tab w:leader="none" w:pos="2057"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Company shall have irrevocably deposited or caused to be deposited (except as provided in Section 8.2(c)) with the Trustee as trust funds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public accountants or investment bank expressed in a written certification thereof delivered to the Trustee, to pay and discharge each installment of principal of and interest, on and any mandatory sinking fund payments in respect of all the Securities of such Series on the dates such installments of principal or interest and such sinking fund payments are due;</w:t>
      </w:r>
    </w:p>
    <w:p>
      <w:pPr>
        <w:spacing w:after="0" w:line="166" w:lineRule="exact"/>
        <w:rPr>
          <w:rFonts w:ascii="Arial" w:cs="Arial" w:eastAsia="Arial" w:hAnsi="Arial"/>
          <w:sz w:val="16"/>
          <w:szCs w:val="16"/>
          <w:color w:val="auto"/>
        </w:rPr>
      </w:pPr>
    </w:p>
    <w:p>
      <w:pPr>
        <w:ind w:left="660" w:firstLine="644"/>
        <w:spacing w:after="0" w:line="277" w:lineRule="auto"/>
        <w:tabs>
          <w:tab w:leader="none" w:pos="2128" w:val="left"/>
        </w:tabs>
        <w:numPr>
          <w:ilvl w:val="0"/>
          <w:numId w:val="126"/>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left="660" w:firstLine="644"/>
        <w:spacing w:after="0" w:line="277" w:lineRule="auto"/>
        <w:tabs>
          <w:tab w:leader="none" w:pos="212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Securities of such Series shall have occurred and be continuing on the date of such deposit or during the period ending on the 91st day after such date;</w:t>
      </w:r>
    </w:p>
    <w:p>
      <w:pPr>
        <w:spacing w:after="0" w:line="170" w:lineRule="exact"/>
        <w:rPr>
          <w:rFonts w:ascii="Arial" w:cs="Arial" w:eastAsia="Arial" w:hAnsi="Arial"/>
          <w:sz w:val="18"/>
          <w:szCs w:val="18"/>
          <w:color w:val="auto"/>
        </w:rPr>
      </w:pPr>
    </w:p>
    <w:p>
      <w:pPr>
        <w:jc w:val="both"/>
        <w:ind w:left="660" w:firstLine="644"/>
        <w:spacing w:after="0" w:line="273" w:lineRule="auto"/>
        <w:tabs>
          <w:tab w:leader="none" w:pos="2165"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to the effect that (i) the Company has received from, or there has been published by, the Internal Revenue Service a ruling, or (ii) since the date of execution of this Indenture, there has been a change in the applicable Federal income tax law, in either case to the effect that, and based thereon such Opinion of Counsel shall confirm that, the Holders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8" w:name="page159"/>
    <w:bookmarkEnd w:id="158"/>
    <w:p>
      <w:pPr>
        <w:ind w:left="660" w:right="20" w:firstLine="644"/>
        <w:spacing w:after="0" w:line="277" w:lineRule="auto"/>
        <w:tabs>
          <w:tab w:leader="none" w:pos="207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that the deposit was not made by the Company with the intent of defeating, hindering, delaying or defrauding any other creditors of the Company; and</w:t>
      </w:r>
    </w:p>
    <w:p>
      <w:pPr>
        <w:spacing w:after="0" w:line="170" w:lineRule="exact"/>
        <w:rPr>
          <w:rFonts w:ascii="Arial" w:cs="Arial" w:eastAsia="Arial" w:hAnsi="Arial"/>
          <w:sz w:val="18"/>
          <w:szCs w:val="18"/>
          <w:color w:val="auto"/>
        </w:rPr>
      </w:pPr>
    </w:p>
    <w:p>
      <w:pPr>
        <w:ind w:left="660" w:firstLine="644"/>
        <w:spacing w:after="0" w:line="277" w:lineRule="auto"/>
        <w:tabs>
          <w:tab w:leader="none" w:pos="226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each stating that all conditions precedent provided for relating to the defeasance contemplated by this Section have been complied with.</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8.4.</w:t>
      </w:r>
      <w:r>
        <w:rPr>
          <w:sz w:val="20"/>
          <w:szCs w:val="20"/>
          <w:color w:val="auto"/>
        </w:rPr>
        <w:tab/>
      </w:r>
      <w:r>
        <w:rPr>
          <w:rFonts w:ascii="Arial" w:cs="Arial" w:eastAsia="Arial" w:hAnsi="Arial"/>
          <w:sz w:val="15"/>
          <w:szCs w:val="15"/>
          <w:u w:val="single" w:color="auto"/>
          <w:color w:val="auto"/>
        </w:rPr>
        <w:t>Covenant Defeasance</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Unless this Section 8.4 is otherwise specified pursuant to Section 2.2 to be inapplicable to Securities of any Series, the Company may omit to comply with respect to the Securities of any Series with any term, provision or condition set forth under Sections 4.2, 4.3, 4.4 and 5.1 and, unless otherwise specified therein, any additional covenants specified in a supplemental indenture for such Series of Securities or a Board Resolution or an Officer’s Certificate delivered pursuant to Section 2.2 (and the failure to comply with any such covenants shall not constitute a Default or Event of Default with respect to such Series under Section 6.1) and the occurrence of any event specified in a supplemental indenture for such Series of Securities or a Board Resolution or an Officer’s Certificate delivered pursuant to Section 2.2 and designated as an Event of Default shall not constitute a Default or Event of Default hereunder, with respect to the Securities of such Series, but, except as specified above, the remainder of this Indenture and such Securities will be unaffected thereby; provided that the following conditions shall have been satisfied:</w:t>
      </w:r>
    </w:p>
    <w:p>
      <w:pPr>
        <w:spacing w:after="0" w:line="178" w:lineRule="exact"/>
        <w:rPr>
          <w:sz w:val="20"/>
          <w:szCs w:val="20"/>
          <w:color w:val="auto"/>
        </w:rPr>
      </w:pPr>
    </w:p>
    <w:p>
      <w:pPr>
        <w:jc w:val="both"/>
        <w:ind w:left="660" w:firstLine="644"/>
        <w:spacing w:after="0" w:line="269" w:lineRule="auto"/>
        <w:tabs>
          <w:tab w:leader="none" w:pos="2182" w:val="left"/>
        </w:tabs>
        <w:numPr>
          <w:ilvl w:val="0"/>
          <w:numId w:val="128"/>
        </w:numPr>
        <w:rPr>
          <w:rFonts w:ascii="Arial" w:cs="Arial" w:eastAsia="Arial" w:hAnsi="Arial"/>
          <w:sz w:val="17"/>
          <w:szCs w:val="17"/>
          <w:color w:val="auto"/>
        </w:rPr>
      </w:pPr>
      <w:r>
        <w:rPr>
          <w:rFonts w:ascii="Arial" w:cs="Arial" w:eastAsia="Arial" w:hAnsi="Arial"/>
          <w:sz w:val="17"/>
          <w:szCs w:val="17"/>
          <w:color w:val="auto"/>
        </w:rPr>
        <w:t>with reference to this Section 8.4, the Company has irrevocably deposited or caused to be irrevocably deposited (except as provided in Section 8.2(c)) with the Trustee as trust funds in trust for the purpose of making the following payments specifically pledged as security for, and dedicated solely to, the benefit of the Holders of such Securities (i) in the case of Securities of such Series denominated in Dollars, cash in Dollars and/or U.S. Government Obligations, or (ii) in the case of Securities of such Series denominated in a Foreign Currency (other than a composite currency), money and/or Foreign Government Obligations, which through the payment of interest and principal in respect thereof in accordance with their terms, will provide (and without reinvestment and assuming no tax liability will be imposed on such Trustee), not later than one day before the due date of any payment of money, an amount in cash, sufficient, in the opinion of a nationally recognized firm of independent certified public accountants or investment bank expressed in a written certification thereof delivered to the Trustee, to pay and discharge each installment of principal (including mandatory sinking fund or analogous payments) of and interest on all the Securities of such Series on the dates such installments of principal or interest are due;</w:t>
      </w:r>
    </w:p>
    <w:p>
      <w:pPr>
        <w:spacing w:after="0" w:line="185" w:lineRule="exact"/>
        <w:rPr>
          <w:rFonts w:ascii="Arial" w:cs="Arial" w:eastAsia="Arial" w:hAnsi="Arial"/>
          <w:sz w:val="17"/>
          <w:szCs w:val="17"/>
          <w:color w:val="auto"/>
        </w:rPr>
      </w:pPr>
    </w:p>
    <w:p>
      <w:pPr>
        <w:ind w:left="660" w:firstLine="644"/>
        <w:spacing w:after="0" w:line="277" w:lineRule="auto"/>
        <w:tabs>
          <w:tab w:leader="none" w:pos="213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or any other agreement or instrument to which the Company is a party or by which it is bound;</w:t>
      </w:r>
    </w:p>
    <w:p>
      <w:pPr>
        <w:spacing w:after="0" w:line="170" w:lineRule="exact"/>
        <w:rPr>
          <w:rFonts w:ascii="Arial" w:cs="Arial" w:eastAsia="Arial" w:hAnsi="Arial"/>
          <w:sz w:val="18"/>
          <w:szCs w:val="18"/>
          <w:color w:val="auto"/>
        </w:rPr>
      </w:pPr>
    </w:p>
    <w:p>
      <w:pPr>
        <w:ind w:left="2140" w:hanging="836"/>
        <w:spacing w:after="0"/>
        <w:tabs>
          <w:tab w:leader="none" w:pos="214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Securities of such Series shall have occurred and be continuing on the date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such deposit;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9" w:name="page160"/>
    <w:bookmarkEnd w:id="159"/>
    <w:p>
      <w:pPr>
        <w:jc w:val="both"/>
        <w:ind w:left="660" w:firstLine="644"/>
        <w:spacing w:after="0" w:line="259" w:lineRule="auto"/>
        <w:tabs>
          <w:tab w:leader="none" w:pos="224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and an Opinion of Counsel to the effect that the Holders of the Securities of such Series will not recognize income, gain or loss for Federal income tax purposes as a result of such deposit and covenant defeasance and will be subject to Federal income tax on the same amount and in the same manner and at the same times as would have been the case if such deposit and covenant defeasance had not occurred;</w:t>
      </w:r>
    </w:p>
    <w:p>
      <w:pPr>
        <w:spacing w:after="0" w:line="186" w:lineRule="exact"/>
        <w:rPr>
          <w:rFonts w:ascii="Arial" w:cs="Arial" w:eastAsia="Arial" w:hAnsi="Arial"/>
          <w:sz w:val="18"/>
          <w:szCs w:val="18"/>
          <w:color w:val="auto"/>
        </w:rPr>
      </w:pPr>
    </w:p>
    <w:p>
      <w:pPr>
        <w:ind w:left="660" w:firstLine="644"/>
        <w:spacing w:after="0" w:line="277" w:lineRule="auto"/>
        <w:tabs>
          <w:tab w:leader="none" w:pos="216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 shall have delivered to the Trustee an Officer’s Certificate stating the deposit was not made by the Company with the intent of defeating, hindering, delaying or defrauding any other creditors of the Company; and</w:t>
      </w:r>
    </w:p>
    <w:p>
      <w:pPr>
        <w:spacing w:after="0" w:line="170" w:lineRule="exact"/>
        <w:rPr>
          <w:rFonts w:ascii="Arial" w:cs="Arial" w:eastAsia="Arial" w:hAnsi="Arial"/>
          <w:sz w:val="18"/>
          <w:szCs w:val="18"/>
          <w:color w:val="auto"/>
        </w:rPr>
      </w:pPr>
    </w:p>
    <w:p>
      <w:pPr>
        <w:ind w:left="660" w:firstLine="644"/>
        <w:spacing w:after="0" w:line="308" w:lineRule="auto"/>
        <w:tabs>
          <w:tab w:leader="none" w:pos="221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Company shall have delivered to the Trustee an Officer’s Certificate and an Opinion of Counsel, each stating that all conditions precedent herein provided for relating to the covenant defeasance contemplated by this Section have been complied with.</w:t>
      </w:r>
    </w:p>
    <w:p>
      <w:pPr>
        <w:spacing w:after="0" w:line="14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8.5.</w:t>
      </w:r>
      <w:r>
        <w:rPr>
          <w:sz w:val="20"/>
          <w:szCs w:val="20"/>
          <w:color w:val="auto"/>
        </w:rPr>
        <w:tab/>
      </w:r>
      <w:r>
        <w:rPr>
          <w:rFonts w:ascii="Arial" w:cs="Arial" w:eastAsia="Arial" w:hAnsi="Arial"/>
          <w:sz w:val="16"/>
          <w:szCs w:val="16"/>
          <w:u w:val="single" w:color="auto"/>
          <w:color w:val="auto"/>
        </w:rPr>
        <w:t>Repayment to Company</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Subject to applicable abandoned property law, the Trustee and the Paying Agent shall pay to the Company upon request any money held by them for the payment of principal and interest that remains unclaimed for two years. After that, Securityholders entitled to the money must look to the Company for payment as general creditors unless an applicable abandoned property law designates another person.</w:t>
      </w:r>
    </w:p>
    <w:p>
      <w:pPr>
        <w:spacing w:after="0" w:line="165"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8.6.</w:t>
      </w:r>
      <w:r>
        <w:rPr>
          <w:sz w:val="20"/>
          <w:szCs w:val="20"/>
          <w:color w:val="auto"/>
        </w:rPr>
        <w:tab/>
      </w:r>
      <w:r>
        <w:rPr>
          <w:rFonts w:ascii="Arial" w:cs="Arial" w:eastAsia="Arial" w:hAnsi="Arial"/>
          <w:sz w:val="15"/>
          <w:szCs w:val="15"/>
          <w:u w:val="single" w:color="auto"/>
          <w:color w:val="auto"/>
        </w:rPr>
        <w:t>Reinstatement</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If the Trustee or the Paying Agent is unable to apply any money deposited with respect to Securities of any Series in accordance with Section 8.1 by reason of any legal proceeding or by reason of any order or judgment of any court or governmental authority enjoining, restraining or otherwise prohibiting such application, the obligations of the Company under this Indenture with respect to the Securities of such Series and under the Securities of such Series shall be revived and reinstated as though no deposit had occurred pursuant to Section 8.1 until such time as the Trustee or the Paying Agent is permitted to apply all such money in accordance with Section 8.1;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Company has made any payment of principal of or interest on or any Additional Amounts with respect to any Securities because of the reinstatement of its obligations, the Company shall be subrogated to the rights of the Holders of such Securities to receive such payment from the money or U.S. Government Obligations held by the Trustee or Paying Agent after payment in full to the Holders.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AMENDMENTS AND WAIVERS</w:t>
      </w:r>
    </w:p>
    <w:p>
      <w:pPr>
        <w:spacing w:after="0" w:line="21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9.1.</w:t>
      </w:r>
      <w:r>
        <w:rPr>
          <w:sz w:val="20"/>
          <w:szCs w:val="20"/>
          <w:color w:val="auto"/>
        </w:rPr>
        <w:tab/>
      </w:r>
      <w:r>
        <w:rPr>
          <w:rFonts w:ascii="Arial" w:cs="Arial" w:eastAsia="Arial" w:hAnsi="Arial"/>
          <w:sz w:val="16"/>
          <w:szCs w:val="16"/>
          <w:u w:val="single" w:color="auto"/>
          <w:color w:val="auto"/>
        </w:rPr>
        <w:t>Without Consent of Holders</w:t>
      </w:r>
      <w:r>
        <w:rPr>
          <w:rFonts w:ascii="Arial" w:cs="Arial" w:eastAsia="Arial" w:hAnsi="Arial"/>
          <w:sz w:val="16"/>
          <w:szCs w:val="16"/>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Company and the Trustee may amend or supplement this Indenture or the Securities of one or more Series without the consent of 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Securityholder:</w:t>
      </w:r>
    </w:p>
    <w:p>
      <w:pPr>
        <w:spacing w:after="0" w:line="211" w:lineRule="exact"/>
        <w:rPr>
          <w:sz w:val="20"/>
          <w:szCs w:val="20"/>
          <w:color w:val="auto"/>
        </w:rPr>
      </w:pPr>
    </w:p>
    <w:p>
      <w:pPr>
        <w:ind w:left="2040" w:hanging="736"/>
        <w:spacing w:after="0"/>
        <w:tabs>
          <w:tab w:leader="none" w:pos="204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0" w:name="page161"/>
    <w:bookmarkEnd w:id="160"/>
    <w:p>
      <w:pPr>
        <w:ind w:left="2060" w:hanging="756"/>
        <w:spacing w:after="0"/>
        <w:tabs>
          <w:tab w:leader="none" w:pos="20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comply with Article V;</w:t>
      </w:r>
    </w:p>
    <w:p>
      <w:pPr>
        <w:spacing w:after="0" w:line="225" w:lineRule="exact"/>
        <w:rPr>
          <w:rFonts w:ascii="Arial" w:cs="Arial" w:eastAsia="Arial" w:hAnsi="Arial"/>
          <w:sz w:val="18"/>
          <w:szCs w:val="18"/>
          <w:color w:val="auto"/>
        </w:rPr>
      </w:pPr>
    </w:p>
    <w:p>
      <w:pPr>
        <w:ind w:left="2040" w:hanging="736"/>
        <w:spacing w:after="0"/>
        <w:tabs>
          <w:tab w:leader="none" w:pos="20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add guarantees with respect to Securities of any Series or secure Securities of any Series;</w:t>
      </w:r>
    </w:p>
    <w:p>
      <w:pPr>
        <w:spacing w:after="0" w:line="225" w:lineRule="exact"/>
        <w:rPr>
          <w:rFonts w:ascii="Arial" w:cs="Arial" w:eastAsia="Arial" w:hAnsi="Arial"/>
          <w:sz w:val="18"/>
          <w:szCs w:val="18"/>
          <w:color w:val="auto"/>
        </w:rPr>
      </w:pPr>
    </w:p>
    <w:p>
      <w:pPr>
        <w:ind w:left="2040" w:hanging="736"/>
        <w:spacing w:after="0"/>
        <w:tabs>
          <w:tab w:leader="none" w:pos="204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surrender any of the Company’s rights or powers under this Indenture;</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Securities of any Series;</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w:t>
      </w:r>
    </w:p>
    <w:p>
      <w:pPr>
        <w:spacing w:after="0" w:line="225" w:lineRule="exact"/>
        <w:rPr>
          <w:rFonts w:ascii="Arial" w:cs="Arial" w:eastAsia="Arial" w:hAnsi="Arial"/>
          <w:sz w:val="18"/>
          <w:szCs w:val="18"/>
          <w:color w:val="auto"/>
        </w:rPr>
      </w:pPr>
    </w:p>
    <w:p>
      <w:pPr>
        <w:ind w:left="2080" w:hanging="776"/>
        <w:spacing w:after="0"/>
        <w:tabs>
          <w:tab w:leader="none" w:pos="208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Securities of any Series as permitted by this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Indenture;</w:t>
      </w:r>
    </w:p>
    <w:p>
      <w:pPr>
        <w:spacing w:after="0" w:line="210" w:lineRule="exact"/>
        <w:rPr>
          <w:rFonts w:ascii="Arial" w:cs="Arial" w:eastAsia="Arial" w:hAnsi="Arial"/>
          <w:sz w:val="16"/>
          <w:szCs w:val="16"/>
          <w:color w:val="auto"/>
        </w:rPr>
      </w:pPr>
    </w:p>
    <w:p>
      <w:pPr>
        <w:jc w:val="both"/>
        <w:ind w:left="660" w:firstLine="644"/>
        <w:spacing w:after="0" w:line="263" w:lineRule="auto"/>
        <w:tabs>
          <w:tab w:leader="none" w:pos="2143"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or</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to comply with requirements of the SEC in order to effect or maintain the qualification of this Indenture under the TIA.</w:t>
      </w:r>
    </w:p>
    <w:p>
      <w:pPr>
        <w:spacing w:after="0" w:line="236"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Section 9.2.</w:t>
      </w:r>
      <w:r>
        <w:rPr>
          <w:rFonts w:ascii="Arial" w:cs="Arial" w:eastAsia="Arial" w:hAnsi="Arial"/>
          <w:sz w:val="16"/>
          <w:szCs w:val="16"/>
          <w:u w:val="single" w:color="auto"/>
          <w:color w:val="auto"/>
        </w:rPr>
        <w:t>With Consent of Holders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The Company and the Trustee may enter into a supplemental indenture with the written consent of the Holders of at least a majority in principal amount of the outstanding Securities of each Series affected by such supplemental indenture (including consents obtained in connection with a tender offer or exchange offer for the Securities of such Series), for the purpose of adding any provisions to or changing in any manner or eliminating any of the provisions of this Indenture or of any supplemental indenture or of modifying in any manner the rights of the Securityholders of each such Series. Except as provided in Section 6.13, the Holders of at least a majority in principal amount of the outstanding Securities of any Series by notice to the Trustee (including consents obtained in connection with a tender offer or exchange offer for the Securities of such Series) may waive compliance by the Company with any provision of this Indenture or the Securities with respect to such Series.</w:t>
      </w:r>
    </w:p>
    <w:p>
      <w:pPr>
        <w:spacing w:after="0" w:line="17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It shall not be necessary for the consent of the Holders of Securities under this Section 9.2 to approve the particular form of any proposed supplemental indenture or waiver, but it shall be sufficient if such consent approves the substance thereof. After a supplemental indenture or waiver under this section becomes effective, the Company shall send to the Holders of Securities affected thereby, a notice briefly describing the supplemental indenture or waiver. Any failure by the Company to send such notice, or any defect therein, shall not, however, in any way impair or affect the validity of any such supplemental indenture or waiver.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61" w:name="page162"/>
    <w:bookmarkEnd w:id="161"/>
    <w:p>
      <w:pPr>
        <w:ind w:left="660"/>
        <w:spacing w:after="0"/>
        <w:tabs>
          <w:tab w:leader="none" w:pos="1900" w:val="left"/>
        </w:tabs>
        <w:rPr>
          <w:sz w:val="20"/>
          <w:szCs w:val="20"/>
          <w:color w:val="auto"/>
        </w:rPr>
      </w:pPr>
      <w:r>
        <w:rPr>
          <w:rFonts w:ascii="Arial" w:cs="Arial" w:eastAsia="Arial" w:hAnsi="Arial"/>
          <w:sz w:val="18"/>
          <w:szCs w:val="18"/>
          <w:color w:val="auto"/>
        </w:rPr>
        <w:t>Section 9.3.</w:t>
      </w:r>
      <w:r>
        <w:rPr>
          <w:sz w:val="20"/>
          <w:szCs w:val="20"/>
          <w:color w:val="auto"/>
        </w:rPr>
        <w:tab/>
      </w:r>
      <w:r>
        <w:rPr>
          <w:rFonts w:ascii="Arial" w:cs="Arial" w:eastAsia="Arial" w:hAnsi="Arial"/>
          <w:sz w:val="17"/>
          <w:szCs w:val="17"/>
          <w:u w:val="single" w:color="auto"/>
          <w:color w:val="auto"/>
        </w:rPr>
        <w:t>Limitations</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Without the consent of each Securityholder affected, an amendment or waiver may not:</w:t>
      </w:r>
    </w:p>
    <w:p>
      <w:pPr>
        <w:spacing w:after="0" w:line="225" w:lineRule="exact"/>
        <w:rPr>
          <w:sz w:val="20"/>
          <w:szCs w:val="20"/>
          <w:color w:val="auto"/>
        </w:rPr>
      </w:pPr>
    </w:p>
    <w:p>
      <w:pPr>
        <w:ind w:left="2040" w:hanging="736"/>
        <w:spacing w:after="0"/>
        <w:tabs>
          <w:tab w:leader="none" w:pos="204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reduce the principal amount of Securities whose Holders must consent to an amendment, supplement or waiver;</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Security;</w:t>
      </w:r>
    </w:p>
    <w:p>
      <w:pPr>
        <w:spacing w:after="0" w:line="225" w:lineRule="exact"/>
        <w:rPr>
          <w:rFonts w:ascii="Arial" w:cs="Arial" w:eastAsia="Arial" w:hAnsi="Arial"/>
          <w:sz w:val="18"/>
          <w:szCs w:val="18"/>
          <w:color w:val="auto"/>
        </w:rPr>
      </w:pPr>
    </w:p>
    <w:p>
      <w:pPr>
        <w:ind w:left="660" w:right="20" w:firstLine="644"/>
        <w:spacing w:after="0" w:line="277" w:lineRule="auto"/>
        <w:tabs>
          <w:tab w:leader="none" w:pos="2101"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reduce the principal or change the Stated Maturity of any Security or reduce the amount of, or postpone the date fixed for, the payment of any sinking fund or analogous obligation;</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the maturity thereof;</w:t>
      </w:r>
    </w:p>
    <w:p>
      <w:pPr>
        <w:spacing w:after="0" w:line="225" w:lineRule="exact"/>
        <w:rPr>
          <w:rFonts w:ascii="Arial" w:cs="Arial" w:eastAsia="Arial" w:hAnsi="Arial"/>
          <w:sz w:val="18"/>
          <w:szCs w:val="18"/>
          <w:color w:val="auto"/>
        </w:rPr>
      </w:pPr>
    </w:p>
    <w:p>
      <w:pPr>
        <w:jc w:val="both"/>
        <w:ind w:left="660" w:firstLine="644"/>
        <w:spacing w:after="0" w:line="263" w:lineRule="auto"/>
        <w:tabs>
          <w:tab w:leader="none" w:pos="2047" w:val="left"/>
        </w:tabs>
        <w:numPr>
          <w:ilvl w:val="0"/>
          <w:numId w:val="132"/>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the principal of or interest, if any, on any Security (except a rescission of acceleration of the Securities of any Series by the Holders of at least a majority in principal amount of the outstanding Securities of such Series and a waiver of the payment default that resulted from such acceleration);</w:t>
      </w:r>
    </w:p>
    <w:p>
      <w:pPr>
        <w:spacing w:after="0" w:line="183" w:lineRule="exact"/>
        <w:rPr>
          <w:rFonts w:ascii="Arial" w:cs="Arial" w:eastAsia="Arial" w:hAnsi="Arial"/>
          <w:sz w:val="18"/>
          <w:szCs w:val="18"/>
          <w:color w:val="auto"/>
        </w:rPr>
      </w:pPr>
    </w:p>
    <w:p>
      <w:pPr>
        <w:ind w:left="2060" w:hanging="756"/>
        <w:spacing w:after="0"/>
        <w:tabs>
          <w:tab w:leader="none" w:pos="20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make the principal of or interest, if any, on any Security payable in any currency other than that stated in the Security;</w:t>
      </w:r>
    </w:p>
    <w:p>
      <w:pPr>
        <w:spacing w:after="0" w:line="236" w:lineRule="exact"/>
        <w:rPr>
          <w:rFonts w:ascii="Arial" w:cs="Arial" w:eastAsia="Arial" w:hAnsi="Arial"/>
          <w:sz w:val="17"/>
          <w:szCs w:val="17"/>
          <w:color w:val="auto"/>
        </w:rPr>
      </w:pPr>
    </w:p>
    <w:p>
      <w:pPr>
        <w:ind w:left="2060" w:hanging="756"/>
        <w:spacing w:after="0"/>
        <w:tabs>
          <w:tab w:leader="none" w:pos="20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make any change in Sections 6.8, 6.13 or 9.3 (this sentence); or</w:t>
      </w:r>
    </w:p>
    <w:p>
      <w:pPr>
        <w:spacing w:after="0" w:line="225" w:lineRule="exact"/>
        <w:rPr>
          <w:rFonts w:ascii="Arial" w:cs="Arial" w:eastAsia="Arial" w:hAnsi="Arial"/>
          <w:sz w:val="18"/>
          <w:szCs w:val="18"/>
          <w:color w:val="auto"/>
        </w:rPr>
      </w:pPr>
    </w:p>
    <w:p>
      <w:pPr>
        <w:ind w:left="2060" w:hanging="756"/>
        <w:spacing w:after="0"/>
        <w:tabs>
          <w:tab w:leader="none" w:pos="20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waive a redemption payment with respect to any Security, provided that such redemption is made at the Company’s option.</w:t>
      </w:r>
    </w:p>
    <w:p>
      <w:pPr>
        <w:spacing w:after="0" w:line="248"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Section 9.4.</w:t>
      </w:r>
      <w:r>
        <w:rPr>
          <w:rFonts w:ascii="Arial" w:cs="Arial" w:eastAsia="Arial" w:hAnsi="Arial"/>
          <w:sz w:val="16"/>
          <w:szCs w:val="16"/>
          <w:u w:val="single" w:color="auto"/>
          <w:color w:val="auto"/>
        </w:rPr>
        <w:t>Compliance with Trust Indenture Act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Every amendment to this Indenture or the Securities of one or more Series shall be set forth in a supplemental indenture hereto that complies with the TIA as then in effect.</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9.5.</w:t>
      </w:r>
      <w:r>
        <w:rPr>
          <w:sz w:val="20"/>
          <w:szCs w:val="20"/>
          <w:color w:val="auto"/>
        </w:rPr>
        <w:tab/>
      </w:r>
      <w:r>
        <w:rPr>
          <w:rFonts w:ascii="Arial" w:cs="Arial" w:eastAsia="Arial" w:hAnsi="Arial"/>
          <w:sz w:val="16"/>
          <w:szCs w:val="16"/>
          <w:u w:val="single" w:color="auto"/>
          <w:color w:val="auto"/>
        </w:rPr>
        <w:t>Revocation and Effect of Consents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Until an amendment is set forth in a supplemental indenture or a waiver becomes effective, a consent to it by a Holder of a Security is a continuing consent by the Holder and every subsequent Holder of a Security or portion of a Security that evidences the same debt as the consenting Holder’s Security, even if notation of the consent is not made on any Security. However, any such Holder or subsequent Holder may revoke the consent as to his Security or portion of a Security if the Trustee receives the notice of revocation before the date of the supplemental indenture or the date the waiver becomes effective.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2" w:name="page163"/>
    <w:bookmarkEnd w:id="162"/>
    <w:p>
      <w:pPr>
        <w:jc w:val="both"/>
        <w:ind w:firstLine="1296"/>
        <w:spacing w:after="0" w:line="311" w:lineRule="auto"/>
        <w:rPr>
          <w:sz w:val="20"/>
          <w:szCs w:val="20"/>
          <w:color w:val="auto"/>
        </w:rPr>
      </w:pPr>
      <w:r>
        <w:rPr>
          <w:rFonts w:ascii="Arial" w:cs="Arial" w:eastAsia="Arial" w:hAnsi="Arial"/>
          <w:sz w:val="16"/>
          <w:szCs w:val="16"/>
          <w:color w:val="auto"/>
        </w:rPr>
        <w:t>Any amendment or waiver once effective shall bind every Securityholder of each Series affected by such amendment or waiver unless it is of the type described in any of clauses (a) through (h) of Section 9.3. In that case, the amendment or waiver shall bind each Holder of a Security who has consented to it and every subsequent Holder of a Security or portion of a Security that evidences the same debt as the consenting Holder’s Security.</w:t>
      </w:r>
    </w:p>
    <w:p>
      <w:pPr>
        <w:spacing w:after="0" w:line="149"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second immediately preceding paragraph, those Persons who were Holders at such record date (or their duly designated proxies), and only those persons, shall be entitled to give such consent or to revoke any consent previously given or take any such action, whether or not such Persons continue to be Holders after such record date. No such consent shall be valid or effective for more than 120 days after such record date.</w:t>
      </w:r>
    </w:p>
    <w:p>
      <w:pPr>
        <w:spacing w:after="0" w:line="16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9.6.</w:t>
      </w:r>
      <w:r>
        <w:rPr>
          <w:sz w:val="20"/>
          <w:szCs w:val="20"/>
          <w:color w:val="auto"/>
        </w:rPr>
        <w:tab/>
      </w:r>
      <w:r>
        <w:rPr>
          <w:rFonts w:ascii="Arial" w:cs="Arial" w:eastAsia="Arial" w:hAnsi="Arial"/>
          <w:sz w:val="16"/>
          <w:szCs w:val="16"/>
          <w:u w:val="single" w:color="auto"/>
          <w:color w:val="auto"/>
        </w:rPr>
        <w:t>Notation on or Exchange of Securities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Company or the Trustee may place an appropriate notation about an amendment or waiver on any Security of any Series thereafter authenticated. The Company in exchange for Securities of that Series may issue and the Trustee shall authenticate upon receipt of a Company Order in accordance with Section 2.3 new Securities of that Series that reflect the amendment or waiver.</w:t>
      </w:r>
    </w:p>
    <w:p>
      <w:pPr>
        <w:spacing w:after="0" w:line="18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9.7.</w:t>
      </w:r>
      <w:r>
        <w:rPr>
          <w:sz w:val="20"/>
          <w:szCs w:val="20"/>
          <w:color w:val="auto"/>
        </w:rPr>
        <w:tab/>
      </w:r>
      <w:r>
        <w:rPr>
          <w:rFonts w:ascii="Arial" w:cs="Arial" w:eastAsia="Arial" w:hAnsi="Arial"/>
          <w:sz w:val="15"/>
          <w:szCs w:val="15"/>
          <w:u w:val="single" w:color="auto"/>
          <w:color w:val="auto"/>
        </w:rPr>
        <w:t>Trustee Protected</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In executing, or accepting the additional trusts created by, any supplemental indenture permitted by this Article or the modifications thereby of the trusts created by this Indenture, the Trustee shall be entitled to receive, and (subject to Section 7.1) shall be fully protected in relying upon, an Officer’s Certificate or an Opinion of Counsel or both complying with Section 10.4. The Trustee shall sign all supplemental indentures upon delivery of such an Officer’s Certificate or Opinion of Counsel or both, except that the Trustee need not sign any supplemental indenture that adversely affects its rights, duties, liabilities or immunities under this Indenture.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color w:val="auto"/>
        </w:rPr>
        <w:t>ARTICLE X.</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Trust Indenture Act Controls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If any provision of this Indenture limits, qualifies, or conflicts with another provision which is required or deemed to be included in this Indenture by the TIA, such required or deemed provision shall control.</w:t>
      </w:r>
    </w:p>
    <w:p>
      <w:pPr>
        <w:spacing w:after="0" w:line="17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Any notice or communication by the Company or the Trustee to the other, or by a Holder to the Company or the Trustee, is duly given if in writing and delivered in person or mailed by first-class mail (registered or certified, return receipt requested), facsimile transmission, email or overnight air courier guaranteeing next day delivery, to the others’ address: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7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Verona Pharma PLC</w:t>
      </w:r>
    </w:p>
    <w:p>
      <w:pPr>
        <w:spacing w:after="0" w:line="3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3 More London Riverside</w:t>
      </w:r>
    </w:p>
    <w:p>
      <w:pPr>
        <w:spacing w:after="0" w:line="3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London SE1 2RE</w:t>
      </w:r>
    </w:p>
    <w:p>
      <w:pPr>
        <w:spacing w:after="0" w:line="3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United Kingdom</w:t>
      </w:r>
    </w:p>
    <w:p>
      <w:pPr>
        <w:spacing w:after="0" w:line="3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Attention: Mark Hahn, CFO</w:t>
      </w:r>
    </w:p>
    <w:p>
      <w:pPr>
        <w:spacing w:after="0" w:line="3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Telephone: +(44) 203 283 4200</w:t>
      </w:r>
    </w:p>
    <w:p>
      <w:pPr>
        <w:spacing w:after="0" w:line="3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legal@veronapharma.com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Latham &amp; Watkins LLP</w:t>
      </w:r>
    </w:p>
    <w:p>
      <w:pPr>
        <w:spacing w:after="0" w:line="3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200 Clarendon Street</w:t>
      </w:r>
    </w:p>
    <w:p>
      <w:pPr>
        <w:spacing w:after="0" w:line="3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Boston, Massachusetts 02116</w:t>
      </w:r>
    </w:p>
    <w:p>
      <w:pPr>
        <w:spacing w:after="0" w:line="3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Attention: Peter N. Handrinos</w:t>
      </w:r>
    </w:p>
    <w:p>
      <w:pPr>
        <w:spacing w:after="0" w:line="3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Telephone: +1 617 948-6000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if to the Trustee:</w:t>
      </w:r>
    </w:p>
    <w:p>
      <w:pPr>
        <w:spacing w:after="0" w:line="27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[_____]</w:t>
      </w:r>
    </w:p>
    <w:p>
      <w:pPr>
        <w:spacing w:after="0" w:line="3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Attention: [____]</w:t>
      </w:r>
    </w:p>
    <w:p>
      <w:pPr>
        <w:spacing w:after="0" w:line="3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Telephone: [____]</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79"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[_____]</w:t>
      </w:r>
    </w:p>
    <w:p>
      <w:pPr>
        <w:spacing w:after="0" w:line="3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Attention: [____]</w:t>
      </w:r>
    </w:p>
    <w:p>
      <w:pPr>
        <w:spacing w:after="0" w:line="3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Telephone: [____]</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or the Trustee by notice to the other may designate additional or different addresses for subsequent notices 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communications.</w:t>
      </w:r>
    </w:p>
    <w:p>
      <w:pPr>
        <w:spacing w:after="0" w:line="21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Any notice or communication to a Securityholder shall be sent electronically or by first-class mail to his, her or its address shown on the register kept by the Registrar, in accordance with the procedures of the Depositary. Failure to send a notice or communication to a Securityholder of any Series or any defect in it shall not affect its sufficiency with respect to other Securityholders of that or any other Series.</w:t>
      </w:r>
    </w:p>
    <w:p>
      <w:pPr>
        <w:spacing w:after="0" w:line="16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If a notice or communication is sent or published in the manner provided above, within the time prescribed, it is duly given, whether or not the Securityholder receives it.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4" w:name="page165"/>
    <w:bookmarkEnd w:id="164"/>
    <w:p>
      <w:pPr>
        <w:ind w:left="1300"/>
        <w:spacing w:after="0"/>
        <w:rPr>
          <w:sz w:val="20"/>
          <w:szCs w:val="20"/>
          <w:color w:val="auto"/>
        </w:rPr>
      </w:pPr>
      <w:r>
        <w:rPr>
          <w:rFonts w:ascii="Arial" w:cs="Arial" w:eastAsia="Arial" w:hAnsi="Arial"/>
          <w:sz w:val="16"/>
          <w:szCs w:val="16"/>
          <w:color w:val="auto"/>
        </w:rPr>
        <w:t>If the Company sends a notice or communication to Securityholders, it shall send a copy to the Trustee and each Agent at the same time.</w:t>
      </w:r>
    </w:p>
    <w:p>
      <w:pPr>
        <w:spacing w:after="0" w:line="248"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Notwithstanding any other provision of this Indenture or any Security, where this Indenture or any Security provides for notice of any event (including any notice of redemption) to a Holder of a Global Security (whether by mail or otherwise), such notice shall be sufficiently given to the Depositary for such Security (or its designee) pursuant to the customary procedures of such Depositary.</w:t>
      </w:r>
    </w:p>
    <w:p>
      <w:pPr>
        <w:spacing w:after="0" w:line="18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10.3.</w:t>
      </w:r>
      <w:r>
        <w:rPr>
          <w:sz w:val="20"/>
          <w:szCs w:val="20"/>
          <w:color w:val="auto"/>
        </w:rPr>
        <w:tab/>
      </w:r>
      <w:r>
        <w:rPr>
          <w:rFonts w:ascii="Arial" w:cs="Arial" w:eastAsia="Arial" w:hAnsi="Arial"/>
          <w:sz w:val="16"/>
          <w:szCs w:val="16"/>
          <w:u w:val="single" w:color="auto"/>
          <w:color w:val="auto"/>
        </w:rPr>
        <w:t>Communication by Holders with Other Holders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Securityholders of any Series may communicate pursuant to TIA § 312(b) with other Securityholders of that Series or any other Series with respect to their rights under this Indenture or the Securities of that Series or all Series. The Company, the Trustee, the Registrar and anyone else shall have the protection of TIA § 312(c).</w:t>
      </w:r>
    </w:p>
    <w:p>
      <w:pPr>
        <w:spacing w:after="0" w:line="184"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10.4.</w:t>
      </w:r>
      <w:r>
        <w:rPr>
          <w:sz w:val="20"/>
          <w:szCs w:val="20"/>
          <w:color w:val="auto"/>
        </w:rPr>
        <w:tab/>
      </w:r>
      <w:r>
        <w:rPr>
          <w:rFonts w:ascii="Arial" w:cs="Arial" w:eastAsia="Arial" w:hAnsi="Arial"/>
          <w:sz w:val="16"/>
          <w:szCs w:val="16"/>
          <w:u w:val="single" w:color="auto"/>
          <w:color w:val="auto"/>
        </w:rPr>
        <w:t>Certificate and Opinion as to Conditions Precedent</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Upon any request or application by the Company to the Trustee to take any action under this Indenture, the Company shall furnish to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Trustee:</w:t>
      </w:r>
    </w:p>
    <w:p>
      <w:pPr>
        <w:spacing w:after="0" w:line="211" w:lineRule="exact"/>
        <w:rPr>
          <w:sz w:val="20"/>
          <w:szCs w:val="20"/>
          <w:color w:val="auto"/>
        </w:rPr>
      </w:pPr>
    </w:p>
    <w:p>
      <w:pPr>
        <w:ind w:left="660" w:firstLine="644"/>
        <w:spacing w:after="0" w:line="277" w:lineRule="auto"/>
        <w:tabs>
          <w:tab w:leader="none" w:pos="2061"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 Officer’s Certificate stating that, in the opinion of the signers, all conditions precedent, if any, provided for in this Indenture relating to the proposed action have been complied with; and</w:t>
      </w:r>
    </w:p>
    <w:p>
      <w:pPr>
        <w:spacing w:after="0" w:line="170" w:lineRule="exact"/>
        <w:rPr>
          <w:rFonts w:ascii="Arial" w:cs="Arial" w:eastAsia="Arial" w:hAnsi="Arial"/>
          <w:sz w:val="18"/>
          <w:szCs w:val="18"/>
          <w:color w:val="auto"/>
        </w:rPr>
      </w:pPr>
    </w:p>
    <w:p>
      <w:pPr>
        <w:ind w:left="660" w:right="380" w:firstLine="644"/>
        <w:spacing w:after="0" w:line="500" w:lineRule="auto"/>
        <w:tabs>
          <w:tab w:leader="none" w:pos="205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 xml:space="preserve">an Opinion of Counsel stating that, in the opinion of such counsel, all such conditions precedent have been complied with. Section 10.5. </w:t>
      </w:r>
      <w:r>
        <w:rPr>
          <w:rFonts w:ascii="Arial" w:cs="Arial" w:eastAsia="Arial" w:hAnsi="Arial"/>
          <w:sz w:val="18"/>
          <w:szCs w:val="18"/>
          <w:u w:val="single" w:color="auto"/>
          <w:color w:val="auto"/>
        </w:rPr>
        <w:t>Statements Required in Certificate or Opinion</w:t>
      </w:r>
      <w:r>
        <w:rPr>
          <w:rFonts w:ascii="Arial" w:cs="Arial" w:eastAsia="Arial" w:hAnsi="Arial"/>
          <w:sz w:val="18"/>
          <w:szCs w:val="18"/>
          <w:color w:val="auto"/>
        </w:rPr>
        <w:t>.</w:t>
      </w:r>
    </w:p>
    <w:p>
      <w:pPr>
        <w:spacing w:after="0" w:line="2"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Each certificate or opinion with respect to compliance with a condition or covenant provided for in this Indenture (other than a certificate provided pursuant to TIA § 314(a)(4)) shall comply with the provisions of TIA § 314(e) and shall include:</w:t>
      </w:r>
    </w:p>
    <w:p>
      <w:pPr>
        <w:spacing w:after="0" w:line="170" w:lineRule="exact"/>
        <w:rPr>
          <w:sz w:val="20"/>
          <w:szCs w:val="20"/>
          <w:color w:val="auto"/>
        </w:rPr>
      </w:pPr>
    </w:p>
    <w:p>
      <w:pPr>
        <w:ind w:left="2040" w:hanging="736"/>
        <w:spacing w:after="0"/>
        <w:tabs>
          <w:tab w:leader="none" w:pos="204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statement that the person making such certificate or opinion has read such covenant or condition;</w:t>
      </w:r>
    </w:p>
    <w:p>
      <w:pPr>
        <w:spacing w:after="0" w:line="225" w:lineRule="exact"/>
        <w:rPr>
          <w:rFonts w:ascii="Arial" w:cs="Arial" w:eastAsia="Arial" w:hAnsi="Arial"/>
          <w:sz w:val="18"/>
          <w:szCs w:val="18"/>
          <w:color w:val="auto"/>
        </w:rPr>
      </w:pPr>
    </w:p>
    <w:p>
      <w:pPr>
        <w:ind w:left="660" w:firstLine="644"/>
        <w:spacing w:after="0" w:line="277" w:lineRule="auto"/>
        <w:tabs>
          <w:tab w:leader="none" w:pos="2327"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70" w:lineRule="exact"/>
        <w:rPr>
          <w:rFonts w:ascii="Arial" w:cs="Arial" w:eastAsia="Arial" w:hAnsi="Arial"/>
          <w:sz w:val="18"/>
          <w:szCs w:val="18"/>
          <w:color w:val="auto"/>
        </w:rPr>
      </w:pPr>
    </w:p>
    <w:p>
      <w:pPr>
        <w:ind w:left="660" w:firstLine="644"/>
        <w:spacing w:after="0" w:line="277" w:lineRule="auto"/>
        <w:tabs>
          <w:tab w:leader="none" w:pos="207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statement that, in the opinion of such person, he has made such examination or investigation as is necessary to enable him to express an informed opinion as to whether or not such covenant or condition has been complied with; and</w:t>
      </w:r>
    </w:p>
    <w:p>
      <w:pPr>
        <w:spacing w:after="0" w:line="170" w:lineRule="exact"/>
        <w:rPr>
          <w:rFonts w:ascii="Arial" w:cs="Arial" w:eastAsia="Arial" w:hAnsi="Arial"/>
          <w:sz w:val="18"/>
          <w:szCs w:val="18"/>
          <w:color w:val="auto"/>
        </w:rPr>
      </w:pPr>
    </w:p>
    <w:p>
      <w:pPr>
        <w:ind w:left="2060" w:hanging="756"/>
        <w:spacing w:after="0"/>
        <w:tabs>
          <w:tab w:leader="none" w:pos="20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 statement as to whether or not, in the opinion of such person, such condition or covenant has been complied with.</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5" w:name="page166"/>
    <w:bookmarkEnd w:id="165"/>
    <w:p>
      <w:pPr>
        <w:ind w:left="660"/>
        <w:spacing w:after="0"/>
        <w:tabs>
          <w:tab w:leader="none" w:pos="1860" w:val="left"/>
        </w:tabs>
        <w:rPr>
          <w:sz w:val="20"/>
          <w:szCs w:val="20"/>
          <w:color w:val="auto"/>
        </w:rPr>
      </w:pPr>
      <w:r>
        <w:rPr>
          <w:rFonts w:ascii="Arial" w:cs="Arial" w:eastAsia="Arial" w:hAnsi="Arial"/>
          <w:sz w:val="18"/>
          <w:szCs w:val="18"/>
          <w:color w:val="auto"/>
        </w:rPr>
        <w:t>Section 10.6.</w:t>
      </w:r>
      <w:r>
        <w:rPr>
          <w:sz w:val="20"/>
          <w:szCs w:val="20"/>
          <w:color w:val="auto"/>
        </w:rPr>
        <w:tab/>
      </w:r>
      <w:r>
        <w:rPr>
          <w:rFonts w:ascii="Arial" w:cs="Arial" w:eastAsia="Arial" w:hAnsi="Arial"/>
          <w:sz w:val="15"/>
          <w:szCs w:val="15"/>
          <w:u w:val="single" w:color="auto"/>
          <w:color w:val="auto"/>
        </w:rPr>
        <w:t>Rules by Trustee and Agents</w:t>
      </w:r>
      <w:r>
        <w:rPr>
          <w:rFonts w:ascii="Arial" w:cs="Arial" w:eastAsia="Arial" w:hAnsi="Arial"/>
          <w:sz w:val="15"/>
          <w:szCs w:val="15"/>
          <w:color w:val="auto"/>
        </w:rPr>
        <w:t>.</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The Trustee may make reasonable rules for action by or a meeting of Securityholders of one or more Series. Any Agent may make reasonable rules and set reasonable requirements for its functions.</w:t>
      </w:r>
    </w:p>
    <w:p>
      <w:pPr>
        <w:spacing w:after="0" w:line="17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10.7.</w:t>
      </w:r>
      <w:r>
        <w:rPr>
          <w:sz w:val="20"/>
          <w:szCs w:val="20"/>
          <w:color w:val="auto"/>
        </w:rPr>
        <w:tab/>
      </w:r>
      <w:r>
        <w:rPr>
          <w:rFonts w:ascii="Arial" w:cs="Arial" w:eastAsia="Arial" w:hAnsi="Arial"/>
          <w:sz w:val="16"/>
          <w:szCs w:val="16"/>
          <w:u w:val="single" w:color="auto"/>
          <w:color w:val="auto"/>
        </w:rPr>
        <w:t>Legal Holidays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A “</w:t>
      </w:r>
      <w:r>
        <w:rPr>
          <w:rFonts w:ascii="Arial" w:cs="Arial" w:eastAsia="Arial" w:hAnsi="Arial"/>
          <w:sz w:val="18"/>
          <w:szCs w:val="18"/>
          <w:i w:val="1"/>
          <w:iCs w:val="1"/>
          <w:color w:val="auto"/>
        </w:rPr>
        <w:t>Legal Holiday</w:t>
      </w:r>
      <w:r>
        <w:rPr>
          <w:rFonts w:ascii="Arial" w:cs="Arial" w:eastAsia="Arial" w:hAnsi="Arial"/>
          <w:sz w:val="18"/>
          <w:szCs w:val="18"/>
          <w:color w:val="auto"/>
        </w:rPr>
        <w:t>” is any day that is not a Business Day. If a payment date is a Legal Holiday at a place of payment, payment may be made at that place on the next succeeding day that is not a Legal Holiday, and no interest shall accrue for the intervening period.</w:t>
      </w:r>
    </w:p>
    <w:p>
      <w:pPr>
        <w:spacing w:after="0" w:line="170"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10.8.</w:t>
      </w:r>
      <w:r>
        <w:rPr>
          <w:sz w:val="20"/>
          <w:szCs w:val="20"/>
          <w:color w:val="auto"/>
        </w:rPr>
        <w:tab/>
      </w:r>
      <w:r>
        <w:rPr>
          <w:rFonts w:ascii="Arial" w:cs="Arial" w:eastAsia="Arial" w:hAnsi="Arial"/>
          <w:sz w:val="16"/>
          <w:szCs w:val="16"/>
          <w:u w:val="single" w:color="auto"/>
          <w:color w:val="auto"/>
        </w:rPr>
        <w:t>No Recourse Against Others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A director, officer, employee or stockholder (past or present), as such, of the Company shall not have any liability for any obligations of the Company under the Securities or the Indenture or for any claim based on, in respect of or by reason of such obligations or their creation. Each Securityholder by accepting a Security waives and releases all such liability. The waiver and release are part of the consideration for the issue of the Securities.</w:t>
      </w:r>
    </w:p>
    <w:p>
      <w:pPr>
        <w:spacing w:after="0" w:line="187" w:lineRule="exact"/>
        <w:rPr>
          <w:sz w:val="20"/>
          <w:szCs w:val="20"/>
          <w:color w:val="auto"/>
        </w:rPr>
      </w:pPr>
    </w:p>
    <w:p>
      <w:pPr>
        <w:ind w:left="660"/>
        <w:spacing w:after="0"/>
        <w:tabs>
          <w:tab w:leader="none" w:pos="1860" w:val="left"/>
        </w:tabs>
        <w:rPr>
          <w:sz w:val="20"/>
          <w:szCs w:val="20"/>
          <w:color w:val="auto"/>
        </w:rPr>
      </w:pPr>
      <w:r>
        <w:rPr>
          <w:rFonts w:ascii="Arial" w:cs="Arial" w:eastAsia="Arial" w:hAnsi="Arial"/>
          <w:sz w:val="18"/>
          <w:szCs w:val="18"/>
          <w:color w:val="auto"/>
        </w:rPr>
        <w:t>Section 10.9.</w:t>
      </w:r>
      <w:r>
        <w:rPr>
          <w:sz w:val="20"/>
          <w:szCs w:val="20"/>
          <w:color w:val="auto"/>
        </w:rPr>
        <w:tab/>
      </w:r>
      <w:r>
        <w:rPr>
          <w:rFonts w:ascii="Arial" w:cs="Arial" w:eastAsia="Arial" w:hAnsi="Arial"/>
          <w:sz w:val="15"/>
          <w:szCs w:val="15"/>
          <w:u w:val="single" w:color="auto"/>
          <w:color w:val="auto"/>
        </w:rPr>
        <w:t>Counterparts</w:t>
      </w:r>
      <w:r>
        <w:rPr>
          <w:rFonts w:ascii="Arial" w:cs="Arial" w:eastAsia="Arial" w:hAnsi="Arial"/>
          <w:sz w:val="15"/>
          <w:szCs w:val="15"/>
          <w:color w:val="auto"/>
        </w:rPr>
        <w:t>.</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This Indenture may be executed in any number of counterparts and by the parties hereto in separate counterparts, each of which when so executed shall be deemed to be an original and all of which taken together shall constitute one and the same agreement. The exchange of copies of this Indenture and of signature pages by facsimile or electronic format (e.g., “.pdf” or “.tif”) transmission shall constitute effective execution and delivery of this Indenture as to the parties hereto and may be used in lieu of the original Indenture for all purposes. Signatures of the parties hereto transmitted by facsimile or electronic format (e.g., “.pdf” or “.tif”) shall be deemed to be their original signatures for all purposes.</w:t>
      </w:r>
    </w:p>
    <w:p>
      <w:pPr>
        <w:spacing w:after="0" w:line="176" w:lineRule="exact"/>
        <w:rPr>
          <w:sz w:val="20"/>
          <w:szCs w:val="20"/>
          <w:color w:val="auto"/>
        </w:rPr>
      </w:pPr>
    </w:p>
    <w:p>
      <w:pPr>
        <w:jc w:val="both"/>
        <w:ind w:firstLine="1296"/>
        <w:spacing w:after="0" w:line="290" w:lineRule="auto"/>
        <w:rPr>
          <w:sz w:val="20"/>
          <w:szCs w:val="20"/>
          <w:color w:val="auto"/>
        </w:rPr>
      </w:pPr>
      <w:r>
        <w:rPr>
          <w:rFonts w:ascii="Arial" w:cs="Arial" w:eastAsia="Arial" w:hAnsi="Arial"/>
          <w:sz w:val="16"/>
          <w:szCs w:val="16"/>
          <w:color w:val="auto"/>
        </w:rPr>
        <w:t>Unless otherwise provided herein or in any other Securities, the words “execute”, “execution”, “signed”, and “signature” and words of similar import used in or related to any document to be signed in connection with this Indenture, any Securities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provided that, notwithstanding anything herein to the contrary, the Trustee is not under any obligation to agree to accept electronic signatures in any form or in any format unless expressly agreed to by such Trustee pursuant to procedures approved by such Trustee.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6" w:name="page167"/>
    <w:bookmarkEnd w:id="166"/>
    <w:p>
      <w:pPr>
        <w:ind w:left="660"/>
        <w:spacing w:after="0"/>
        <w:tabs>
          <w:tab w:leader="none" w:pos="1900" w:val="left"/>
        </w:tabs>
        <w:rPr>
          <w:sz w:val="20"/>
          <w:szCs w:val="20"/>
          <w:color w:val="auto"/>
        </w:rPr>
      </w:pPr>
      <w:r>
        <w:rPr>
          <w:rFonts w:ascii="Arial" w:cs="Arial" w:eastAsia="Arial" w:hAnsi="Arial"/>
          <w:sz w:val="18"/>
          <w:szCs w:val="18"/>
          <w:color w:val="auto"/>
        </w:rPr>
        <w:t>Section 10.10.</w:t>
      </w:r>
      <w:r>
        <w:rPr>
          <w:sz w:val="20"/>
          <w:szCs w:val="20"/>
          <w:color w:val="auto"/>
        </w:rPr>
        <w:tab/>
      </w:r>
      <w:r>
        <w:rPr>
          <w:rFonts w:ascii="Arial" w:cs="Arial" w:eastAsia="Arial" w:hAnsi="Arial"/>
          <w:sz w:val="16"/>
          <w:szCs w:val="16"/>
          <w:u w:val="single" w:color="auto"/>
          <w:color w:val="auto"/>
        </w:rPr>
        <w:t>Governing Law; Waiver of Jury Trial; Consent to Jurisdiction</w:t>
      </w:r>
      <w:r>
        <w:rPr>
          <w:rFonts w:ascii="Arial" w:cs="Arial" w:eastAsia="Arial" w:hAnsi="Arial"/>
          <w:sz w:val="16"/>
          <w:szCs w:val="16"/>
          <w:color w:val="auto"/>
        </w:rPr>
        <w:t>.</w:t>
      </w:r>
    </w:p>
    <w:p>
      <w:pPr>
        <w:spacing w:after="0" w:line="221"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b w:val="1"/>
          <w:bCs w:val="1"/>
          <w:color w:val="auto"/>
        </w:rPr>
        <w:t>THIS INDENTURE AND THE SECURITIES, INCLUDING ANY CLAIM OR CONTROVERSY ARISING OUT OF OR RELATING TO THE INDENTURE OR THE SECURITIES, SHALL BE GOVERNED BY THE LAWS OF THE STATE OF NEW YORK.</w:t>
      </w:r>
    </w:p>
    <w:p>
      <w:pPr>
        <w:spacing w:after="0" w:line="162" w:lineRule="exact"/>
        <w:rPr>
          <w:sz w:val="20"/>
          <w:szCs w:val="20"/>
          <w:color w:val="auto"/>
        </w:rPr>
      </w:pPr>
    </w:p>
    <w:p>
      <w:pPr>
        <w:jc w:val="both"/>
        <w:ind w:firstLine="1296"/>
        <w:spacing w:after="0" w:line="261" w:lineRule="auto"/>
        <w:rPr>
          <w:sz w:val="20"/>
          <w:szCs w:val="20"/>
          <w:color w:val="auto"/>
        </w:rPr>
      </w:pPr>
      <w:r>
        <w:rPr>
          <w:rFonts w:ascii="Arial" w:cs="Arial" w:eastAsia="Arial" w:hAnsi="Arial"/>
          <w:sz w:val="18"/>
          <w:szCs w:val="18"/>
          <w:b w:val="1"/>
          <w:bCs w:val="1"/>
          <w:color w:val="auto"/>
        </w:rPr>
        <w:t>THE COMPANY, THE TRUSTEE AND THE HOLDERS (BY THEIR ACCEPTANCE OF THE SECURITIES) EACH HEREBY IRREVOCABLY WAIVE, TO THE FULLEST EXTENT PERMITTED BY APPLICABLE LAW, ANY AND ALL RIGHT TO TRIAL BY JURY IN ANY LEGAL PROCEEDING ARISING OUT OF OR RELATING TO THIS INDENTURE, THE NOTES OR THE TRANSACTIONS CONTEMPLATED HEREBY OR THEREBY.</w:t>
      </w:r>
    </w:p>
    <w:p>
      <w:pPr>
        <w:spacing w:after="0" w:line="184"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Any legal suit, action or proceeding arising out of or based upon this Indenture or the transactions contemplated hereby may be instituted in the federal courts of the United States of America located in the City of New York or the courts of the State of New York in each case located in the City of New York (collectively, the “</w:t>
      </w:r>
      <w:r>
        <w:rPr>
          <w:rFonts w:ascii="Arial" w:cs="Arial" w:eastAsia="Arial" w:hAnsi="Arial"/>
          <w:sz w:val="17"/>
          <w:szCs w:val="17"/>
          <w:i w:val="1"/>
          <w:iCs w:val="1"/>
          <w:color w:val="auto"/>
        </w:rPr>
        <w:t>Specified Courts</w:t>
      </w:r>
      <w:r>
        <w:rPr>
          <w:rFonts w:ascii="Arial" w:cs="Arial" w:eastAsia="Arial" w:hAnsi="Arial"/>
          <w:sz w:val="17"/>
          <w:szCs w:val="17"/>
          <w:color w:val="auto"/>
        </w:rPr>
        <w:t>”), and each party irrevocably submits to the non exclusive jurisdiction of such courts in any such suit, action or proceeding. Service of any process, summons, notice or document by mail (to the extent allowed under any applicable statute or rule of court) to such party’s address set forth above shall be effective service of process for any suit, action or other proceeding brought in any such court. The Company, the Trustee and the Holders (by their acceptance of the Securities) each hereby irrevocably and unconditionally waive any objection to the laying of venue of any suit, action or other proceeding in the Specified Courts and irrevocably and unconditionally waive and agree not to plead or claim any such suit, action or other proceeding has been brought in an inconvenient forum.</w:t>
      </w:r>
    </w:p>
    <w:p>
      <w:pPr>
        <w:spacing w:after="0" w:line="178"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color w:val="auto"/>
        </w:rPr>
        <w:t>Section 10.11.</w:t>
      </w:r>
      <w:r>
        <w:rPr>
          <w:sz w:val="20"/>
          <w:szCs w:val="20"/>
          <w:color w:val="auto"/>
        </w:rPr>
        <w:tab/>
      </w:r>
      <w:r>
        <w:rPr>
          <w:rFonts w:ascii="Arial" w:cs="Arial" w:eastAsia="Arial" w:hAnsi="Arial"/>
          <w:sz w:val="16"/>
          <w:szCs w:val="16"/>
          <w:u w:val="single" w:color="auto"/>
          <w:color w:val="auto"/>
        </w:rPr>
        <w:t>No Adverse Interpretation of Other Agreements</w:t>
      </w:r>
      <w:r>
        <w:rPr>
          <w:rFonts w:ascii="Arial" w:cs="Arial" w:eastAsia="Arial" w:hAnsi="Arial"/>
          <w:sz w:val="16"/>
          <w:szCs w:val="16"/>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Indenture may not be used to interpret another indenture, loan or debt agreement of the Company or a Subsidiary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Any such indenture, loan or debt agreement may not be used to interpret this Indenture.</w:t>
      </w:r>
    </w:p>
    <w:p>
      <w:pPr>
        <w:spacing w:after="0" w:line="211"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10.12.</w:t>
      </w:r>
      <w:r>
        <w:rPr>
          <w:sz w:val="20"/>
          <w:szCs w:val="20"/>
          <w:color w:val="auto"/>
        </w:rPr>
        <w:tab/>
      </w:r>
      <w:r>
        <w:rPr>
          <w:rFonts w:ascii="Arial" w:cs="Arial" w:eastAsia="Arial" w:hAnsi="Arial"/>
          <w:sz w:val="15"/>
          <w:szCs w:val="15"/>
          <w:u w:val="single" w:color="auto"/>
          <w:color w:val="auto"/>
        </w:rPr>
        <w:t>Successors</w:t>
      </w:r>
      <w:r>
        <w:rPr>
          <w:rFonts w:ascii="Arial" w:cs="Arial" w:eastAsia="Arial" w:hAnsi="Arial"/>
          <w:sz w:val="15"/>
          <w:szCs w:val="15"/>
          <w:color w:val="auto"/>
        </w:rPr>
        <w:t>.</w:t>
      </w:r>
    </w:p>
    <w:p>
      <w:pPr>
        <w:spacing w:after="0" w:line="225"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All agreements of the Company in this Indenture and the Securities shall bind its successor. All agreements of the Trustee in this Indenture shall bind its successor.</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10.13.</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In case any provision in this Indenture or in the Securities shall be invalid, illegal or unenforceable, the validity, legality and enforceability of the remaining provisions shall not in any way be affected or impaired thereby.</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10.14.</w:t>
      </w:r>
      <w:r>
        <w:rPr>
          <w:sz w:val="20"/>
          <w:szCs w:val="20"/>
          <w:color w:val="auto"/>
        </w:rPr>
        <w:tab/>
      </w:r>
      <w:r>
        <w:rPr>
          <w:rFonts w:ascii="Arial" w:cs="Arial" w:eastAsia="Arial" w:hAnsi="Arial"/>
          <w:sz w:val="16"/>
          <w:szCs w:val="16"/>
          <w:u w:val="single" w:color="auto"/>
          <w:color w:val="auto"/>
        </w:rPr>
        <w:t>Table of Contents, Headings, Etc</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The Table of Contents, Cross Reference Table, and headings of the Articles and Sections of this Indenture have been inserted for convenience of reference only, are not to be considered a part hereof, and shall in no way modify or restrict any of the terms or provisions hereof.</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7" w:name="page168"/>
    <w:bookmarkEnd w:id="167"/>
    <w:p>
      <w:pPr>
        <w:ind w:left="660"/>
        <w:spacing w:after="0"/>
        <w:tabs>
          <w:tab w:leader="none" w:pos="1900" w:val="left"/>
        </w:tabs>
        <w:rPr>
          <w:sz w:val="20"/>
          <w:szCs w:val="20"/>
          <w:color w:val="auto"/>
        </w:rPr>
      </w:pPr>
      <w:r>
        <w:rPr>
          <w:rFonts w:ascii="Arial" w:cs="Arial" w:eastAsia="Arial" w:hAnsi="Arial"/>
          <w:sz w:val="18"/>
          <w:szCs w:val="18"/>
          <w:color w:val="auto"/>
        </w:rPr>
        <w:t>Section 10.15.</w:t>
      </w:r>
      <w:r>
        <w:rPr>
          <w:sz w:val="20"/>
          <w:szCs w:val="20"/>
          <w:color w:val="auto"/>
        </w:rPr>
        <w:tab/>
      </w:r>
      <w:r>
        <w:rPr>
          <w:rFonts w:ascii="Arial" w:cs="Arial" w:eastAsia="Arial" w:hAnsi="Arial"/>
          <w:sz w:val="16"/>
          <w:szCs w:val="16"/>
          <w:u w:val="single" w:color="auto"/>
          <w:color w:val="auto"/>
        </w:rPr>
        <w:t>Securities in a Foreign Currency</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Unless otherwise specified in a Board Resolution, a supplemental indenture hereto or an Officer’s Certificate delivered pursuant to Section 2.2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more than one currency, then the principal amount of Securities of such Series which shall be deemed to be outstanding for the purpose of taking such action shall be determined by converting any such other currency into a currency that is designated upon issuance of any particular Series of Securities. Unless otherwise specified in a Board Resolution, a supplemental indenture hereto or an Officer’s Certificate delivered pursuant to Section 2.2 of this Indenture with respect to a particular Series of Securities, such conversion shall be at the spot rate for the purchase of the designated currency as published in The Financial Times in the “Currency Rates” section (or, if The Financial Times is no longer published, or if such information is no longer available in The Financial Times, such source as may be selected in good faith by the Company) on any date of determination. The provisions of this paragraph shall apply in determining the equivalent principal amount in respect of Securities of a Series denominated in currency other than Dollars in connection with any action taken by Holders of Securities pursuant to the terms of this Indenture.</w:t>
      </w:r>
    </w:p>
    <w:p>
      <w:pPr>
        <w:spacing w:after="0" w:line="17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All decisions and determinations provided for in the preceding paragraph shall, in the absence of manifest error, to the extent permitted by law, be conclusive for all purposes and irrevocably binding upon the Trustee and all Holders.</w:t>
      </w:r>
    </w:p>
    <w:p>
      <w:pPr>
        <w:spacing w:after="0" w:line="170"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10.16.</w:t>
      </w:r>
      <w:r>
        <w:rPr>
          <w:sz w:val="20"/>
          <w:szCs w:val="20"/>
          <w:color w:val="auto"/>
        </w:rPr>
        <w:tab/>
      </w:r>
      <w:r>
        <w:rPr>
          <w:rFonts w:ascii="Arial" w:cs="Arial" w:eastAsia="Arial" w:hAnsi="Arial"/>
          <w:sz w:val="16"/>
          <w:szCs w:val="16"/>
          <w:u w:val="single" w:color="auto"/>
          <w:color w:val="auto"/>
        </w:rPr>
        <w:t>Judgment Currency</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The Company agrees, to the fullest extent that it may effectively do so under applicable law, that (a) if for the purpose of obtaining judgment in any court it is necessary to convert the sum due in respect of the principal of or interest or other amount on the Securities of any Series (the “</w:t>
      </w:r>
      <w:r>
        <w:rPr>
          <w:rFonts w:ascii="Arial" w:cs="Arial" w:eastAsia="Arial" w:hAnsi="Arial"/>
          <w:sz w:val="16"/>
          <w:szCs w:val="16"/>
          <w:i w:val="1"/>
          <w:iCs w:val="1"/>
          <w:color w:val="auto"/>
        </w:rPr>
        <w:t>Required Currency</w:t>
      </w:r>
      <w:r>
        <w:rPr>
          <w:rFonts w:ascii="Arial" w:cs="Arial" w:eastAsia="Arial" w:hAnsi="Arial"/>
          <w:sz w:val="16"/>
          <w:szCs w:val="16"/>
          <w:color w:val="auto"/>
        </w:rPr>
        <w:t>”) into a currency in which a judgment will be rendered (the “</w:t>
      </w:r>
      <w:r>
        <w:rPr>
          <w:rFonts w:ascii="Arial" w:cs="Arial" w:eastAsia="Arial" w:hAnsi="Arial"/>
          <w:sz w:val="16"/>
          <w:szCs w:val="16"/>
          <w:i w:val="1"/>
          <w:iCs w:val="1"/>
          <w:color w:val="auto"/>
        </w:rPr>
        <w:t>Judgment Currency</w:t>
      </w:r>
      <w:r>
        <w:rPr>
          <w:rFonts w:ascii="Arial" w:cs="Arial" w:eastAsia="Arial" w:hAnsi="Arial"/>
          <w:sz w:val="16"/>
          <w:szCs w:val="16"/>
          <w:color w:val="auto"/>
        </w:rPr>
        <w:t>”),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w:t>
      </w:r>
      <w:r>
        <w:rPr>
          <w:rFonts w:ascii="Arial" w:cs="Arial" w:eastAsia="Arial" w:hAnsi="Arial"/>
          <w:sz w:val="16"/>
          <w:szCs w:val="16"/>
          <w:i w:val="1"/>
          <w:iCs w:val="1"/>
          <w:color w:val="auto"/>
        </w:rPr>
        <w:t>New York Banking Day</w:t>
      </w:r>
      <w:r>
        <w:rPr>
          <w:rFonts w:ascii="Arial" w:cs="Arial" w:eastAsia="Arial" w:hAnsi="Arial"/>
          <w:sz w:val="16"/>
          <w:szCs w:val="16"/>
          <w:color w:val="auto"/>
        </w:rPr>
        <w:t>” means any day except a Saturday, Sunday or a legal holiday in The City of New York on which banking institutions are authorized or required by law, regulation or executive order to close.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8" w:name="page169"/>
    <w:bookmarkEnd w:id="168"/>
    <w:p>
      <w:pPr>
        <w:ind w:left="660"/>
        <w:spacing w:after="0"/>
        <w:tabs>
          <w:tab w:leader="none" w:pos="1900" w:val="left"/>
        </w:tabs>
        <w:rPr>
          <w:sz w:val="20"/>
          <w:szCs w:val="20"/>
          <w:color w:val="auto"/>
        </w:rPr>
      </w:pPr>
      <w:r>
        <w:rPr>
          <w:rFonts w:ascii="Arial" w:cs="Arial" w:eastAsia="Arial" w:hAnsi="Arial"/>
          <w:sz w:val="18"/>
          <w:szCs w:val="18"/>
          <w:color w:val="auto"/>
        </w:rPr>
        <w:t>Section 10.17.</w:t>
      </w:r>
      <w:r>
        <w:rPr>
          <w:sz w:val="20"/>
          <w:szCs w:val="20"/>
          <w:color w:val="auto"/>
        </w:rPr>
        <w:tab/>
      </w:r>
      <w:r>
        <w:rPr>
          <w:rFonts w:ascii="Arial" w:cs="Arial" w:eastAsia="Arial" w:hAnsi="Arial"/>
          <w:sz w:val="16"/>
          <w:szCs w:val="16"/>
          <w:u w:val="single" w:color="auto"/>
          <w:color w:val="auto"/>
        </w:rPr>
        <w:t>Force Majeure</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7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18"/>
          <w:szCs w:val="18"/>
          <w:color w:val="auto"/>
        </w:rPr>
        <w:t>Section 10.18.</w:t>
      </w:r>
      <w:r>
        <w:rPr>
          <w:sz w:val="20"/>
          <w:szCs w:val="20"/>
          <w:color w:val="auto"/>
        </w:rPr>
        <w:tab/>
      </w:r>
      <w:r>
        <w:rPr>
          <w:rFonts w:ascii="Arial" w:cs="Arial" w:eastAsia="Arial" w:hAnsi="Arial"/>
          <w:sz w:val="16"/>
          <w:szCs w:val="16"/>
          <w:u w:val="single" w:color="auto"/>
          <w:color w:val="auto"/>
        </w:rPr>
        <w:t>U.S.A. Patriot Act</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The parties hereto acknowledge that in accordance with Section 326 of the U.S.A. Patriot Act, the Trustee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SINKING FUNDS</w:t>
      </w:r>
    </w:p>
    <w:p>
      <w:pPr>
        <w:spacing w:after="0" w:line="211" w:lineRule="exact"/>
        <w:rPr>
          <w:sz w:val="20"/>
          <w:szCs w:val="20"/>
          <w:color w:val="auto"/>
        </w:rPr>
      </w:pPr>
    </w:p>
    <w:p>
      <w:pPr>
        <w:ind w:left="660"/>
        <w:spacing w:after="0"/>
        <w:tabs>
          <w:tab w:leader="none" w:pos="1840" w:val="left"/>
        </w:tabs>
        <w:rPr>
          <w:sz w:val="20"/>
          <w:szCs w:val="20"/>
          <w:color w:val="auto"/>
        </w:rPr>
      </w:pPr>
      <w:r>
        <w:rPr>
          <w:rFonts w:ascii="Arial" w:cs="Arial" w:eastAsia="Arial" w:hAnsi="Arial"/>
          <w:sz w:val="18"/>
          <w:szCs w:val="18"/>
          <w:color w:val="auto"/>
        </w:rPr>
        <w:t>Section 11.1.</w:t>
      </w:r>
      <w:r>
        <w:rPr>
          <w:sz w:val="20"/>
          <w:szCs w:val="20"/>
          <w:color w:val="auto"/>
        </w:rPr>
        <w:tab/>
      </w:r>
      <w:r>
        <w:rPr>
          <w:rFonts w:ascii="Arial" w:cs="Arial" w:eastAsia="Arial" w:hAnsi="Arial"/>
          <w:sz w:val="17"/>
          <w:szCs w:val="17"/>
          <w:u w:val="single" w:color="auto"/>
          <w:color w:val="auto"/>
        </w:rPr>
        <w:t>Applicability of Article</w:t>
      </w:r>
      <w:r>
        <w:rPr>
          <w:rFonts w:ascii="Arial" w:cs="Arial" w:eastAsia="Arial" w:hAnsi="Arial"/>
          <w:sz w:val="17"/>
          <w:szCs w:val="17"/>
          <w:color w:val="auto"/>
        </w:rPr>
        <w:t>.</w:t>
      </w:r>
    </w:p>
    <w:p>
      <w:pPr>
        <w:spacing w:after="0" w:line="22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The provisions of this Article shall be applicable to any sinking fund for the retirement of the Securities of a Series if so provided by the terms of such Securities pursuant to Section 2.2 and except as otherwise permitted or required by any form of Security of such Series issued pursuant to this Indenture.</w:t>
      </w:r>
    </w:p>
    <w:p>
      <w:pPr>
        <w:spacing w:after="0" w:line="184"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the Securities of any Series is herein referred to as a “</w:t>
      </w:r>
      <w:r>
        <w:rPr>
          <w:rFonts w:ascii="Arial" w:cs="Arial" w:eastAsia="Arial" w:hAnsi="Arial"/>
          <w:sz w:val="18"/>
          <w:szCs w:val="18"/>
          <w:i w:val="1"/>
          <w:iCs w:val="1"/>
          <w:color w:val="auto"/>
        </w:rPr>
        <w:t>mandatory sinking fund payment</w:t>
      </w:r>
      <w:r>
        <w:rPr>
          <w:rFonts w:ascii="Arial" w:cs="Arial" w:eastAsia="Arial" w:hAnsi="Arial"/>
          <w:sz w:val="18"/>
          <w:szCs w:val="18"/>
          <w:color w:val="auto"/>
        </w:rPr>
        <w:t>” and any other amount provided for by the terms of Securities of such Series is herein referred to as an “</w:t>
      </w:r>
      <w:r>
        <w:rPr>
          <w:rFonts w:ascii="Arial" w:cs="Arial" w:eastAsia="Arial" w:hAnsi="Arial"/>
          <w:sz w:val="18"/>
          <w:szCs w:val="18"/>
          <w:i w:val="1"/>
          <w:iCs w:val="1"/>
          <w:color w:val="auto"/>
        </w:rPr>
        <w:t>optional sinking</w:t>
      </w:r>
      <w:r>
        <w:rPr>
          <w:rFonts w:ascii="Arial" w:cs="Arial" w:eastAsia="Arial" w:hAnsi="Arial"/>
          <w:sz w:val="18"/>
          <w:szCs w:val="18"/>
          <w:color w:val="auto"/>
        </w:rPr>
        <w:t xml:space="preserve"> </w:t>
      </w:r>
      <w:r>
        <w:rPr>
          <w:rFonts w:ascii="Arial" w:cs="Arial" w:eastAsia="Arial" w:hAnsi="Arial"/>
          <w:sz w:val="18"/>
          <w:szCs w:val="18"/>
          <w:i w:val="1"/>
          <w:iCs w:val="1"/>
          <w:color w:val="auto"/>
        </w:rPr>
        <w:t>fund payment</w:t>
      </w:r>
      <w:r>
        <w:rPr>
          <w:rFonts w:ascii="Arial" w:cs="Arial" w:eastAsia="Arial" w:hAnsi="Arial"/>
          <w:sz w:val="18"/>
          <w:szCs w:val="18"/>
          <w:color w:val="auto"/>
        </w:rPr>
        <w:t>.” If provided for by the terms of Securities of any Series, the cash amount of any sinking fund payment may be subject to reduction as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Section 11.2. Each sinking fund payment shall be applied to the redemption of Securities of any Series as provided for by the terms of the Securities of such Series.</w:t>
      </w:r>
    </w:p>
    <w:p>
      <w:pPr>
        <w:spacing w:after="0" w:line="188" w:lineRule="exact"/>
        <w:rPr>
          <w:sz w:val="20"/>
          <w:szCs w:val="20"/>
          <w:color w:val="auto"/>
        </w:rPr>
      </w:pPr>
    </w:p>
    <w:p>
      <w:pPr>
        <w:ind w:left="660"/>
        <w:spacing w:after="0"/>
        <w:tabs>
          <w:tab w:leader="none" w:pos="1800" w:val="left"/>
        </w:tabs>
        <w:rPr>
          <w:sz w:val="20"/>
          <w:szCs w:val="20"/>
          <w:color w:val="auto"/>
        </w:rPr>
      </w:pPr>
      <w:r>
        <w:rPr>
          <w:rFonts w:ascii="Arial" w:cs="Arial" w:eastAsia="Arial" w:hAnsi="Arial"/>
          <w:sz w:val="18"/>
          <w:szCs w:val="18"/>
          <w:color w:val="auto"/>
        </w:rPr>
        <w:t>Section 11.2.</w:t>
      </w:r>
      <w:r>
        <w:rPr>
          <w:sz w:val="20"/>
          <w:szCs w:val="20"/>
          <w:color w:val="auto"/>
        </w:rPr>
        <w:tab/>
      </w:r>
      <w:r>
        <w:rPr>
          <w:rFonts w:ascii="Arial" w:cs="Arial" w:eastAsia="Arial" w:hAnsi="Arial"/>
          <w:sz w:val="16"/>
          <w:szCs w:val="16"/>
          <w:u w:val="single" w:color="auto"/>
          <w:color w:val="auto"/>
        </w:rPr>
        <w:t>Satisfaction of Sinking Fund Payments with Securities</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The Company may, in satisfaction of all or any part of any sinking fund payment with respect to the Securities of any Series to be made pursuant to the terms of such Securities (1) deliver outstanding Securities of such Series to which such sinking fund payment is applicable (other than any of such Securities previously called for mandatory sinking fund redemption) and (2) apply as credit Securities of such Series to which such sinking fund payment is applicable and which have been repurchased by the Company or redeemed either at the election of the Company pursuant to the terms of such Series of Securities (except pursuant to any mandatory sinking fund) or through the application of permitted optional sinking fund payments or other optional redemptions pursuant to the terms of such Securities, provided that such Securities have not been previously so credited. Such Securities shall be received by the Trustee, together with an Officer’s Certificate with respect thereto, not later than 15 days prior to the date on which the Trustee begins the process of selecting Securities for redemption, and shall be credited for such purpose by the Trustee at the price specified in such Securities for redemption through operation of the sinking fund and the amount of such sinking fund payment shall be reduced accordingly. If as a result of the delivery or credit of Securities in lieu of cash payments pursuant to this Section 11.2, the principal amount of Securities of such Series to be redeemed in order to exhaust the aforesaid cash payment shall be less than $100,000, the Trustee need not call Securities of such Series for redemption, except upon receipt of a Company Order that such action be taken, and such cash payment shall be held by the Trustee or a Paying Agent and applied to the next succeeding sinking fund payment,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Trustee or such Paying Agent shall from time to time upon receipt of a Company Order pay over and deliver to the Company any cash payment so being held by the Trustee or such Paying Agent upon delivery by the Company to the Trustee of Securities of that Series purchased by the Company having an unpaid principal amount equal to the cash payment required to be released to the Company.</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9" w:name="page170"/>
    <w:bookmarkEnd w:id="169"/>
    <w:p>
      <w:pPr>
        <w:ind w:left="660"/>
        <w:spacing w:after="0"/>
        <w:tabs>
          <w:tab w:leader="none" w:pos="1800" w:val="left"/>
        </w:tabs>
        <w:rPr>
          <w:sz w:val="20"/>
          <w:szCs w:val="20"/>
          <w:color w:val="auto"/>
        </w:rPr>
      </w:pPr>
      <w:r>
        <w:rPr>
          <w:rFonts w:ascii="Arial" w:cs="Arial" w:eastAsia="Arial" w:hAnsi="Arial"/>
          <w:sz w:val="18"/>
          <w:szCs w:val="18"/>
          <w:color w:val="auto"/>
        </w:rPr>
        <w:t>Section 11.3.</w:t>
      </w:r>
      <w:r>
        <w:rPr>
          <w:sz w:val="20"/>
          <w:szCs w:val="20"/>
          <w:color w:val="auto"/>
        </w:rPr>
        <w:tab/>
      </w:r>
      <w:r>
        <w:rPr>
          <w:rFonts w:ascii="Arial" w:cs="Arial" w:eastAsia="Arial" w:hAnsi="Arial"/>
          <w:sz w:val="16"/>
          <w:szCs w:val="16"/>
          <w:u w:val="single" w:color="auto"/>
          <w:color w:val="auto"/>
        </w:rPr>
        <w:t>Redemption of Securities for Sinking Fund</w:t>
      </w:r>
      <w:r>
        <w:rPr>
          <w:rFonts w:ascii="Arial" w:cs="Arial" w:eastAsia="Arial" w:hAnsi="Arial"/>
          <w:sz w:val="16"/>
          <w:szCs w:val="16"/>
          <w:color w:val="auto"/>
        </w:rPr>
        <w:t>.</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Not less than 45 days (unless otherwise indicated in the Board Resolution, supplemental indenture hereto or Officer’s Certificate in respect of a particular Series of Securities) prior to each sinking fund payment date for any Series of Securities, the Company will deliver to the Trustee an Officer’s Certificate specifying the amount of the next ensuing mandatory sinking fund payment for that Series pursuant to the terms of that Series, the portion thereof, if any, which is to be satisfied by payment of cash and the portion thereof, if any, which is to be satisfied by delivering and crediting of Securities of that Series pursuant to Section 11.2, and the optional amount, if any, to be added in cash to the next ensuing mandatory sinking fund payment, and the Company shall thereupon be obligated to pay the amount therein specified. Not less than 30 days (unless otherwise indicated in the Board Resolution, Officer’s Certificate or supplemental indenture in respect of a particular Series of Securities) before each such sinking fund payment date the Securities to be redeemed upon such sinking fund payment date will be selected in the manner specified in Section 3.2 and the Company shall send or cause to be sent a notice of the redemption thereof to be given in the name of and at the expense of the Company in the manner provided in and in accordance with Section 3.3. Such notice having been duly given, the redemption of such Securities shall be made upon the terms and in the manner stated in Sections 3.4, 3.5 and 3.6.</w:t>
      </w:r>
    </w:p>
    <w:p>
      <w:pPr>
        <w:spacing w:after="0" w:line="182" w:lineRule="exact"/>
        <w:rPr>
          <w:sz w:val="20"/>
          <w:szCs w:val="20"/>
          <w:color w:val="auto"/>
        </w:rPr>
      </w:pPr>
    </w:p>
    <w:p>
      <w:pPr>
        <w:jc w:val="center"/>
        <w:ind w:left="1020"/>
        <w:spacing w:after="0"/>
        <w:rPr>
          <w:sz w:val="20"/>
          <w:szCs w:val="20"/>
          <w:color w:val="auto"/>
        </w:rPr>
      </w:pPr>
      <w:r>
        <w:rPr>
          <w:rFonts w:ascii="Arial" w:cs="Arial" w:eastAsia="Arial" w:hAnsi="Arial"/>
          <w:sz w:val="17"/>
          <w:szCs w:val="17"/>
          <w:color w:val="auto"/>
        </w:rPr>
        <w:t>IN WITNESS WHEREOF, the parties hereto have caused this Indenture to be duly executed as of the day and year first above written.</w:t>
      </w:r>
    </w:p>
    <w:p>
      <w:pPr>
        <w:spacing w:after="0" w:line="26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Verona Pharma plc</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Its:</w:t>
      </w:r>
    </w:p>
    <w:p>
      <w:pPr>
        <w:spacing w:after="0" w:line="27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[_____], as Trustee</w:t>
      </w: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14605</wp:posOffset>
            </wp:positionV>
            <wp:extent cx="34118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3411855" cy="8255"/>
                    </a:xfrm>
                    <a:prstGeom prst="rect">
                      <a:avLst/>
                    </a:prstGeom>
                    <a:noFill/>
                  </pic:spPr>
                </pic:pic>
              </a:graphicData>
            </a:graphic>
          </wp:anchor>
        </w:drawing>
      </w:r>
    </w:p>
    <w:p>
      <w:pPr>
        <w:spacing w:after="0" w:line="1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w:t>
      </w:r>
    </w:p>
    <w:p>
      <w:pPr>
        <w:spacing w:after="0" w:line="36"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0" w:name="page171"/>
    <w:bookmarkEnd w:id="170"/>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740" w:type="dxa"/>
            <w:vAlign w:val="bottom"/>
          </w:tcPr>
          <w:p>
            <w:pPr>
              <w:spacing w:after="0"/>
              <w:rPr>
                <w:sz w:val="20"/>
                <w:szCs w:val="20"/>
                <w:color w:val="auto"/>
              </w:rPr>
            </w:pPr>
          </w:p>
        </w:tc>
        <w:tc>
          <w:tcPr>
            <w:tcW w:w="2320" w:type="dxa"/>
            <w:vAlign w:val="bottom"/>
          </w:tcPr>
          <w:p>
            <w:pPr>
              <w:ind w:left="1480"/>
              <w:spacing w:after="0"/>
              <w:rPr>
                <w:sz w:val="20"/>
                <w:szCs w:val="20"/>
                <w:color w:val="auto"/>
              </w:rPr>
            </w:pPr>
            <w:r>
              <w:rPr>
                <w:rFonts w:ascii="Arial" w:cs="Arial" w:eastAsia="Arial" w:hAnsi="Arial"/>
                <w:sz w:val="18"/>
                <w:szCs w:val="18"/>
                <w:b w:val="1"/>
                <w:bCs w:val="1"/>
                <w:color w:val="auto"/>
                <w:w w:val="91"/>
              </w:rPr>
              <w:t>Exhibit 5.1</w:t>
            </w:r>
          </w:p>
        </w:tc>
      </w:tr>
      <w:tr>
        <w:trPr>
          <w:trHeight w:val="445"/>
        </w:trPr>
        <w:tc>
          <w:tcPr>
            <w:tcW w:w="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060" w:type="dxa"/>
            <w:vAlign w:val="bottom"/>
            <w:gridSpan w:val="2"/>
          </w:tcPr>
          <w:p>
            <w:pPr>
              <w:ind w:left="4700"/>
              <w:spacing w:after="0"/>
              <w:rPr>
                <w:sz w:val="20"/>
                <w:szCs w:val="20"/>
                <w:color w:val="auto"/>
              </w:rPr>
            </w:pPr>
            <w:r>
              <w:rPr>
                <w:rFonts w:ascii="Arial" w:cs="Arial" w:eastAsia="Arial" w:hAnsi="Arial"/>
                <w:sz w:val="18"/>
                <w:szCs w:val="18"/>
                <w:color w:val="auto"/>
              </w:rPr>
              <w:t>200 Clarendon Street</w:t>
            </w:r>
          </w:p>
        </w:tc>
      </w:tr>
      <w:tr>
        <w:trPr>
          <w:trHeight w:val="216"/>
        </w:trPr>
        <w:tc>
          <w:tcPr>
            <w:tcW w:w="5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060" w:type="dxa"/>
            <w:vAlign w:val="bottom"/>
            <w:gridSpan w:val="2"/>
          </w:tcPr>
          <w:p>
            <w:pPr>
              <w:ind w:left="4700"/>
              <w:spacing w:after="0"/>
              <w:rPr>
                <w:sz w:val="20"/>
                <w:szCs w:val="20"/>
                <w:color w:val="auto"/>
              </w:rPr>
            </w:pPr>
            <w:r>
              <w:rPr>
                <w:rFonts w:ascii="Arial" w:cs="Arial" w:eastAsia="Arial" w:hAnsi="Arial"/>
                <w:sz w:val="18"/>
                <w:szCs w:val="18"/>
                <w:color w:val="auto"/>
              </w:rPr>
              <w:t>Boston, Massachusetts 02116</w:t>
            </w:r>
          </w:p>
        </w:tc>
      </w:tr>
      <w:tr>
        <w:trPr>
          <w:trHeight w:val="216"/>
        </w:trPr>
        <w:tc>
          <w:tcPr>
            <w:tcW w:w="5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060" w:type="dxa"/>
            <w:vAlign w:val="bottom"/>
            <w:gridSpan w:val="2"/>
          </w:tcPr>
          <w:p>
            <w:pPr>
              <w:ind w:left="4700"/>
              <w:spacing w:after="0"/>
              <w:rPr>
                <w:sz w:val="20"/>
                <w:szCs w:val="20"/>
                <w:color w:val="auto"/>
              </w:rPr>
            </w:pPr>
            <w:r>
              <w:rPr>
                <w:rFonts w:ascii="Arial" w:cs="Arial" w:eastAsia="Arial" w:hAnsi="Arial"/>
                <w:sz w:val="18"/>
                <w:szCs w:val="18"/>
                <w:color w:val="auto"/>
                <w:w w:val="95"/>
              </w:rPr>
              <w:t>Tel: +1.617.948.6000 Fax: +1.617.948.6001</w:t>
            </w:r>
          </w:p>
        </w:tc>
      </w:tr>
      <w:tr>
        <w:trPr>
          <w:trHeight w:val="230"/>
        </w:trPr>
        <w:tc>
          <w:tcPr>
            <w:tcW w:w="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740" w:type="dxa"/>
            <w:vAlign w:val="bottom"/>
          </w:tcPr>
          <w:p>
            <w:pPr>
              <w:ind w:left="4700"/>
              <w:spacing w:after="0"/>
              <w:rPr>
                <w:sz w:val="20"/>
                <w:szCs w:val="20"/>
                <w:color w:val="auto"/>
              </w:rPr>
            </w:pPr>
            <w:r>
              <w:rPr>
                <w:rFonts w:ascii="Arial" w:cs="Arial" w:eastAsia="Arial" w:hAnsi="Arial"/>
                <w:sz w:val="18"/>
                <w:szCs w:val="18"/>
                <w:color w:val="auto"/>
              </w:rPr>
              <w:t>www.lw.com</w:t>
            </w:r>
          </w:p>
        </w:tc>
        <w:tc>
          <w:tcPr>
            <w:tcW w:w="2320" w:type="dxa"/>
            <w:vAlign w:val="bottom"/>
          </w:tcPr>
          <w:p>
            <w:pPr>
              <w:spacing w:after="0"/>
              <w:rPr>
                <w:sz w:val="20"/>
                <w:szCs w:val="20"/>
                <w:color w:val="auto"/>
              </w:rPr>
            </w:pPr>
          </w:p>
        </w:tc>
      </w:tr>
      <w:tr>
        <w:trPr>
          <w:trHeight w:val="418"/>
        </w:trPr>
        <w:tc>
          <w:tcPr>
            <w:tcW w:w="5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060" w:type="dxa"/>
            <w:vAlign w:val="bottom"/>
            <w:gridSpan w:val="2"/>
          </w:tcPr>
          <w:p>
            <w:pPr>
              <w:ind w:left="4700"/>
              <w:spacing w:after="0"/>
              <w:rPr>
                <w:sz w:val="20"/>
                <w:szCs w:val="20"/>
                <w:color w:val="auto"/>
              </w:rPr>
            </w:pPr>
            <w:r>
              <w:rPr>
                <w:rFonts w:ascii="Arial" w:cs="Arial" w:eastAsia="Arial" w:hAnsi="Arial"/>
                <w:sz w:val="18"/>
                <w:szCs w:val="18"/>
                <w:color w:val="auto"/>
              </w:rPr>
              <w:t>FIRM / AFFILIATE OFFICES</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March 19, 2021</w:t>
            </w:r>
          </w:p>
        </w:tc>
        <w:tc>
          <w:tcPr>
            <w:tcW w:w="5740" w:type="dxa"/>
            <w:vAlign w:val="bottom"/>
          </w:tcPr>
          <w:p>
            <w:pPr>
              <w:ind w:left="4700"/>
              <w:spacing w:after="0"/>
              <w:rPr>
                <w:sz w:val="20"/>
                <w:szCs w:val="20"/>
                <w:color w:val="auto"/>
              </w:rPr>
            </w:pPr>
            <w:r>
              <w:rPr>
                <w:rFonts w:ascii="Arial" w:cs="Arial" w:eastAsia="Arial" w:hAnsi="Arial"/>
                <w:sz w:val="18"/>
                <w:szCs w:val="18"/>
                <w:color w:val="auto"/>
              </w:rPr>
              <w:t>Beijing</w:t>
            </w:r>
          </w:p>
        </w:tc>
        <w:tc>
          <w:tcPr>
            <w:tcW w:w="2320" w:type="dxa"/>
            <w:vAlign w:val="bottom"/>
          </w:tcPr>
          <w:p>
            <w:pPr>
              <w:ind w:left="80"/>
              <w:spacing w:after="0"/>
              <w:rPr>
                <w:sz w:val="20"/>
                <w:szCs w:val="20"/>
                <w:color w:val="auto"/>
              </w:rPr>
            </w:pPr>
            <w:r>
              <w:rPr>
                <w:rFonts w:ascii="Arial" w:cs="Arial" w:eastAsia="Arial" w:hAnsi="Arial"/>
                <w:sz w:val="18"/>
                <w:szCs w:val="18"/>
                <w:color w:val="auto"/>
              </w:rPr>
              <w:t>Moscow</w:t>
            </w:r>
          </w:p>
        </w:tc>
      </w:tr>
      <w:tr>
        <w:trPr>
          <w:trHeight w:val="216"/>
        </w:trPr>
        <w:tc>
          <w:tcPr>
            <w:tcW w:w="5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740" w:type="dxa"/>
            <w:vAlign w:val="bottom"/>
          </w:tcPr>
          <w:p>
            <w:pPr>
              <w:ind w:left="4700"/>
              <w:spacing w:after="0"/>
              <w:rPr>
                <w:sz w:val="20"/>
                <w:szCs w:val="20"/>
                <w:color w:val="auto"/>
              </w:rPr>
            </w:pPr>
            <w:r>
              <w:rPr>
                <w:rFonts w:ascii="Arial" w:cs="Arial" w:eastAsia="Arial" w:hAnsi="Arial"/>
                <w:sz w:val="18"/>
                <w:szCs w:val="18"/>
                <w:color w:val="auto"/>
              </w:rPr>
              <w:t>Boston</w:t>
            </w:r>
          </w:p>
        </w:tc>
        <w:tc>
          <w:tcPr>
            <w:tcW w:w="2320" w:type="dxa"/>
            <w:vAlign w:val="bottom"/>
          </w:tcPr>
          <w:p>
            <w:pPr>
              <w:ind w:left="80"/>
              <w:spacing w:after="0"/>
              <w:rPr>
                <w:sz w:val="20"/>
                <w:szCs w:val="20"/>
                <w:color w:val="auto"/>
              </w:rPr>
            </w:pPr>
            <w:r>
              <w:rPr>
                <w:rFonts w:ascii="Arial" w:cs="Arial" w:eastAsia="Arial" w:hAnsi="Arial"/>
                <w:sz w:val="18"/>
                <w:szCs w:val="18"/>
                <w:color w:val="auto"/>
              </w:rPr>
              <w:t>Munich</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Verona Pharma plc</w:t>
            </w:r>
          </w:p>
        </w:tc>
        <w:tc>
          <w:tcPr>
            <w:tcW w:w="5740" w:type="dxa"/>
            <w:vAlign w:val="bottom"/>
          </w:tcPr>
          <w:p>
            <w:pPr>
              <w:ind w:left="4700"/>
              <w:spacing w:after="0"/>
              <w:rPr>
                <w:sz w:val="20"/>
                <w:szCs w:val="20"/>
                <w:color w:val="auto"/>
              </w:rPr>
            </w:pPr>
            <w:r>
              <w:rPr>
                <w:rFonts w:ascii="Arial" w:cs="Arial" w:eastAsia="Arial" w:hAnsi="Arial"/>
                <w:sz w:val="18"/>
                <w:szCs w:val="18"/>
                <w:color w:val="auto"/>
              </w:rPr>
              <w:t>Brussels</w:t>
            </w:r>
          </w:p>
        </w:tc>
        <w:tc>
          <w:tcPr>
            <w:tcW w:w="2320" w:type="dxa"/>
            <w:vAlign w:val="bottom"/>
          </w:tcPr>
          <w:p>
            <w:pPr>
              <w:ind w:left="80"/>
              <w:spacing w:after="0"/>
              <w:rPr>
                <w:sz w:val="20"/>
                <w:szCs w:val="20"/>
                <w:color w:val="auto"/>
              </w:rPr>
            </w:pPr>
            <w:r>
              <w:rPr>
                <w:rFonts w:ascii="Arial" w:cs="Arial" w:eastAsia="Arial" w:hAnsi="Arial"/>
                <w:sz w:val="18"/>
                <w:szCs w:val="18"/>
                <w:color w:val="auto"/>
              </w:rPr>
              <w:t>New York</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3 More London Riverside</w:t>
            </w:r>
          </w:p>
        </w:tc>
        <w:tc>
          <w:tcPr>
            <w:tcW w:w="5740" w:type="dxa"/>
            <w:vAlign w:val="bottom"/>
          </w:tcPr>
          <w:p>
            <w:pPr>
              <w:ind w:left="4700"/>
              <w:spacing w:after="0"/>
              <w:rPr>
                <w:sz w:val="20"/>
                <w:szCs w:val="20"/>
                <w:color w:val="auto"/>
              </w:rPr>
            </w:pPr>
            <w:r>
              <w:rPr>
                <w:rFonts w:ascii="Arial" w:cs="Arial" w:eastAsia="Arial" w:hAnsi="Arial"/>
                <w:sz w:val="18"/>
                <w:szCs w:val="18"/>
                <w:color w:val="auto"/>
              </w:rPr>
              <w:t>Century City</w:t>
            </w:r>
          </w:p>
        </w:tc>
        <w:tc>
          <w:tcPr>
            <w:tcW w:w="2320" w:type="dxa"/>
            <w:vAlign w:val="bottom"/>
          </w:tcPr>
          <w:p>
            <w:pPr>
              <w:ind w:left="80"/>
              <w:spacing w:after="0"/>
              <w:rPr>
                <w:sz w:val="20"/>
                <w:szCs w:val="20"/>
                <w:color w:val="auto"/>
              </w:rPr>
            </w:pPr>
            <w:r>
              <w:rPr>
                <w:rFonts w:ascii="Arial" w:cs="Arial" w:eastAsia="Arial" w:hAnsi="Arial"/>
                <w:sz w:val="18"/>
                <w:szCs w:val="18"/>
                <w:color w:val="auto"/>
              </w:rPr>
              <w:t>Orange County</w:t>
            </w:r>
          </w:p>
        </w:tc>
      </w:tr>
      <w:tr>
        <w:trPr>
          <w:trHeight w:val="216"/>
        </w:trPr>
        <w:tc>
          <w:tcPr>
            <w:tcW w:w="3180" w:type="dxa"/>
            <w:vAlign w:val="bottom"/>
            <w:gridSpan w:val="2"/>
          </w:tcPr>
          <w:p>
            <w:pPr>
              <w:spacing w:after="0"/>
              <w:rPr>
                <w:sz w:val="20"/>
                <w:szCs w:val="20"/>
                <w:color w:val="auto"/>
              </w:rPr>
            </w:pPr>
            <w:r>
              <w:rPr>
                <w:rFonts w:ascii="Arial" w:cs="Arial" w:eastAsia="Arial" w:hAnsi="Arial"/>
                <w:sz w:val="18"/>
                <w:szCs w:val="18"/>
                <w:color w:val="auto"/>
              </w:rPr>
              <w:t>London 2E1 2RE, United Kingdom</w:t>
            </w:r>
          </w:p>
        </w:tc>
        <w:tc>
          <w:tcPr>
            <w:tcW w:w="5740" w:type="dxa"/>
            <w:vAlign w:val="bottom"/>
          </w:tcPr>
          <w:p>
            <w:pPr>
              <w:ind w:left="4700"/>
              <w:spacing w:after="0"/>
              <w:rPr>
                <w:sz w:val="20"/>
                <w:szCs w:val="20"/>
                <w:color w:val="auto"/>
              </w:rPr>
            </w:pPr>
            <w:r>
              <w:rPr>
                <w:rFonts w:ascii="Arial" w:cs="Arial" w:eastAsia="Arial" w:hAnsi="Arial"/>
                <w:sz w:val="18"/>
                <w:szCs w:val="18"/>
                <w:color w:val="auto"/>
              </w:rPr>
              <w:t>Chicago</w:t>
            </w:r>
          </w:p>
        </w:tc>
        <w:tc>
          <w:tcPr>
            <w:tcW w:w="2320" w:type="dxa"/>
            <w:vAlign w:val="bottom"/>
          </w:tcPr>
          <w:p>
            <w:pPr>
              <w:ind w:left="80"/>
              <w:spacing w:after="0"/>
              <w:rPr>
                <w:sz w:val="20"/>
                <w:szCs w:val="20"/>
                <w:color w:val="auto"/>
              </w:rPr>
            </w:pPr>
            <w:r>
              <w:rPr>
                <w:rFonts w:ascii="Arial" w:cs="Arial" w:eastAsia="Arial" w:hAnsi="Arial"/>
                <w:sz w:val="18"/>
                <w:szCs w:val="18"/>
                <w:color w:val="auto"/>
              </w:rPr>
              <w:t>Paris</w:t>
            </w:r>
          </w:p>
        </w:tc>
      </w:tr>
      <w:tr>
        <w:trPr>
          <w:trHeight w:val="216"/>
        </w:trPr>
        <w:tc>
          <w:tcPr>
            <w:tcW w:w="5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740" w:type="dxa"/>
            <w:vAlign w:val="bottom"/>
          </w:tcPr>
          <w:p>
            <w:pPr>
              <w:ind w:left="4700"/>
              <w:spacing w:after="0"/>
              <w:rPr>
                <w:sz w:val="20"/>
                <w:szCs w:val="20"/>
                <w:color w:val="auto"/>
              </w:rPr>
            </w:pPr>
            <w:r>
              <w:rPr>
                <w:rFonts w:ascii="Arial" w:cs="Arial" w:eastAsia="Arial" w:hAnsi="Arial"/>
                <w:sz w:val="18"/>
                <w:szCs w:val="18"/>
                <w:color w:val="auto"/>
              </w:rPr>
              <w:t>Dubai</w:t>
            </w:r>
          </w:p>
        </w:tc>
        <w:tc>
          <w:tcPr>
            <w:tcW w:w="2320" w:type="dxa"/>
            <w:vAlign w:val="bottom"/>
          </w:tcPr>
          <w:p>
            <w:pPr>
              <w:ind w:left="80"/>
              <w:spacing w:after="0"/>
              <w:rPr>
                <w:sz w:val="20"/>
                <w:szCs w:val="20"/>
                <w:color w:val="auto"/>
              </w:rPr>
            </w:pPr>
            <w:r>
              <w:rPr>
                <w:rFonts w:ascii="Arial" w:cs="Arial" w:eastAsia="Arial" w:hAnsi="Arial"/>
                <w:sz w:val="18"/>
                <w:szCs w:val="18"/>
                <w:color w:val="auto"/>
              </w:rPr>
              <w:t>Riyadh</w:t>
            </w:r>
          </w:p>
        </w:tc>
      </w:tr>
      <w:tr>
        <w:trPr>
          <w:trHeight w:val="216"/>
        </w:trPr>
        <w:tc>
          <w:tcPr>
            <w:tcW w:w="5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740" w:type="dxa"/>
            <w:vAlign w:val="bottom"/>
          </w:tcPr>
          <w:p>
            <w:pPr>
              <w:ind w:left="4700"/>
              <w:spacing w:after="0"/>
              <w:rPr>
                <w:sz w:val="20"/>
                <w:szCs w:val="20"/>
                <w:color w:val="auto"/>
              </w:rPr>
            </w:pPr>
            <w:r>
              <w:rPr>
                <w:rFonts w:ascii="Arial" w:cs="Arial" w:eastAsia="Arial" w:hAnsi="Arial"/>
                <w:sz w:val="18"/>
                <w:szCs w:val="18"/>
                <w:color w:val="auto"/>
              </w:rPr>
              <w:t>Düsseldorf</w:t>
            </w:r>
          </w:p>
        </w:tc>
        <w:tc>
          <w:tcPr>
            <w:tcW w:w="2320" w:type="dxa"/>
            <w:vAlign w:val="bottom"/>
          </w:tcPr>
          <w:p>
            <w:pPr>
              <w:ind w:left="80"/>
              <w:spacing w:after="0"/>
              <w:rPr>
                <w:sz w:val="20"/>
                <w:szCs w:val="20"/>
                <w:color w:val="auto"/>
              </w:rPr>
            </w:pPr>
            <w:r>
              <w:rPr>
                <w:rFonts w:ascii="Arial" w:cs="Arial" w:eastAsia="Arial" w:hAnsi="Arial"/>
                <w:sz w:val="18"/>
                <w:szCs w:val="18"/>
                <w:color w:val="auto"/>
              </w:rPr>
              <w:t>San Diego</w:t>
            </w:r>
          </w:p>
        </w:tc>
      </w:tr>
      <w:tr>
        <w:trPr>
          <w:trHeight w:val="216"/>
        </w:trPr>
        <w:tc>
          <w:tcPr>
            <w:tcW w:w="5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740" w:type="dxa"/>
            <w:vAlign w:val="bottom"/>
          </w:tcPr>
          <w:p>
            <w:pPr>
              <w:ind w:left="4700"/>
              <w:spacing w:after="0"/>
              <w:rPr>
                <w:sz w:val="20"/>
                <w:szCs w:val="20"/>
                <w:color w:val="auto"/>
              </w:rPr>
            </w:pPr>
            <w:r>
              <w:rPr>
                <w:rFonts w:ascii="Arial" w:cs="Arial" w:eastAsia="Arial" w:hAnsi="Arial"/>
                <w:sz w:val="18"/>
                <w:szCs w:val="18"/>
                <w:color w:val="auto"/>
              </w:rPr>
              <w:t>Frankfurt</w:t>
            </w:r>
          </w:p>
        </w:tc>
        <w:tc>
          <w:tcPr>
            <w:tcW w:w="2320" w:type="dxa"/>
            <w:vAlign w:val="bottom"/>
          </w:tcPr>
          <w:p>
            <w:pPr>
              <w:ind w:left="80"/>
              <w:spacing w:after="0"/>
              <w:rPr>
                <w:sz w:val="20"/>
                <w:szCs w:val="20"/>
                <w:color w:val="auto"/>
              </w:rPr>
            </w:pPr>
            <w:r>
              <w:rPr>
                <w:rFonts w:ascii="Arial" w:cs="Arial" w:eastAsia="Arial" w:hAnsi="Arial"/>
                <w:sz w:val="18"/>
                <w:szCs w:val="18"/>
                <w:color w:val="auto"/>
              </w:rPr>
              <w:t>San Francisco</w:t>
            </w:r>
          </w:p>
        </w:tc>
      </w:tr>
      <w:tr>
        <w:trPr>
          <w:trHeight w:val="216"/>
        </w:trPr>
        <w:tc>
          <w:tcPr>
            <w:tcW w:w="5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740" w:type="dxa"/>
            <w:vAlign w:val="bottom"/>
          </w:tcPr>
          <w:p>
            <w:pPr>
              <w:ind w:left="4700"/>
              <w:spacing w:after="0"/>
              <w:rPr>
                <w:sz w:val="20"/>
                <w:szCs w:val="20"/>
                <w:color w:val="auto"/>
              </w:rPr>
            </w:pPr>
            <w:r>
              <w:rPr>
                <w:rFonts w:ascii="Arial" w:cs="Arial" w:eastAsia="Arial" w:hAnsi="Arial"/>
                <w:sz w:val="18"/>
                <w:szCs w:val="18"/>
                <w:color w:val="auto"/>
              </w:rPr>
              <w:t>Hamburg</w:t>
            </w:r>
          </w:p>
        </w:tc>
        <w:tc>
          <w:tcPr>
            <w:tcW w:w="2320" w:type="dxa"/>
            <w:vAlign w:val="bottom"/>
          </w:tcPr>
          <w:p>
            <w:pPr>
              <w:ind w:left="80"/>
              <w:spacing w:after="0"/>
              <w:rPr>
                <w:sz w:val="20"/>
                <w:szCs w:val="20"/>
                <w:color w:val="auto"/>
              </w:rPr>
            </w:pPr>
            <w:r>
              <w:rPr>
                <w:rFonts w:ascii="Arial" w:cs="Arial" w:eastAsia="Arial" w:hAnsi="Arial"/>
                <w:sz w:val="18"/>
                <w:szCs w:val="18"/>
                <w:color w:val="auto"/>
              </w:rPr>
              <w:t>Seoul</w:t>
            </w:r>
          </w:p>
        </w:tc>
      </w:tr>
      <w:tr>
        <w:trPr>
          <w:trHeight w:val="216"/>
        </w:trPr>
        <w:tc>
          <w:tcPr>
            <w:tcW w:w="5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740" w:type="dxa"/>
            <w:vAlign w:val="bottom"/>
          </w:tcPr>
          <w:p>
            <w:pPr>
              <w:ind w:left="4700"/>
              <w:spacing w:after="0"/>
              <w:rPr>
                <w:sz w:val="20"/>
                <w:szCs w:val="20"/>
                <w:color w:val="auto"/>
              </w:rPr>
            </w:pPr>
            <w:r>
              <w:rPr>
                <w:rFonts w:ascii="Arial" w:cs="Arial" w:eastAsia="Arial" w:hAnsi="Arial"/>
                <w:sz w:val="18"/>
                <w:szCs w:val="18"/>
                <w:color w:val="auto"/>
              </w:rPr>
              <w:t>Hong Kong</w:t>
            </w:r>
          </w:p>
        </w:tc>
        <w:tc>
          <w:tcPr>
            <w:tcW w:w="2320" w:type="dxa"/>
            <w:vAlign w:val="bottom"/>
          </w:tcPr>
          <w:p>
            <w:pPr>
              <w:ind w:left="80"/>
              <w:spacing w:after="0"/>
              <w:rPr>
                <w:sz w:val="20"/>
                <w:szCs w:val="20"/>
                <w:color w:val="auto"/>
              </w:rPr>
            </w:pPr>
            <w:r>
              <w:rPr>
                <w:rFonts w:ascii="Arial" w:cs="Arial" w:eastAsia="Arial" w:hAnsi="Arial"/>
                <w:sz w:val="18"/>
                <w:szCs w:val="18"/>
                <w:color w:val="auto"/>
              </w:rPr>
              <w:t>Shanghai</w:t>
            </w:r>
          </w:p>
        </w:tc>
      </w:tr>
      <w:tr>
        <w:trPr>
          <w:trHeight w:val="216"/>
        </w:trPr>
        <w:tc>
          <w:tcPr>
            <w:tcW w:w="5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740" w:type="dxa"/>
            <w:vAlign w:val="bottom"/>
          </w:tcPr>
          <w:p>
            <w:pPr>
              <w:ind w:left="4700"/>
              <w:spacing w:after="0"/>
              <w:rPr>
                <w:sz w:val="20"/>
                <w:szCs w:val="20"/>
                <w:color w:val="auto"/>
              </w:rPr>
            </w:pPr>
            <w:r>
              <w:rPr>
                <w:rFonts w:ascii="Arial" w:cs="Arial" w:eastAsia="Arial" w:hAnsi="Arial"/>
                <w:sz w:val="18"/>
                <w:szCs w:val="18"/>
                <w:color w:val="auto"/>
              </w:rPr>
              <w:t>Houston</w:t>
            </w:r>
          </w:p>
        </w:tc>
        <w:tc>
          <w:tcPr>
            <w:tcW w:w="2320" w:type="dxa"/>
            <w:vAlign w:val="bottom"/>
          </w:tcPr>
          <w:p>
            <w:pPr>
              <w:ind w:left="80"/>
              <w:spacing w:after="0"/>
              <w:rPr>
                <w:sz w:val="20"/>
                <w:szCs w:val="20"/>
                <w:color w:val="auto"/>
              </w:rPr>
            </w:pPr>
            <w:r>
              <w:rPr>
                <w:rFonts w:ascii="Arial" w:cs="Arial" w:eastAsia="Arial" w:hAnsi="Arial"/>
                <w:sz w:val="18"/>
                <w:szCs w:val="18"/>
                <w:color w:val="auto"/>
              </w:rPr>
              <w:t>Silicon Valley</w:t>
            </w:r>
          </w:p>
        </w:tc>
      </w:tr>
      <w:tr>
        <w:trPr>
          <w:trHeight w:val="216"/>
        </w:trPr>
        <w:tc>
          <w:tcPr>
            <w:tcW w:w="5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740" w:type="dxa"/>
            <w:vAlign w:val="bottom"/>
          </w:tcPr>
          <w:p>
            <w:pPr>
              <w:ind w:left="4700"/>
              <w:spacing w:after="0"/>
              <w:rPr>
                <w:sz w:val="20"/>
                <w:szCs w:val="20"/>
                <w:color w:val="auto"/>
              </w:rPr>
            </w:pPr>
            <w:r>
              <w:rPr>
                <w:rFonts w:ascii="Arial" w:cs="Arial" w:eastAsia="Arial" w:hAnsi="Arial"/>
                <w:sz w:val="18"/>
                <w:szCs w:val="18"/>
                <w:color w:val="auto"/>
              </w:rPr>
              <w:t>London</w:t>
            </w:r>
          </w:p>
        </w:tc>
        <w:tc>
          <w:tcPr>
            <w:tcW w:w="2320" w:type="dxa"/>
            <w:vAlign w:val="bottom"/>
          </w:tcPr>
          <w:p>
            <w:pPr>
              <w:ind w:left="80"/>
              <w:spacing w:after="0"/>
              <w:rPr>
                <w:sz w:val="20"/>
                <w:szCs w:val="20"/>
                <w:color w:val="auto"/>
              </w:rPr>
            </w:pPr>
            <w:r>
              <w:rPr>
                <w:rFonts w:ascii="Arial" w:cs="Arial" w:eastAsia="Arial" w:hAnsi="Arial"/>
                <w:sz w:val="18"/>
                <w:szCs w:val="18"/>
                <w:color w:val="auto"/>
              </w:rPr>
              <w:t>Singapore</w:t>
            </w:r>
          </w:p>
        </w:tc>
      </w:tr>
      <w:tr>
        <w:trPr>
          <w:trHeight w:val="216"/>
        </w:trPr>
        <w:tc>
          <w:tcPr>
            <w:tcW w:w="5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740" w:type="dxa"/>
            <w:vAlign w:val="bottom"/>
          </w:tcPr>
          <w:p>
            <w:pPr>
              <w:ind w:left="4700"/>
              <w:spacing w:after="0"/>
              <w:rPr>
                <w:sz w:val="20"/>
                <w:szCs w:val="20"/>
                <w:color w:val="auto"/>
              </w:rPr>
            </w:pPr>
            <w:r>
              <w:rPr>
                <w:rFonts w:ascii="Arial" w:cs="Arial" w:eastAsia="Arial" w:hAnsi="Arial"/>
                <w:sz w:val="18"/>
                <w:szCs w:val="18"/>
                <w:color w:val="auto"/>
              </w:rPr>
              <w:t>Los Angeles</w:t>
            </w:r>
          </w:p>
        </w:tc>
        <w:tc>
          <w:tcPr>
            <w:tcW w:w="2320" w:type="dxa"/>
            <w:vAlign w:val="bottom"/>
          </w:tcPr>
          <w:p>
            <w:pPr>
              <w:ind w:left="80"/>
              <w:spacing w:after="0"/>
              <w:rPr>
                <w:sz w:val="20"/>
                <w:szCs w:val="20"/>
                <w:color w:val="auto"/>
              </w:rPr>
            </w:pPr>
            <w:r>
              <w:rPr>
                <w:rFonts w:ascii="Arial" w:cs="Arial" w:eastAsia="Arial" w:hAnsi="Arial"/>
                <w:sz w:val="18"/>
                <w:szCs w:val="18"/>
                <w:color w:val="auto"/>
              </w:rPr>
              <w:t>Tokyo</w:t>
            </w:r>
          </w:p>
        </w:tc>
      </w:tr>
      <w:tr>
        <w:trPr>
          <w:trHeight w:val="216"/>
        </w:trPr>
        <w:tc>
          <w:tcPr>
            <w:tcW w:w="5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740" w:type="dxa"/>
            <w:vAlign w:val="bottom"/>
          </w:tcPr>
          <w:p>
            <w:pPr>
              <w:ind w:left="4700"/>
              <w:spacing w:after="0"/>
              <w:rPr>
                <w:sz w:val="20"/>
                <w:szCs w:val="20"/>
                <w:color w:val="auto"/>
              </w:rPr>
            </w:pPr>
            <w:r>
              <w:rPr>
                <w:rFonts w:ascii="Arial" w:cs="Arial" w:eastAsia="Arial" w:hAnsi="Arial"/>
                <w:sz w:val="18"/>
                <w:szCs w:val="18"/>
                <w:color w:val="auto"/>
              </w:rPr>
              <w:t>Madrid</w:t>
            </w:r>
          </w:p>
        </w:tc>
        <w:tc>
          <w:tcPr>
            <w:tcW w:w="2320" w:type="dxa"/>
            <w:vAlign w:val="bottom"/>
          </w:tcPr>
          <w:p>
            <w:pPr>
              <w:ind w:left="80"/>
              <w:spacing w:after="0"/>
              <w:rPr>
                <w:sz w:val="20"/>
                <w:szCs w:val="20"/>
                <w:color w:val="auto"/>
              </w:rPr>
            </w:pPr>
            <w:r>
              <w:rPr>
                <w:rFonts w:ascii="Arial" w:cs="Arial" w:eastAsia="Arial" w:hAnsi="Arial"/>
                <w:sz w:val="18"/>
                <w:szCs w:val="18"/>
                <w:color w:val="auto"/>
              </w:rPr>
              <w:t>Washington, D.C.</w:t>
            </w:r>
          </w:p>
        </w:tc>
      </w:tr>
      <w:tr>
        <w:trPr>
          <w:trHeight w:val="230"/>
        </w:trPr>
        <w:tc>
          <w:tcPr>
            <w:tcW w:w="5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740" w:type="dxa"/>
            <w:vAlign w:val="bottom"/>
          </w:tcPr>
          <w:p>
            <w:pPr>
              <w:ind w:left="4700"/>
              <w:spacing w:after="0"/>
              <w:rPr>
                <w:sz w:val="20"/>
                <w:szCs w:val="20"/>
                <w:color w:val="auto"/>
              </w:rPr>
            </w:pPr>
            <w:r>
              <w:rPr>
                <w:rFonts w:ascii="Arial" w:cs="Arial" w:eastAsia="Arial" w:hAnsi="Arial"/>
                <w:sz w:val="18"/>
                <w:szCs w:val="18"/>
                <w:color w:val="auto"/>
              </w:rPr>
              <w:t>Milan</w:t>
            </w:r>
          </w:p>
        </w:tc>
        <w:tc>
          <w:tcPr>
            <w:tcW w:w="2320" w:type="dxa"/>
            <w:vAlign w:val="bottom"/>
          </w:tcPr>
          <w:p>
            <w:pPr>
              <w:spacing w:after="0"/>
              <w:rPr>
                <w:sz w:val="20"/>
                <w:szCs w:val="20"/>
                <w:color w:val="auto"/>
              </w:rPr>
            </w:pPr>
          </w:p>
        </w:tc>
      </w:tr>
      <w:tr>
        <w:trPr>
          <w:trHeight w:val="391"/>
        </w:trPr>
        <w:tc>
          <w:tcPr>
            <w:tcW w:w="580" w:type="dxa"/>
            <w:vAlign w:val="bottom"/>
          </w:tcPr>
          <w:p>
            <w:pPr>
              <w:spacing w:after="0"/>
              <w:rPr>
                <w:sz w:val="20"/>
                <w:szCs w:val="20"/>
                <w:color w:val="auto"/>
              </w:rPr>
            </w:pPr>
            <w:r>
              <w:rPr>
                <w:rFonts w:ascii="Arial" w:cs="Arial" w:eastAsia="Arial" w:hAnsi="Arial"/>
                <w:sz w:val="18"/>
                <w:szCs w:val="18"/>
                <w:color w:val="auto"/>
              </w:rPr>
              <w:t>Re:</w:t>
            </w:r>
          </w:p>
        </w:tc>
        <w:tc>
          <w:tcPr>
            <w:tcW w:w="2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Registration Statement on Form S-3</w:t>
            </w:r>
          </w:p>
        </w:tc>
        <w:tc>
          <w:tcPr>
            <w:tcW w:w="5740" w:type="dxa"/>
            <w:vAlign w:val="bottom"/>
          </w:tcPr>
          <w:p>
            <w:pPr>
              <w:spacing w:after="0"/>
              <w:rPr>
                <w:sz w:val="24"/>
                <w:szCs w:val="24"/>
                <w:color w:val="auto"/>
              </w:rPr>
            </w:pPr>
          </w:p>
        </w:tc>
        <w:tc>
          <w:tcPr>
            <w:tcW w:w="2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-2725420</wp:posOffset>
            </wp:positionV>
            <wp:extent cx="2031365" cy="13716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0">
                      <a:extLst>
                        <a:ext uri="{28A0092B-C50C-407E-A947-70E740481C1C}"/>
                      </a:extLst>
                    </a:blip>
                    <a:srcRect/>
                    <a:stretch>
                      <a:fillRect/>
                    </a:stretch>
                  </pic:blipFill>
                  <pic:spPr bwMode="auto">
                    <a:xfrm>
                      <a:off x="0" y="0"/>
                      <a:ext cx="2031365" cy="1371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have acted as special counsel to Verona Pharma plc, a public limited company incorporated under the laws of England and Wales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its filing on the date hereof with the Securities and Exchange Commission (the “</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of a registration statement on Form S-3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including a base prospectus (the “</w:t>
      </w:r>
      <w:r>
        <w:rPr>
          <w:rFonts w:ascii="Arial" w:cs="Arial" w:eastAsia="Arial" w:hAnsi="Arial"/>
          <w:sz w:val="17"/>
          <w:szCs w:val="17"/>
          <w:b w:val="1"/>
          <w:bCs w:val="1"/>
          <w:i w:val="1"/>
          <w:iCs w:val="1"/>
          <w:color w:val="auto"/>
        </w:rPr>
        <w:t>Base Prospectus</w:t>
      </w:r>
      <w:r>
        <w:rPr>
          <w:rFonts w:ascii="Arial" w:cs="Arial" w:eastAsia="Arial" w:hAnsi="Arial"/>
          <w:sz w:val="17"/>
          <w:szCs w:val="17"/>
          <w:color w:val="auto"/>
        </w:rPr>
        <w:t>”), which provides that it will be supplemented by one or more prospectus supplements (each such prospectus supplement, together with the Base Prospectus, a “</w:t>
      </w:r>
      <w:r>
        <w:rPr>
          <w:rFonts w:ascii="Arial" w:cs="Arial" w:eastAsia="Arial" w:hAnsi="Arial"/>
          <w:sz w:val="17"/>
          <w:szCs w:val="17"/>
          <w:b w:val="1"/>
          <w:bCs w:val="1"/>
          <w:i w:val="1"/>
          <w:iCs w:val="1"/>
          <w:color w:val="auto"/>
        </w:rPr>
        <w:t>Prospectus</w:t>
      </w:r>
      <w:r>
        <w:rPr>
          <w:rFonts w:ascii="Arial" w:cs="Arial" w:eastAsia="Arial" w:hAnsi="Arial"/>
          <w:sz w:val="17"/>
          <w:szCs w:val="17"/>
          <w:color w:val="auto"/>
        </w:rPr>
        <w:t>”), under the Securities Act of 1933, as amended (the “</w:t>
      </w:r>
      <w:r>
        <w:rPr>
          <w:rFonts w:ascii="Arial" w:cs="Arial" w:eastAsia="Arial" w:hAnsi="Arial"/>
          <w:sz w:val="17"/>
          <w:szCs w:val="17"/>
          <w:b w:val="1"/>
          <w:bCs w:val="1"/>
          <w:i w:val="1"/>
          <w:iCs w:val="1"/>
          <w:color w:val="auto"/>
        </w:rPr>
        <w:t>Act</w:t>
      </w:r>
      <w:r>
        <w:rPr>
          <w:rFonts w:ascii="Arial" w:cs="Arial" w:eastAsia="Arial" w:hAnsi="Arial"/>
          <w:sz w:val="17"/>
          <w:szCs w:val="17"/>
          <w:color w:val="auto"/>
        </w:rPr>
        <w:t>”), relating to the registration for issue and sale by the Company of up to $250 million aggregate offering amount of (i) ordinary shares at a nominal value of £0.05 per share, including ordinary shares in the form of American Depositary Shares (the “</w:t>
      </w:r>
      <w:r>
        <w:rPr>
          <w:rFonts w:ascii="Arial" w:cs="Arial" w:eastAsia="Arial" w:hAnsi="Arial"/>
          <w:sz w:val="17"/>
          <w:szCs w:val="17"/>
          <w:b w:val="1"/>
          <w:bCs w:val="1"/>
          <w:i w:val="1"/>
          <w:iCs w:val="1"/>
          <w:color w:val="auto"/>
        </w:rPr>
        <w:t>ADSs</w:t>
      </w:r>
      <w:r>
        <w:rPr>
          <w:rFonts w:ascii="Arial" w:cs="Arial" w:eastAsia="Arial" w:hAnsi="Arial"/>
          <w:sz w:val="17"/>
          <w:szCs w:val="17"/>
          <w:color w:val="auto"/>
        </w:rPr>
        <w:t>”), (ii) one or more series of the Company’s debt securities (collectively, “</w:t>
      </w:r>
      <w:r>
        <w:rPr>
          <w:rFonts w:ascii="Arial" w:cs="Arial" w:eastAsia="Arial" w:hAnsi="Arial"/>
          <w:sz w:val="17"/>
          <w:szCs w:val="17"/>
          <w:b w:val="1"/>
          <w:bCs w:val="1"/>
          <w:i w:val="1"/>
          <w:iCs w:val="1"/>
          <w:color w:val="auto"/>
        </w:rPr>
        <w:t>Debt Securities</w:t>
      </w:r>
      <w:r>
        <w:rPr>
          <w:rFonts w:ascii="Arial" w:cs="Arial" w:eastAsia="Arial" w:hAnsi="Arial"/>
          <w:sz w:val="17"/>
          <w:szCs w:val="17"/>
          <w:color w:val="auto"/>
        </w:rPr>
        <w:t>”) to be issued under an indenture to be entered into between the Company, as issuer, and a trustee (a form of which is included as Exhibit 4.2 to the Registration Statement) and one or more board resolutions, supplements thereto or officer’s certificates thereunder (such indenture, together with the applicable board resolution, supplement or officer’s certificate pertaining to the applicable series of Debt Securities, the “</w:t>
      </w:r>
      <w:r>
        <w:rPr>
          <w:rFonts w:ascii="Arial" w:cs="Arial" w:eastAsia="Arial" w:hAnsi="Arial"/>
          <w:sz w:val="17"/>
          <w:szCs w:val="17"/>
          <w:b w:val="1"/>
          <w:bCs w:val="1"/>
          <w:i w:val="1"/>
          <w:iCs w:val="1"/>
          <w:color w:val="auto"/>
        </w:rPr>
        <w:t>Applicable Indenture</w:t>
      </w:r>
      <w:r>
        <w:rPr>
          <w:rFonts w:ascii="Arial" w:cs="Arial" w:eastAsia="Arial" w:hAnsi="Arial"/>
          <w:sz w:val="17"/>
          <w:szCs w:val="17"/>
          <w:color w:val="auto"/>
        </w:rPr>
        <w:t>”) (iii) warrants (“</w:t>
      </w:r>
      <w:r>
        <w:rPr>
          <w:rFonts w:ascii="Arial" w:cs="Arial" w:eastAsia="Arial" w:hAnsi="Arial"/>
          <w:sz w:val="17"/>
          <w:szCs w:val="17"/>
          <w:b w:val="1"/>
          <w:bCs w:val="1"/>
          <w:i w:val="1"/>
          <w:iCs w:val="1"/>
          <w:color w:val="auto"/>
        </w:rPr>
        <w:t>Warrants</w:t>
      </w:r>
      <w:r>
        <w:rPr>
          <w:rFonts w:ascii="Arial" w:cs="Arial" w:eastAsia="Arial" w:hAnsi="Arial"/>
          <w:sz w:val="17"/>
          <w:szCs w:val="17"/>
          <w:color w:val="auto"/>
        </w:rPr>
        <w:t>”), and (iv) units (“</w:t>
      </w:r>
      <w:r>
        <w:rPr>
          <w:rFonts w:ascii="Arial" w:cs="Arial" w:eastAsia="Arial" w:hAnsi="Arial"/>
          <w:sz w:val="17"/>
          <w:szCs w:val="17"/>
          <w:b w:val="1"/>
          <w:bCs w:val="1"/>
          <w:i w:val="1"/>
          <w:iCs w:val="1"/>
          <w:color w:val="auto"/>
        </w:rPr>
        <w:t>Units</w:t>
      </w:r>
      <w:r>
        <w:rPr>
          <w:rFonts w:ascii="Arial" w:cs="Arial" w:eastAsia="Arial" w:hAnsi="Arial"/>
          <w:sz w:val="17"/>
          <w:szCs w:val="17"/>
          <w:color w:val="auto"/>
        </w:rPr>
        <w:t>”). The Debt Securities, Warrants and Units, plus any additional Debt Securities, Warrants and Units that may be registered pursuant to any subsequent registration statement that the Company may hereafter file with the Commission pursuant to Rule 462(b) under the Act in connection with the offering by the Company contemplated by the Registration Statement, are referred to herein collectively as the “</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opinion is being furnished in connection with the requirements of Item 601(b)(5) of Regulation S-K under the Act, and no opinion is expressed herein as to any matter pertaining to the contents of the Registration Statement or related applicable Prospectus, other than as expressly stated herein with respect to the issue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March 19, 2021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031365"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2">
                      <a:extLst>
                        <a:ext uri="{28A0092B-C50C-407E-A947-70E740481C1C}"/>
                      </a:extLst>
                    </a:blip>
                    <a:srcRect/>
                    <a:stretch>
                      <a:fillRect/>
                    </a:stretch>
                  </pic:blipFill>
                  <pic:spPr bwMode="auto">
                    <a:xfrm>
                      <a:off x="0" y="0"/>
                      <a:ext cx="203136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internal laws of the State of New York, and we express no opinion with respect to the applicability thereto, or the effect thereon, of the laws of any other jurisdiction or as to any matters of municipal law or the laws of any local agencies within any state.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foregoing and the other matters set forth herein, it is our opinion that, as of the date hereof:</w:t>
      </w:r>
    </w:p>
    <w:p>
      <w:pPr>
        <w:spacing w:after="0" w:line="225" w:lineRule="exact"/>
        <w:rPr>
          <w:sz w:val="20"/>
          <w:szCs w:val="20"/>
          <w:color w:val="auto"/>
        </w:rPr>
      </w:pPr>
    </w:p>
    <w:p>
      <w:pPr>
        <w:jc w:val="both"/>
        <w:ind w:firstLine="656"/>
        <w:spacing w:after="0" w:line="255" w:lineRule="auto"/>
        <w:tabs>
          <w:tab w:leader="none" w:pos="122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When the Applicable Indenture has been duly authorized, executed and delivered by all necessary corporate action of the Company, and when the specific terms of a particular series of Debt Securities have been duly established in accordance with the terms of the Applicable Indenture and authorized by all necessary corporate action of the Company, and such Debt Securities have been duly executed, authenticated, issued and delivered against payment therefor in accordance with the terms of the Applicable Indenture and in the manner contemplated by the applicable Prospectus and by such corporate action, such Debt Securities will be the legally valid and binding obligations of the Company, enforceable against the Company in accordance with their terms.</w:t>
      </w:r>
    </w:p>
    <w:p>
      <w:pPr>
        <w:spacing w:after="0" w:line="192" w:lineRule="exact"/>
        <w:rPr>
          <w:rFonts w:ascii="Arial" w:cs="Arial" w:eastAsia="Arial" w:hAnsi="Arial"/>
          <w:sz w:val="18"/>
          <w:szCs w:val="18"/>
          <w:color w:val="auto"/>
        </w:rPr>
      </w:pPr>
    </w:p>
    <w:p>
      <w:pPr>
        <w:jc w:val="both"/>
        <w:ind w:firstLine="656"/>
        <w:spacing w:after="0" w:line="254" w:lineRule="auto"/>
        <w:tabs>
          <w:tab w:leader="none" w:pos="110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When the applicable warrant agreement has been duly authorized, executed and delivered by all necessary corporate action of the Company, and when the specific terms of a particular issuance of Warrants have been duly established in accordance with the terms of the applicable warrant agreement and authorized by all necessary corporate action of the Company, and such Warrants have been duly executed, authenticated, issued and delivered against payment therefor in accordance with the terms of the applicable warrant agreement and in the manner contemplated by the applicable Prospectus and by such corporate action (assuming the securities issuable upon exercise of such Warrants have been duly authorized and reserved for issuance by all necessary corporate action), such Warrants will be the legally valid and binding obligations of the Company, enforceable against the Company in accordance with their terms.</w:t>
      </w:r>
    </w:p>
    <w:p>
      <w:pPr>
        <w:spacing w:after="0" w:line="194" w:lineRule="exact"/>
        <w:rPr>
          <w:rFonts w:ascii="Arial" w:cs="Arial" w:eastAsia="Arial" w:hAnsi="Arial"/>
          <w:sz w:val="18"/>
          <w:szCs w:val="18"/>
          <w:color w:val="auto"/>
        </w:rPr>
      </w:pPr>
    </w:p>
    <w:p>
      <w:pPr>
        <w:jc w:val="both"/>
        <w:ind w:firstLine="656"/>
        <w:spacing w:after="0" w:line="293" w:lineRule="auto"/>
        <w:tabs>
          <w:tab w:leader="none" w:pos="1216" w:val="left"/>
        </w:tabs>
        <w:numPr>
          <w:ilvl w:val="0"/>
          <w:numId w:val="135"/>
        </w:numPr>
        <w:rPr>
          <w:rFonts w:ascii="Arial" w:cs="Arial" w:eastAsia="Arial" w:hAnsi="Arial"/>
          <w:sz w:val="16"/>
          <w:szCs w:val="16"/>
          <w:color w:val="auto"/>
        </w:rPr>
      </w:pPr>
      <w:r>
        <w:rPr>
          <w:rFonts w:ascii="Arial" w:cs="Arial" w:eastAsia="Arial" w:hAnsi="Arial"/>
          <w:sz w:val="16"/>
          <w:szCs w:val="16"/>
          <w:color w:val="auto"/>
        </w:rPr>
        <w:t>When the applicable unit agreement has been duly authorized, executed and delivered by all necessary corporate action of the Company, and when the specific terms of a particular issuance of Units have been duly authorized in accordance with the terms of the applicable unit agreement and authorized by all necessary corporate action of the Company, and such Units have been duly executed, authenticated, issued and delivered against payment therefor in accordance with the terms of the applicable unit agreement and in the manner contemplated by the applicable Prospectus and by such corporate action (assuming the securities issuable upon exercise of such Units have been duly authorized and reserved for issuance by all necessary corporate action), such Units will be the legally valid and binding obligations of the Company, enforceable against the Company in accordance with their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color w:val="auto"/>
        </w:rPr>
        <w:t>March 19, 2021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031365"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203136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Our opinions are subject to: (i) the effect of bankruptcy, insolvency, reorganization, preference, fraudulent transfer, moratorium or other similar laws relating to or affecting the rights and remedies of creditors; (ii) the effect of general principles of equity, whether considered in a proceeding in equity or at law (including the possible unavailability of specific performance or injunctive relief), concepts of materiality, reasonableness, good faith and fair dealing, and the discretion of the court before which a proceeding is brought; (iii) the invalidity under certain circumstances under law or court decisions of provisions providing for the indemnification of or contribution to a party with respect to a liability where such indemnification or contribution is contrary to public policy; and (iv) we express no opinion as to (a) any provision for liquidated damages, default interest, late charges, monetary penalties, make-whole premiums or other economic remedies to the extent such provisions are deemed to constitute a penalty, (b) consents to, or restrictions upon, governing law, jurisdiction, venue, arbitration, remedies, or judicial relief, (c) waivers of rights or defenses, (d) any provision requiring the payment of attorneys’ fees, where such payment is contrary to law or public policy, (e) any provision permitting, upon acceleration of any Debt Securities, collection of that portion of the stated principal amount thereof which might be determined to constitute unearned interest thereon, (f) the creation, validity, attachment, perfection, or priority of any lien or security interest, (g) advance waivers of claims, defenses, rights granted by law, or notice, opportunity for hearing, evidentiary requirements, statutes of limitation, trial by jury or at law, or other procedural rights, (h) waivers of broadly or vaguely stated rights, (i) provisions for exclusivity, election or cumulation of rights or remedies, (j) provisions authorizing or validating conclusive or discretionary determinations, (k) grants of setoff rights, (l) proxies, powers and trusts, (m) provisions prohibiting, restricting, or requiring consent to assignment or transfer of any right or property,</w:t>
      </w:r>
    </w:p>
    <w:p>
      <w:pPr>
        <w:spacing w:after="0" w:line="1" w:lineRule="exact"/>
        <w:rPr>
          <w:sz w:val="20"/>
          <w:szCs w:val="20"/>
          <w:color w:val="auto"/>
        </w:rPr>
      </w:pPr>
    </w:p>
    <w:p>
      <w:pPr>
        <w:jc w:val="both"/>
        <w:ind w:firstLine="8"/>
        <w:spacing w:after="0" w:line="255" w:lineRule="auto"/>
        <w:tabs>
          <w:tab w:leader="none" w:pos="26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provision to the extent it requires that a claim with respect to a security denominated in other than U.S. dollars (or a judgment in respect of such a claim) be converted into U.S. dollars at a rate of exchange at a particular date, to the extent applicable law otherwise provides, and (o) the severability, if invalid, of provisions to the foregoing effect.</w:t>
      </w:r>
    </w:p>
    <w:p>
      <w:pPr>
        <w:spacing w:after="0" w:line="19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With your consent, we have assumed (a) that each of the Debt Securities, Warrants and Units and the Applicable Indenture, warrant agreements and unit agreements, governing such Securities (collectively, the “</w:t>
      </w:r>
      <w:r>
        <w:rPr>
          <w:rFonts w:ascii="Arial" w:cs="Arial" w:eastAsia="Arial" w:hAnsi="Arial"/>
          <w:sz w:val="16"/>
          <w:szCs w:val="16"/>
          <w:b w:val="1"/>
          <w:bCs w:val="1"/>
          <w:i w:val="1"/>
          <w:iCs w:val="1"/>
          <w:color w:val="auto"/>
        </w:rPr>
        <w:t>Documents</w:t>
      </w:r>
      <w:r>
        <w:rPr>
          <w:rFonts w:ascii="Arial" w:cs="Arial" w:eastAsia="Arial" w:hAnsi="Arial"/>
          <w:sz w:val="16"/>
          <w:szCs w:val="16"/>
          <w:color w:val="auto"/>
        </w:rPr>
        <w:t>”) will be governed by the internal laws of the State of New York, (b) that each of the Documents has been or will be duly authorized, executed and delivered by the parties thereto, (c) that each of the Documents constitutes or will constitute legally valid and binding obligations of the parties thereto other than the Company, enforceable against each of them in accordance with their respective terms, and (d) that the status of each of the Documents as legally valid and binding obligations of the parties will not be affected by any (i) breaches of, or defaults under, agreements or instruments, (ii) violations of statutes, rules, regulations or court or governmental orders, or (iii) failures to obtain required consents, approvals or authorizations from, or to make required registrations, declarations or filings with, governmental authorities.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color w:val="auto"/>
        </w:rPr>
        <w:t>March 19, 2021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2031365" cy="13716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6">
                      <a:extLst>
                        <a:ext uri="{28A0092B-C50C-407E-A947-70E740481C1C}"/>
                      </a:extLst>
                    </a:blip>
                    <a:srcRect/>
                    <a:stretch>
                      <a:fillRect/>
                    </a:stretch>
                  </pic:blipFill>
                  <pic:spPr bwMode="auto">
                    <a:xfrm>
                      <a:off x="0" y="0"/>
                      <a:ext cx="203136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contained in the Prospectus under the heading “Legal Matters.” We further consent to the incorporation by reference of this letter and consent into any registration statement or post-effective amendment to the Registration Statement filed pursuant to Rule 462(b) under the Act with respect to the Securities. In giving such consent, we do not thereby admit that we are in the category of persons whose consent is required under Section 7 of the Act or the rules and regulations of the Commission thereunder.</w:t>
      </w:r>
    </w:p>
    <w:p>
      <w:pPr>
        <w:spacing w:after="0" w:line="17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Latham &amp; Watkins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22"/>
          <w:szCs w:val="22"/>
          <w:b w:val="1"/>
          <w:bCs w:val="1"/>
          <w:color w:val="auto"/>
        </w:rPr>
        <w:t>Exhibit 5.2</w:t>
      </w:r>
    </w:p>
    <w:p>
      <w:pPr>
        <w:spacing w:after="0" w:line="21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99 Bishopsgate</w:t>
      </w:r>
    </w:p>
    <w:p>
      <w:pPr>
        <w:spacing w:after="0" w:line="23"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London EC2M 3XF</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ind w:left="7540"/>
        <w:spacing w:after="0"/>
        <w:rPr>
          <w:sz w:val="20"/>
          <w:szCs w:val="20"/>
          <w:color w:val="auto"/>
        </w:rPr>
      </w:pPr>
      <w:r>
        <w:rPr>
          <w:rFonts w:ascii="Arial" w:cs="Arial" w:eastAsia="Arial" w:hAnsi="Arial"/>
          <w:sz w:val="16"/>
          <w:szCs w:val="16"/>
          <w:color w:val="auto"/>
        </w:rPr>
        <w:t>Tel: +44(0)20.7710.1000 Fax: +44(0)20.7374.4460</w:t>
      </w:r>
    </w:p>
    <w:p>
      <w:pPr>
        <w:spacing w:after="0" w:line="32" w:lineRule="exact"/>
        <w:rPr>
          <w:sz w:val="20"/>
          <w:szCs w:val="20"/>
          <w:color w:val="auto"/>
        </w:rPr>
      </w:pPr>
    </w:p>
    <w:p>
      <w:pPr>
        <w:ind w:left="7540"/>
        <w:spacing w:after="0"/>
        <w:rPr>
          <w:sz w:val="20"/>
          <w:szCs w:val="20"/>
          <w:color w:val="auto"/>
        </w:rPr>
      </w:pPr>
      <w:r>
        <w:rPr>
          <w:rFonts w:ascii="Arial" w:cs="Arial" w:eastAsia="Arial" w:hAnsi="Arial"/>
          <w:sz w:val="18"/>
          <w:szCs w:val="18"/>
          <w:color w:val="auto"/>
        </w:rPr>
        <w:t>www.lw.com</w:t>
      </w:r>
    </w:p>
    <w:p>
      <w:pPr>
        <w:spacing w:after="0" w:line="238"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FIRM / AFFILIATE OFFICES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228850" cy="2654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8">
                      <a:extLst>
                        <a:ext uri="{28A0092B-C50C-407E-A947-70E740481C1C}"/>
                      </a:extLst>
                    </a:blip>
                    <a:srcRect/>
                    <a:stretch>
                      <a:fillRect/>
                    </a:stretch>
                  </pic:blipFill>
                  <pic:spPr bwMode="auto">
                    <a:xfrm>
                      <a:off x="0" y="0"/>
                      <a:ext cx="2228850" cy="265430"/>
                    </a:xfrm>
                    <a:prstGeom prst="rect">
                      <a:avLst/>
                    </a:prstGeom>
                    <a:noFill/>
                  </pic:spPr>
                </pic:pic>
              </a:graphicData>
            </a:graphic>
          </wp:anchor>
        </w:drawing>
      </w:r>
    </w:p>
    <w:p>
      <w:pPr>
        <w:spacing w:after="0" w:line="3" w:lineRule="exact"/>
        <w:rPr>
          <w:sz w:val="20"/>
          <w:szCs w:val="20"/>
          <w:color w:val="auto"/>
        </w:rPr>
      </w:pPr>
    </w:p>
    <w:p>
      <w:pPr>
        <w:ind w:left="7880"/>
        <w:spacing w:after="0"/>
        <w:tabs>
          <w:tab w:leader="none" w:pos="8980" w:val="left"/>
        </w:tabs>
        <w:rPr>
          <w:sz w:val="20"/>
          <w:szCs w:val="20"/>
          <w:color w:val="auto"/>
        </w:rPr>
      </w:pPr>
      <w:r>
        <w:rPr>
          <w:rFonts w:ascii="Arial" w:cs="Arial" w:eastAsia="Arial" w:hAnsi="Arial"/>
          <w:sz w:val="18"/>
          <w:szCs w:val="18"/>
          <w:color w:val="auto"/>
        </w:rPr>
        <w:t>Beijing</w:t>
      </w:r>
      <w:r>
        <w:rPr>
          <w:sz w:val="20"/>
          <w:szCs w:val="20"/>
          <w:color w:val="auto"/>
        </w:rPr>
        <w:tab/>
      </w:r>
      <w:r>
        <w:rPr>
          <w:rFonts w:ascii="Arial" w:cs="Arial" w:eastAsia="Arial" w:hAnsi="Arial"/>
          <w:sz w:val="18"/>
          <w:szCs w:val="18"/>
          <w:color w:val="auto"/>
        </w:rPr>
        <w:t>Moscow</w:t>
      </w:r>
    </w:p>
    <w:p>
      <w:pPr>
        <w:spacing w:after="0" w:line="9" w:lineRule="exact"/>
        <w:rPr>
          <w:sz w:val="20"/>
          <w:szCs w:val="20"/>
          <w:color w:val="auto"/>
        </w:rPr>
      </w:pPr>
    </w:p>
    <w:p>
      <w:pPr>
        <w:ind w:left="7880"/>
        <w:spacing w:after="0"/>
        <w:tabs>
          <w:tab w:leader="none" w:pos="8980" w:val="left"/>
        </w:tabs>
        <w:rPr>
          <w:sz w:val="20"/>
          <w:szCs w:val="20"/>
          <w:color w:val="auto"/>
        </w:rPr>
      </w:pPr>
      <w:r>
        <w:rPr>
          <w:rFonts w:ascii="Arial" w:cs="Arial" w:eastAsia="Arial" w:hAnsi="Arial"/>
          <w:sz w:val="18"/>
          <w:szCs w:val="18"/>
          <w:color w:val="auto"/>
        </w:rPr>
        <w:t>Boston</w:t>
      </w:r>
      <w:r>
        <w:rPr>
          <w:sz w:val="20"/>
          <w:szCs w:val="20"/>
          <w:color w:val="auto"/>
        </w:rPr>
        <w:tab/>
      </w:r>
      <w:r>
        <w:rPr>
          <w:rFonts w:ascii="Arial" w:cs="Arial" w:eastAsia="Arial" w:hAnsi="Arial"/>
          <w:sz w:val="18"/>
          <w:szCs w:val="18"/>
          <w:color w:val="auto"/>
        </w:rPr>
        <w:t>Munich</w:t>
      </w:r>
    </w:p>
    <w:p>
      <w:pPr>
        <w:spacing w:after="0" w:line="9" w:lineRule="exact"/>
        <w:rPr>
          <w:sz w:val="20"/>
          <w:szCs w:val="20"/>
          <w:color w:val="auto"/>
        </w:rPr>
      </w:pPr>
    </w:p>
    <w:p>
      <w:pPr>
        <w:ind w:left="7880"/>
        <w:spacing w:after="0"/>
        <w:tabs>
          <w:tab w:leader="none" w:pos="8980" w:val="left"/>
        </w:tabs>
        <w:rPr>
          <w:sz w:val="20"/>
          <w:szCs w:val="20"/>
          <w:color w:val="auto"/>
        </w:rPr>
      </w:pPr>
      <w:r>
        <w:rPr>
          <w:rFonts w:ascii="Arial" w:cs="Arial" w:eastAsia="Arial" w:hAnsi="Arial"/>
          <w:sz w:val="18"/>
          <w:szCs w:val="18"/>
          <w:color w:val="auto"/>
        </w:rPr>
        <w:t>Brussels</w:t>
      </w:r>
      <w:r>
        <w:rPr>
          <w:sz w:val="20"/>
          <w:szCs w:val="20"/>
          <w:color w:val="auto"/>
        </w:rPr>
        <w:tab/>
      </w:r>
      <w:r>
        <w:rPr>
          <w:rFonts w:ascii="Arial" w:cs="Arial" w:eastAsia="Arial" w:hAnsi="Arial"/>
          <w:sz w:val="18"/>
          <w:szCs w:val="18"/>
          <w:color w:val="auto"/>
        </w:rPr>
        <w:t>New York</w:t>
      </w:r>
    </w:p>
    <w:p>
      <w:pPr>
        <w:spacing w:after="0" w:line="9" w:lineRule="exact"/>
        <w:rPr>
          <w:sz w:val="20"/>
          <w:szCs w:val="20"/>
          <w:color w:val="auto"/>
        </w:rPr>
      </w:pPr>
    </w:p>
    <w:p>
      <w:pPr>
        <w:ind w:left="7880"/>
        <w:spacing w:after="0"/>
        <w:tabs>
          <w:tab w:leader="none" w:pos="8980" w:val="left"/>
        </w:tabs>
        <w:rPr>
          <w:sz w:val="20"/>
          <w:szCs w:val="20"/>
          <w:color w:val="auto"/>
        </w:rPr>
      </w:pPr>
      <w:r>
        <w:rPr>
          <w:rFonts w:ascii="Arial" w:cs="Arial" w:eastAsia="Arial" w:hAnsi="Arial"/>
          <w:sz w:val="18"/>
          <w:szCs w:val="18"/>
          <w:color w:val="auto"/>
        </w:rPr>
        <w:t>Century City</w:t>
      </w:r>
      <w:r>
        <w:rPr>
          <w:sz w:val="20"/>
          <w:szCs w:val="20"/>
          <w:color w:val="auto"/>
        </w:rPr>
        <w:tab/>
      </w:r>
      <w:r>
        <w:rPr>
          <w:rFonts w:ascii="Arial" w:cs="Arial" w:eastAsia="Arial" w:hAnsi="Arial"/>
          <w:sz w:val="16"/>
          <w:szCs w:val="16"/>
          <w:color w:val="auto"/>
        </w:rPr>
        <w:t>Orange County</w:t>
      </w:r>
    </w:p>
    <w:p>
      <w:pPr>
        <w:spacing w:after="0" w:line="9" w:lineRule="exact"/>
        <w:rPr>
          <w:sz w:val="20"/>
          <w:szCs w:val="20"/>
          <w:color w:val="auto"/>
        </w:rPr>
      </w:pPr>
    </w:p>
    <w:p>
      <w:pPr>
        <w:ind w:left="7880"/>
        <w:spacing w:after="0"/>
        <w:tabs>
          <w:tab w:leader="none" w:pos="8980" w:val="left"/>
        </w:tabs>
        <w:rPr>
          <w:sz w:val="20"/>
          <w:szCs w:val="20"/>
          <w:color w:val="auto"/>
        </w:rPr>
      </w:pPr>
      <w:r>
        <w:rPr>
          <w:rFonts w:ascii="Arial" w:cs="Arial" w:eastAsia="Arial" w:hAnsi="Arial"/>
          <w:sz w:val="18"/>
          <w:szCs w:val="18"/>
          <w:color w:val="auto"/>
        </w:rPr>
        <w:t>Chicago</w:t>
      </w:r>
      <w:r>
        <w:rPr>
          <w:sz w:val="20"/>
          <w:szCs w:val="20"/>
          <w:color w:val="auto"/>
        </w:rPr>
        <w:tab/>
      </w:r>
      <w:r>
        <w:rPr>
          <w:rFonts w:ascii="Arial" w:cs="Arial" w:eastAsia="Arial" w:hAnsi="Arial"/>
          <w:sz w:val="18"/>
          <w:szCs w:val="18"/>
          <w:color w:val="auto"/>
        </w:rPr>
        <w:t>Paris</w:t>
      </w:r>
    </w:p>
    <w:p>
      <w:pPr>
        <w:spacing w:after="0" w:line="9" w:lineRule="exact"/>
        <w:rPr>
          <w:sz w:val="20"/>
          <w:szCs w:val="20"/>
          <w:color w:val="auto"/>
        </w:rPr>
      </w:pPr>
    </w:p>
    <w:p>
      <w:pPr>
        <w:ind w:left="7880"/>
        <w:spacing w:after="0"/>
        <w:tabs>
          <w:tab w:leader="none" w:pos="8980" w:val="left"/>
        </w:tabs>
        <w:rPr>
          <w:sz w:val="20"/>
          <w:szCs w:val="20"/>
          <w:color w:val="auto"/>
        </w:rPr>
      </w:pPr>
      <w:r>
        <w:rPr>
          <w:rFonts w:ascii="Arial" w:cs="Arial" w:eastAsia="Arial" w:hAnsi="Arial"/>
          <w:sz w:val="18"/>
          <w:szCs w:val="18"/>
          <w:color w:val="auto"/>
        </w:rPr>
        <w:t>Dubai</w:t>
      </w:r>
      <w:r>
        <w:rPr>
          <w:sz w:val="20"/>
          <w:szCs w:val="20"/>
          <w:color w:val="auto"/>
        </w:rPr>
        <w:tab/>
      </w:r>
      <w:r>
        <w:rPr>
          <w:rFonts w:ascii="Arial" w:cs="Arial" w:eastAsia="Arial" w:hAnsi="Arial"/>
          <w:sz w:val="18"/>
          <w:szCs w:val="18"/>
          <w:color w:val="auto"/>
        </w:rPr>
        <w:t>Riyadh</w:t>
      </w:r>
    </w:p>
    <w:p>
      <w:pPr>
        <w:spacing w:after="0" w:line="9" w:lineRule="exact"/>
        <w:rPr>
          <w:sz w:val="20"/>
          <w:szCs w:val="20"/>
          <w:color w:val="auto"/>
        </w:rPr>
      </w:pPr>
    </w:p>
    <w:p>
      <w:pPr>
        <w:ind w:left="7880"/>
        <w:spacing w:after="0"/>
        <w:tabs>
          <w:tab w:leader="none" w:pos="8980" w:val="left"/>
        </w:tabs>
        <w:rPr>
          <w:sz w:val="20"/>
          <w:szCs w:val="20"/>
          <w:color w:val="auto"/>
        </w:rPr>
      </w:pPr>
      <w:r>
        <w:rPr>
          <w:rFonts w:ascii="Arial" w:cs="Arial" w:eastAsia="Arial" w:hAnsi="Arial"/>
          <w:sz w:val="18"/>
          <w:szCs w:val="18"/>
          <w:color w:val="auto"/>
        </w:rPr>
        <w:t>Düsseldorf</w:t>
      </w:r>
      <w:r>
        <w:rPr>
          <w:sz w:val="20"/>
          <w:szCs w:val="20"/>
          <w:color w:val="auto"/>
        </w:rPr>
        <w:tab/>
      </w:r>
      <w:r>
        <w:rPr>
          <w:rFonts w:ascii="Arial" w:cs="Arial" w:eastAsia="Arial" w:hAnsi="Arial"/>
          <w:sz w:val="18"/>
          <w:szCs w:val="18"/>
          <w:color w:val="auto"/>
        </w:rPr>
        <w:t>San Diego</w:t>
      </w:r>
    </w:p>
    <w:p>
      <w:pPr>
        <w:spacing w:after="0" w:line="9" w:lineRule="exact"/>
        <w:rPr>
          <w:sz w:val="20"/>
          <w:szCs w:val="20"/>
          <w:color w:val="auto"/>
        </w:rPr>
      </w:pPr>
    </w:p>
    <w:p>
      <w:pPr>
        <w:ind w:left="7880"/>
        <w:spacing w:after="0"/>
        <w:tabs>
          <w:tab w:leader="none" w:pos="8980" w:val="left"/>
        </w:tabs>
        <w:rPr>
          <w:sz w:val="20"/>
          <w:szCs w:val="20"/>
          <w:color w:val="auto"/>
        </w:rPr>
      </w:pPr>
      <w:r>
        <w:rPr>
          <w:rFonts w:ascii="Arial" w:cs="Arial" w:eastAsia="Arial" w:hAnsi="Arial"/>
          <w:sz w:val="18"/>
          <w:szCs w:val="18"/>
          <w:color w:val="auto"/>
        </w:rPr>
        <w:t>Frankfurt</w:t>
      </w:r>
      <w:r>
        <w:rPr>
          <w:sz w:val="20"/>
          <w:szCs w:val="20"/>
          <w:color w:val="auto"/>
        </w:rPr>
        <w:tab/>
      </w:r>
      <w:r>
        <w:rPr>
          <w:rFonts w:ascii="Arial" w:cs="Arial" w:eastAsia="Arial" w:hAnsi="Arial"/>
          <w:sz w:val="18"/>
          <w:szCs w:val="18"/>
          <w:color w:val="auto"/>
        </w:rPr>
        <w:t>San Francisco</w:t>
      </w:r>
    </w:p>
    <w:p>
      <w:pPr>
        <w:spacing w:after="0" w:line="9" w:lineRule="exact"/>
        <w:rPr>
          <w:sz w:val="20"/>
          <w:szCs w:val="20"/>
          <w:color w:val="auto"/>
        </w:rPr>
      </w:pPr>
    </w:p>
    <w:p>
      <w:pPr>
        <w:ind w:left="7880"/>
        <w:spacing w:after="0"/>
        <w:tabs>
          <w:tab w:leader="none" w:pos="8980" w:val="left"/>
        </w:tabs>
        <w:rPr>
          <w:sz w:val="20"/>
          <w:szCs w:val="20"/>
          <w:color w:val="auto"/>
        </w:rPr>
      </w:pPr>
      <w:r>
        <w:rPr>
          <w:rFonts w:ascii="Arial" w:cs="Arial" w:eastAsia="Arial" w:hAnsi="Arial"/>
          <w:sz w:val="18"/>
          <w:szCs w:val="18"/>
          <w:color w:val="auto"/>
        </w:rPr>
        <w:t>Hamburg</w:t>
      </w:r>
      <w:r>
        <w:rPr>
          <w:sz w:val="20"/>
          <w:szCs w:val="20"/>
          <w:color w:val="auto"/>
        </w:rPr>
        <w:tab/>
      </w:r>
      <w:r>
        <w:rPr>
          <w:rFonts w:ascii="Arial" w:cs="Arial" w:eastAsia="Arial" w:hAnsi="Arial"/>
          <w:sz w:val="18"/>
          <w:szCs w:val="18"/>
          <w:color w:val="auto"/>
        </w:rPr>
        <w:t>Seoul</w:t>
      </w:r>
    </w:p>
    <w:p>
      <w:pPr>
        <w:spacing w:after="0" w:line="9" w:lineRule="exact"/>
        <w:rPr>
          <w:sz w:val="20"/>
          <w:szCs w:val="20"/>
          <w:color w:val="auto"/>
        </w:rPr>
      </w:pPr>
    </w:p>
    <w:p>
      <w:pPr>
        <w:ind w:left="7880"/>
        <w:spacing w:after="0"/>
        <w:tabs>
          <w:tab w:leader="none" w:pos="8980" w:val="left"/>
        </w:tabs>
        <w:rPr>
          <w:sz w:val="20"/>
          <w:szCs w:val="20"/>
          <w:color w:val="auto"/>
        </w:rPr>
      </w:pPr>
      <w:r>
        <w:rPr>
          <w:rFonts w:ascii="Arial" w:cs="Arial" w:eastAsia="Arial" w:hAnsi="Arial"/>
          <w:sz w:val="18"/>
          <w:szCs w:val="18"/>
          <w:color w:val="auto"/>
        </w:rPr>
        <w:t>Hong Kong</w:t>
      </w:r>
      <w:r>
        <w:rPr>
          <w:sz w:val="20"/>
          <w:szCs w:val="20"/>
          <w:color w:val="auto"/>
        </w:rPr>
        <w:tab/>
      </w:r>
      <w:r>
        <w:rPr>
          <w:rFonts w:ascii="Arial" w:cs="Arial" w:eastAsia="Arial" w:hAnsi="Arial"/>
          <w:sz w:val="15"/>
          <w:szCs w:val="15"/>
          <w:color w:val="auto"/>
        </w:rPr>
        <w:t>Shanghai</w:t>
      </w:r>
    </w:p>
    <w:p>
      <w:pPr>
        <w:spacing w:after="0" w:line="9" w:lineRule="exact"/>
        <w:rPr>
          <w:sz w:val="20"/>
          <w:szCs w:val="20"/>
          <w:color w:val="auto"/>
        </w:rPr>
      </w:pPr>
    </w:p>
    <w:p>
      <w:pPr>
        <w:ind w:left="7880"/>
        <w:spacing w:after="0"/>
        <w:tabs>
          <w:tab w:leader="none" w:pos="8980" w:val="left"/>
        </w:tabs>
        <w:rPr>
          <w:sz w:val="20"/>
          <w:szCs w:val="20"/>
          <w:color w:val="auto"/>
        </w:rPr>
      </w:pPr>
      <w:r>
        <w:rPr>
          <w:rFonts w:ascii="Arial" w:cs="Arial" w:eastAsia="Arial" w:hAnsi="Arial"/>
          <w:sz w:val="18"/>
          <w:szCs w:val="18"/>
          <w:color w:val="auto"/>
        </w:rPr>
        <w:t>Houston</w:t>
      </w:r>
      <w:r>
        <w:rPr>
          <w:sz w:val="20"/>
          <w:szCs w:val="20"/>
          <w:color w:val="auto"/>
        </w:rPr>
        <w:tab/>
      </w:r>
      <w:r>
        <w:rPr>
          <w:rFonts w:ascii="Arial" w:cs="Arial" w:eastAsia="Arial" w:hAnsi="Arial"/>
          <w:sz w:val="18"/>
          <w:szCs w:val="18"/>
          <w:color w:val="auto"/>
        </w:rPr>
        <w:t>Silicon Valley</w:t>
      </w:r>
    </w:p>
    <w:p>
      <w:pPr>
        <w:spacing w:after="0" w:line="9" w:lineRule="exact"/>
        <w:rPr>
          <w:sz w:val="20"/>
          <w:szCs w:val="20"/>
          <w:color w:val="auto"/>
        </w:rPr>
      </w:pPr>
    </w:p>
    <w:p>
      <w:pPr>
        <w:ind w:left="7880"/>
        <w:spacing w:after="0"/>
        <w:tabs>
          <w:tab w:leader="none" w:pos="8980" w:val="left"/>
        </w:tabs>
        <w:rPr>
          <w:sz w:val="20"/>
          <w:szCs w:val="20"/>
          <w:color w:val="auto"/>
        </w:rPr>
      </w:pPr>
      <w:r>
        <w:rPr>
          <w:rFonts w:ascii="Arial" w:cs="Arial" w:eastAsia="Arial" w:hAnsi="Arial"/>
          <w:sz w:val="18"/>
          <w:szCs w:val="18"/>
          <w:color w:val="auto"/>
        </w:rPr>
        <w:t>London</w:t>
      </w:r>
      <w:r>
        <w:rPr>
          <w:sz w:val="20"/>
          <w:szCs w:val="20"/>
          <w:color w:val="auto"/>
        </w:rPr>
        <w:tab/>
      </w:r>
      <w:r>
        <w:rPr>
          <w:rFonts w:ascii="Arial" w:cs="Arial" w:eastAsia="Arial" w:hAnsi="Arial"/>
          <w:sz w:val="18"/>
          <w:szCs w:val="18"/>
          <w:color w:val="auto"/>
        </w:rPr>
        <w:t>Singapore</w:t>
      </w:r>
    </w:p>
    <w:p>
      <w:pPr>
        <w:spacing w:after="0" w:line="9" w:lineRule="exact"/>
        <w:rPr>
          <w:sz w:val="20"/>
          <w:szCs w:val="20"/>
          <w:color w:val="auto"/>
        </w:rPr>
      </w:pPr>
    </w:p>
    <w:p>
      <w:pPr>
        <w:ind w:left="7880"/>
        <w:spacing w:after="0"/>
        <w:tabs>
          <w:tab w:leader="none" w:pos="8980" w:val="left"/>
        </w:tabs>
        <w:rPr>
          <w:sz w:val="20"/>
          <w:szCs w:val="20"/>
          <w:color w:val="auto"/>
        </w:rPr>
      </w:pPr>
      <w:r>
        <w:rPr>
          <w:rFonts w:ascii="Arial" w:cs="Arial" w:eastAsia="Arial" w:hAnsi="Arial"/>
          <w:sz w:val="18"/>
          <w:szCs w:val="18"/>
          <w:color w:val="auto"/>
        </w:rPr>
        <w:t>Los Angeles</w:t>
      </w:r>
      <w:r>
        <w:rPr>
          <w:sz w:val="20"/>
          <w:szCs w:val="20"/>
          <w:color w:val="auto"/>
        </w:rPr>
        <w:tab/>
      </w:r>
      <w:r>
        <w:rPr>
          <w:rFonts w:ascii="Arial" w:cs="Arial" w:eastAsia="Arial" w:hAnsi="Arial"/>
          <w:sz w:val="16"/>
          <w:szCs w:val="16"/>
          <w:color w:val="auto"/>
        </w:rPr>
        <w:t>Tokyo</w:t>
      </w:r>
    </w:p>
    <w:p>
      <w:pPr>
        <w:spacing w:after="0" w:line="9" w:lineRule="exact"/>
        <w:rPr>
          <w:sz w:val="20"/>
          <w:szCs w:val="20"/>
          <w:color w:val="auto"/>
        </w:rPr>
      </w:pPr>
    </w:p>
    <w:p>
      <w:pPr>
        <w:ind w:left="7880"/>
        <w:spacing w:after="0"/>
        <w:tabs>
          <w:tab w:leader="none" w:pos="8980" w:val="left"/>
        </w:tabs>
        <w:rPr>
          <w:sz w:val="20"/>
          <w:szCs w:val="20"/>
          <w:color w:val="auto"/>
        </w:rPr>
      </w:pPr>
      <w:r>
        <w:rPr>
          <w:rFonts w:ascii="Arial" w:cs="Arial" w:eastAsia="Arial" w:hAnsi="Arial"/>
          <w:sz w:val="18"/>
          <w:szCs w:val="18"/>
          <w:color w:val="auto"/>
        </w:rPr>
        <w:t>Madrid</w:t>
      </w:r>
      <w:r>
        <w:rPr>
          <w:sz w:val="20"/>
          <w:szCs w:val="20"/>
          <w:color w:val="auto"/>
        </w:rPr>
        <w:tab/>
      </w:r>
      <w:r>
        <w:rPr>
          <w:rFonts w:ascii="Arial" w:cs="Arial" w:eastAsia="Arial" w:hAnsi="Arial"/>
          <w:sz w:val="18"/>
          <w:szCs w:val="18"/>
          <w:color w:val="auto"/>
        </w:rPr>
        <w:t>Washington, D.C.</w:t>
      </w:r>
    </w:p>
    <w:p>
      <w:pPr>
        <w:spacing w:after="0" w:line="9"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Milan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19 March 2021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Verona Pharma plc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One Central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Cardiff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CF10 1FS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0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Verona Pharma plc – Registration Statement on Form S-3 Exhibit 5.2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have acted as English legal advisers to Verona Pharma plc, a public limited company incorporated in England and Wales (the “</w:t>
      </w:r>
      <w:r>
        <w:rPr>
          <w:rFonts w:ascii="Arial" w:cs="Arial" w:eastAsia="Arial" w:hAnsi="Arial"/>
          <w:sz w:val="18"/>
          <w:szCs w:val="18"/>
          <w:b w:val="1"/>
          <w:bCs w:val="1"/>
          <w:color w:val="auto"/>
        </w:rPr>
        <w:t>Company</w:t>
      </w:r>
      <w:r>
        <w:rPr>
          <w:rFonts w:ascii="Arial" w:cs="Arial" w:eastAsia="Arial" w:hAnsi="Arial"/>
          <w:sz w:val="18"/>
          <w:szCs w:val="18"/>
          <w:color w:val="auto"/>
        </w:rPr>
        <w:t>”) in connection with the preparation and filing of a registration statement on Form S-3 (such registration statement, including the documents incorporated by reference therein,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filed with the United States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pursuant to the United States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on 19 March 2021.</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Registration Statement has been filed in connection with (i) the registration for issuance, offering, sale and delivery from time to time of ordinary shares in the capital of the (the “</w:t>
      </w:r>
      <w:r>
        <w:rPr>
          <w:rFonts w:ascii="Arial" w:cs="Arial" w:eastAsia="Arial" w:hAnsi="Arial"/>
          <w:sz w:val="17"/>
          <w:szCs w:val="17"/>
          <w:b w:val="1"/>
          <w:bCs w:val="1"/>
          <w:color w:val="auto"/>
        </w:rPr>
        <w:t>New Ordinary Shares</w:t>
      </w:r>
      <w:r>
        <w:rPr>
          <w:rFonts w:ascii="Arial" w:cs="Arial" w:eastAsia="Arial" w:hAnsi="Arial"/>
          <w:sz w:val="17"/>
          <w:szCs w:val="17"/>
          <w:color w:val="auto"/>
        </w:rPr>
        <w:t>”) Company with a nominal value of £0.05 per share (“</w:t>
      </w:r>
      <w:r>
        <w:rPr>
          <w:rFonts w:ascii="Arial" w:cs="Arial" w:eastAsia="Arial" w:hAnsi="Arial"/>
          <w:sz w:val="17"/>
          <w:szCs w:val="17"/>
          <w:b w:val="1"/>
          <w:bCs w:val="1"/>
          <w:color w:val="auto"/>
        </w:rPr>
        <w:t>Ordinary Shares</w:t>
      </w:r>
      <w:r>
        <w:rPr>
          <w:rFonts w:ascii="Arial" w:cs="Arial" w:eastAsia="Arial" w:hAnsi="Arial"/>
          <w:sz w:val="17"/>
          <w:szCs w:val="17"/>
          <w:color w:val="auto"/>
        </w:rPr>
        <w:t>”), including Ordinary Shares in the form of American Depositary Shares (“</w:t>
      </w:r>
      <w:r>
        <w:rPr>
          <w:rFonts w:ascii="Arial" w:cs="Arial" w:eastAsia="Arial" w:hAnsi="Arial"/>
          <w:sz w:val="17"/>
          <w:szCs w:val="17"/>
          <w:b w:val="1"/>
          <w:bCs w:val="1"/>
          <w:color w:val="auto"/>
        </w:rPr>
        <w:t>ADSs</w:t>
      </w:r>
      <w:r>
        <w:rPr>
          <w:rFonts w:ascii="Arial" w:cs="Arial" w:eastAsia="Arial" w:hAnsi="Arial"/>
          <w:sz w:val="17"/>
          <w:szCs w:val="17"/>
          <w:color w:val="auto"/>
        </w:rPr>
        <w:t>”) and certain other securities up to an aggregate value of $250,000,000 and (ii) the registration of the issuance, offering, sale by the Company of up to a maximum aggregate offering price of $100,000,000 of the Ordinary Shares, in the form of ADSs, that may be issued and sold under a sales agreement with Jefferies LLC (the “</w:t>
      </w:r>
      <w:r>
        <w:rPr>
          <w:rFonts w:ascii="Arial" w:cs="Arial" w:eastAsia="Arial" w:hAnsi="Arial"/>
          <w:sz w:val="17"/>
          <w:szCs w:val="17"/>
          <w:b w:val="1"/>
          <w:bCs w:val="1"/>
          <w:color w:val="auto"/>
        </w:rPr>
        <w:t>Sales Ordinary Shares</w:t>
      </w:r>
      <w:r>
        <w:rPr>
          <w:rFonts w:ascii="Arial" w:cs="Arial" w:eastAsia="Arial" w:hAnsi="Arial"/>
          <w:sz w:val="17"/>
          <w:szCs w:val="17"/>
          <w:color w:val="auto"/>
        </w:rPr>
        <w:t>”).</w:t>
      </w:r>
    </w:p>
    <w:p>
      <w:pPr>
        <w:spacing w:after="0" w:line="172" w:lineRule="exact"/>
        <w:rPr>
          <w:sz w:val="20"/>
          <w:szCs w:val="20"/>
          <w:color w:val="auto"/>
        </w:rPr>
      </w:pPr>
    </w:p>
    <w:p>
      <w:pPr>
        <w:ind w:left="640" w:hanging="632"/>
        <w:spacing w:after="0"/>
        <w:tabs>
          <w:tab w:leader="none" w:pos="64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b w:val="1"/>
          <w:bCs w:val="1"/>
          <w:color w:val="auto"/>
        </w:rPr>
        <w:t>Purpose</w:t>
      </w:r>
    </w:p>
    <w:p>
      <w:pPr>
        <w:spacing w:after="0" w:line="229" w:lineRule="exact"/>
        <w:rPr>
          <w:sz w:val="20"/>
          <w:szCs w:val="20"/>
          <w:color w:val="auto"/>
        </w:rPr>
      </w:pPr>
    </w:p>
    <w:p>
      <w:pPr>
        <w:ind w:left="640" w:right="20"/>
        <w:spacing w:after="0" w:line="277" w:lineRule="auto"/>
        <w:rPr>
          <w:sz w:val="20"/>
          <w:szCs w:val="20"/>
          <w:color w:val="auto"/>
        </w:rPr>
      </w:pPr>
      <w:r>
        <w:rPr>
          <w:rFonts w:ascii="Arial" w:cs="Arial" w:eastAsia="Arial" w:hAnsi="Arial"/>
          <w:sz w:val="18"/>
          <w:szCs w:val="18"/>
          <w:color w:val="auto"/>
        </w:rPr>
        <w:t>In connection with the Registration Statement, we have been asked to provide an opinion on certain matters, as set out below. We have taken instruction in this regard solely from the Company.</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b w:val="1"/>
          <w:bCs w:val="1"/>
          <w:color w:val="auto"/>
        </w:rPr>
        <w:t>Defined terms and headings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this letter:</w:t>
      </w:r>
    </w:p>
    <w:p>
      <w:pPr>
        <w:spacing w:after="0" w:line="225" w:lineRule="exact"/>
        <w:rPr>
          <w:sz w:val="20"/>
          <w:szCs w:val="20"/>
          <w:color w:val="auto"/>
        </w:rPr>
      </w:pPr>
    </w:p>
    <w:p>
      <w:pPr>
        <w:ind w:left="1280" w:hanging="638"/>
        <w:spacing w:after="0" w:line="277" w:lineRule="auto"/>
        <w:tabs>
          <w:tab w:leader="none" w:pos="12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capitalised terms used without definition in this letter or the schedules hereto have the meanings assigned to them in the Registration Statement unless a contrary indication appears; and</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headings are for ease of reference only and shall not affect interpretation.</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Latham &amp; Watkins is the business name of Latham &amp; Watkins (London) LLP, a registered limited liability partnership organised under the laws of New York and authorised and regulated by the Solicitors Regulation Authority (SRA No. 203820). A list of the names of the partners of Latham &amp; Watkins (London) LLP is open to inspection at its principal place of business, 99 Bishopsgate, London EC2M 3XF, and such persons are either solicitors, registered foreign lawyers, European lawyers or managers authorised by the SRA. We are affiliated with the firm Latham &amp; Watkins LLP, a limited liability partnership organised under the laws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919" w:gutter="0" w:footer="0" w:header="0"/>
        </w:sectPr>
      </w:pPr>
    </w:p>
    <w:bookmarkStart w:id="175" w:name="page176"/>
    <w:bookmarkEnd w:id="175"/>
    <w:p>
      <w:pPr>
        <w:spacing w:after="0"/>
        <w:tabs>
          <w:tab w:leader="none" w:pos="6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03020" cy="1454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1303020" cy="145415"/>
                    </a:xfrm>
                    <a:prstGeom prst="rect">
                      <a:avLst/>
                    </a:prstGeom>
                    <a:noFill/>
                  </pic:spPr>
                </pic:pic>
              </a:graphicData>
            </a:graphic>
          </wp:anchor>
        </w:drawing>
        <w:t>1.3</w:t>
      </w:r>
      <w:r>
        <w:rPr>
          <w:sz w:val="20"/>
          <w:szCs w:val="20"/>
          <w:color w:val="auto"/>
        </w:rPr>
        <w:tab/>
      </w:r>
      <w:r>
        <w:rPr>
          <w:rFonts w:ascii="Arial" w:cs="Arial" w:eastAsia="Arial" w:hAnsi="Arial"/>
          <w:sz w:val="16"/>
          <w:szCs w:val="16"/>
          <w:b w:val="1"/>
          <w:bCs w:val="1"/>
          <w:color w:val="auto"/>
        </w:rPr>
        <w:t>Legal review</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For the purpose of issuing this letter we have reviewed only the following documents and conducted only the following enquiries and searches:</w:t>
      </w:r>
    </w:p>
    <w:p>
      <w:pPr>
        <w:spacing w:after="0" w:line="248" w:lineRule="exact"/>
        <w:rPr>
          <w:sz w:val="20"/>
          <w:szCs w:val="20"/>
          <w:color w:val="auto"/>
        </w:rPr>
      </w:pPr>
    </w:p>
    <w:p>
      <w:pPr>
        <w:ind w:left="1280" w:hanging="638"/>
        <w:spacing w:after="0"/>
        <w:tabs>
          <w:tab w:leader="none" w:pos="12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search at Companies House in respect of the Company conducted on 19 March 2021;</w:t>
      </w:r>
    </w:p>
    <w:p>
      <w:pPr>
        <w:spacing w:after="0" w:line="225" w:lineRule="exact"/>
        <w:rPr>
          <w:rFonts w:ascii="Arial" w:cs="Arial" w:eastAsia="Arial" w:hAnsi="Arial"/>
          <w:sz w:val="18"/>
          <w:szCs w:val="18"/>
          <w:color w:val="auto"/>
        </w:rPr>
      </w:pPr>
    </w:p>
    <w:p>
      <w:pPr>
        <w:ind w:left="1280" w:hanging="638"/>
        <w:spacing w:after="0" w:line="277" w:lineRule="auto"/>
        <w:tabs>
          <w:tab w:leader="none" w:pos="12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 enquiry at the Central Registry of Winding Up Petitions, London on 19 March 2021 at 11:43 a.m. (London time) with respect to the Company ((a) and (b) together, the “</w:t>
      </w:r>
      <w:r>
        <w:rPr>
          <w:rFonts w:ascii="Arial" w:cs="Arial" w:eastAsia="Arial" w:hAnsi="Arial"/>
          <w:sz w:val="18"/>
          <w:szCs w:val="18"/>
          <w:b w:val="1"/>
          <w:bCs w:val="1"/>
          <w:color w:val="auto"/>
        </w:rPr>
        <w:t>Searches</w:t>
      </w:r>
      <w:r>
        <w:rPr>
          <w:rFonts w:ascii="Arial" w:cs="Arial" w:eastAsia="Arial" w:hAnsi="Arial"/>
          <w:sz w:val="18"/>
          <w:szCs w:val="18"/>
          <w:color w:val="auto"/>
        </w:rPr>
        <w:t>”);</w:t>
      </w:r>
    </w:p>
    <w:p>
      <w:pPr>
        <w:spacing w:after="0" w:line="166" w:lineRule="exact"/>
        <w:rPr>
          <w:rFonts w:ascii="Arial" w:cs="Arial" w:eastAsia="Arial" w:hAnsi="Arial"/>
          <w:sz w:val="18"/>
          <w:szCs w:val="18"/>
          <w:color w:val="auto"/>
        </w:rPr>
      </w:pPr>
    </w:p>
    <w:p>
      <w:pPr>
        <w:ind w:left="1280" w:hanging="638"/>
        <w:spacing w:after="0" w:line="282" w:lineRule="auto"/>
        <w:tabs>
          <w:tab w:leader="none" w:pos="12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PDF copy of the written resolutions of the board of directors of the Company (the “</w:t>
      </w:r>
      <w:r>
        <w:rPr>
          <w:rFonts w:ascii="Arial" w:cs="Arial" w:eastAsia="Arial" w:hAnsi="Arial"/>
          <w:sz w:val="18"/>
          <w:szCs w:val="18"/>
          <w:b w:val="1"/>
          <w:bCs w:val="1"/>
          <w:color w:val="auto"/>
        </w:rPr>
        <w:t>Board</w:t>
      </w:r>
      <w:r>
        <w:rPr>
          <w:rFonts w:ascii="Arial" w:cs="Arial" w:eastAsia="Arial" w:hAnsi="Arial"/>
          <w:sz w:val="18"/>
          <w:szCs w:val="18"/>
          <w:color w:val="auto"/>
        </w:rPr>
        <w:t xml:space="preserve">”) dated 17 March 2021 approving, </w:t>
      </w:r>
      <w:r>
        <w:rPr>
          <w:rFonts w:ascii="Arial" w:cs="Arial" w:eastAsia="Arial" w:hAnsi="Arial"/>
          <w:sz w:val="18"/>
          <w:szCs w:val="18"/>
          <w:i w:val="1"/>
          <w:iCs w:val="1"/>
          <w:color w:val="auto"/>
        </w:rPr>
        <w:t>inter alia</w:t>
      </w:r>
      <w:r>
        <w:rPr>
          <w:rFonts w:ascii="Arial" w:cs="Arial" w:eastAsia="Arial" w:hAnsi="Arial"/>
          <w:sz w:val="18"/>
          <w:szCs w:val="18"/>
          <w:color w:val="auto"/>
        </w:rPr>
        <w:t>, the preparation and filing of the Registration Statement,</w:t>
      </w:r>
    </w:p>
    <w:p>
      <w:pPr>
        <w:spacing w:after="0" w:line="161" w:lineRule="exact"/>
        <w:rPr>
          <w:rFonts w:ascii="Arial" w:cs="Arial" w:eastAsia="Arial" w:hAnsi="Arial"/>
          <w:sz w:val="18"/>
          <w:szCs w:val="18"/>
          <w:color w:val="auto"/>
        </w:rPr>
      </w:pPr>
    </w:p>
    <w:p>
      <w:pPr>
        <w:jc w:val="both"/>
        <w:ind w:left="1280" w:hanging="638"/>
        <w:spacing w:after="0" w:line="277" w:lineRule="auto"/>
        <w:tabs>
          <w:tab w:leader="none" w:pos="1280"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 draft of the notice of an annual general meeting to be held on 27 April 2021 (the “</w:t>
      </w:r>
      <w:r>
        <w:rPr>
          <w:rFonts w:ascii="Arial" w:cs="Arial" w:eastAsia="Arial" w:hAnsi="Arial"/>
          <w:sz w:val="17"/>
          <w:szCs w:val="17"/>
          <w:b w:val="1"/>
          <w:bCs w:val="1"/>
          <w:color w:val="auto"/>
        </w:rPr>
        <w:t>2021 AGM</w:t>
      </w:r>
      <w:r>
        <w:rPr>
          <w:rFonts w:ascii="Arial" w:cs="Arial" w:eastAsia="Arial" w:hAnsi="Arial"/>
          <w:sz w:val="17"/>
          <w:szCs w:val="17"/>
          <w:color w:val="auto"/>
        </w:rPr>
        <w:t>”) (the “</w:t>
      </w:r>
      <w:r>
        <w:rPr>
          <w:rFonts w:ascii="Arial" w:cs="Arial" w:eastAsia="Arial" w:hAnsi="Arial"/>
          <w:sz w:val="17"/>
          <w:szCs w:val="17"/>
          <w:b w:val="1"/>
          <w:bCs w:val="1"/>
          <w:color w:val="auto"/>
        </w:rPr>
        <w:t>AGM Notice</w:t>
      </w:r>
      <w:r>
        <w:rPr>
          <w:rFonts w:ascii="Arial" w:cs="Arial" w:eastAsia="Arial" w:hAnsi="Arial"/>
          <w:sz w:val="17"/>
          <w:szCs w:val="17"/>
          <w:color w:val="auto"/>
        </w:rPr>
        <w:t>”), at which resolutions will be proposed to (a) authorise the directors of the Company to allot shares in the Company or to grant rights to subscribe for, or to convert any security into, shares in the Company up to an aggregate nominal amount of £24,415,222.30; and (b) disapply the pre-emption rights under section 561 of the Companies Act 2006 (“</w:t>
      </w:r>
      <w:r>
        <w:rPr>
          <w:rFonts w:ascii="Arial" w:cs="Arial" w:eastAsia="Arial" w:hAnsi="Arial"/>
          <w:sz w:val="17"/>
          <w:szCs w:val="17"/>
          <w:b w:val="1"/>
          <w:bCs w:val="1"/>
          <w:color w:val="auto"/>
        </w:rPr>
        <w:t>Companies Act</w:t>
      </w:r>
      <w:r>
        <w:rPr>
          <w:rFonts w:ascii="Arial" w:cs="Arial" w:eastAsia="Arial" w:hAnsi="Arial"/>
          <w:sz w:val="17"/>
          <w:szCs w:val="17"/>
          <w:color w:val="auto"/>
        </w:rPr>
        <w:t>”) in respect of such allotments and the sale of treasury shares up to an aggregate nominal amount of £24,415,222.30 (the “</w:t>
      </w:r>
      <w:r>
        <w:rPr>
          <w:rFonts w:ascii="Arial" w:cs="Arial" w:eastAsia="Arial" w:hAnsi="Arial"/>
          <w:sz w:val="17"/>
          <w:szCs w:val="17"/>
          <w:b w:val="1"/>
          <w:bCs w:val="1"/>
          <w:color w:val="auto"/>
        </w:rPr>
        <w:t>Allotment Resolutions</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left="1280" w:hanging="638"/>
        <w:spacing w:after="0" w:line="277" w:lineRule="auto"/>
        <w:tabs>
          <w:tab w:leader="none" w:pos="12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PDF copy of the New York governed sales agreement between the Company and Jefferies LLC dated 10 March 2019 ("Sales Agreement")</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copy of the certificate of incorporation of the Company dated 24 February 2005;</w:t>
      </w:r>
    </w:p>
    <w:p>
      <w:pPr>
        <w:spacing w:after="0" w:line="225" w:lineRule="exact"/>
        <w:rPr>
          <w:rFonts w:ascii="Arial" w:cs="Arial" w:eastAsia="Arial" w:hAnsi="Arial"/>
          <w:sz w:val="18"/>
          <w:szCs w:val="18"/>
          <w:color w:val="auto"/>
        </w:rPr>
      </w:pPr>
    </w:p>
    <w:p>
      <w:pPr>
        <w:ind w:left="1280" w:hanging="638"/>
        <w:spacing w:after="0"/>
        <w:tabs>
          <w:tab w:leader="none" w:pos="12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copy of the certificate of incorporation on change of name of the Company dated 18 September 2006;</w:t>
      </w:r>
    </w:p>
    <w:p>
      <w:pPr>
        <w:spacing w:after="0" w:line="225" w:lineRule="exact"/>
        <w:rPr>
          <w:rFonts w:ascii="Arial" w:cs="Arial" w:eastAsia="Arial" w:hAnsi="Arial"/>
          <w:sz w:val="18"/>
          <w:szCs w:val="18"/>
          <w:color w:val="auto"/>
        </w:rPr>
      </w:pPr>
    </w:p>
    <w:p>
      <w:pPr>
        <w:ind w:left="1280" w:hanging="638"/>
        <w:spacing w:after="0" w:line="277" w:lineRule="auto"/>
        <w:tabs>
          <w:tab w:leader="none" w:pos="12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PDF copy of the current articles of association of the Company adopted pursuant to a special resolution of shareholders passed at the general meeting held on 18 December 2020 (the “</w:t>
      </w:r>
      <w:r>
        <w:rPr>
          <w:rFonts w:ascii="Arial" w:cs="Arial" w:eastAsia="Arial" w:hAnsi="Arial"/>
          <w:sz w:val="18"/>
          <w:szCs w:val="18"/>
          <w:b w:val="1"/>
          <w:bCs w:val="1"/>
          <w:color w:val="auto"/>
        </w:rPr>
        <w:t>Articles of Association</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draft copy of the Registration Statement as at 18 March 2021 and to be filed with the SEC on 19 March 2021.</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b w:val="1"/>
          <w:bCs w:val="1"/>
          <w:color w:val="auto"/>
        </w:rPr>
        <w:t>Applicable law</w:t>
      </w:r>
    </w:p>
    <w:p>
      <w:pPr>
        <w:spacing w:after="0" w:line="229" w:lineRule="exact"/>
        <w:rPr>
          <w:sz w:val="20"/>
          <w:szCs w:val="20"/>
          <w:color w:val="auto"/>
        </w:rPr>
      </w:pPr>
    </w:p>
    <w:p>
      <w:pPr>
        <w:jc w:val="both"/>
        <w:ind w:left="640"/>
        <w:spacing w:after="0" w:line="263" w:lineRule="auto"/>
        <w:rPr>
          <w:sz w:val="20"/>
          <w:szCs w:val="20"/>
          <w:color w:val="auto"/>
        </w:rPr>
      </w:pPr>
      <w:r>
        <w:rPr>
          <w:rFonts w:ascii="Arial" w:cs="Arial" w:eastAsia="Arial" w:hAnsi="Arial"/>
          <w:sz w:val="18"/>
          <w:szCs w:val="18"/>
          <w:color w:val="auto"/>
        </w:rPr>
        <w:t>This letter, the opinions given in it, and any non-contractual obligations arising out of or in connection with this letter and/or the opinions given in it, are governed by, and shall be construed in accordance with English law and relate only to English law as applied by the English courts as at today’s date. In particular:</w:t>
      </w:r>
    </w:p>
    <w:p>
      <w:pPr>
        <w:spacing w:after="0" w:line="184" w:lineRule="exact"/>
        <w:rPr>
          <w:sz w:val="20"/>
          <w:szCs w:val="20"/>
          <w:color w:val="auto"/>
        </w:rPr>
      </w:pPr>
    </w:p>
    <w:p>
      <w:pPr>
        <w:ind w:left="1280" w:hanging="638"/>
        <w:spacing w:after="0" w:line="277" w:lineRule="auto"/>
        <w:tabs>
          <w:tab w:leader="none" w:pos="12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we have not investigated the laws of any country other than England and we assume that no foreign law affects any of the opinions stated below; and</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we express no opinion in this letter on the laws of any jurisdiction other than England.</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5"/>
          <w:szCs w:val="15"/>
          <w:b w:val="1"/>
          <w:bCs w:val="1"/>
          <w:color w:val="auto"/>
        </w:rPr>
        <w:t>Assumptions and reservations</w:t>
      </w:r>
    </w:p>
    <w:p>
      <w:pPr>
        <w:spacing w:after="0" w:line="229" w:lineRule="exact"/>
        <w:rPr>
          <w:sz w:val="20"/>
          <w:szCs w:val="20"/>
          <w:color w:val="auto"/>
        </w:rPr>
      </w:pPr>
    </w:p>
    <w:p>
      <w:pPr>
        <w:jc w:val="both"/>
        <w:ind w:left="640"/>
        <w:spacing w:after="0" w:line="311" w:lineRule="auto"/>
        <w:rPr>
          <w:sz w:val="20"/>
          <w:szCs w:val="20"/>
          <w:color w:val="auto"/>
        </w:rPr>
      </w:pPr>
      <w:r>
        <w:rPr>
          <w:rFonts w:ascii="Arial" w:cs="Arial" w:eastAsia="Arial" w:hAnsi="Arial"/>
          <w:sz w:val="16"/>
          <w:szCs w:val="16"/>
          <w:color w:val="auto"/>
        </w:rPr>
        <w:t>The opinions given in this letter are given on the basis of each of the assumptions set out in Schedule 1 (</w:t>
      </w:r>
      <w:r>
        <w:rPr>
          <w:rFonts w:ascii="Arial" w:cs="Arial" w:eastAsia="Arial" w:hAnsi="Arial"/>
          <w:sz w:val="16"/>
          <w:szCs w:val="16"/>
          <w:i w:val="1"/>
          <w:iCs w:val="1"/>
          <w:color w:val="auto"/>
        </w:rPr>
        <w:t>Assumptions</w:t>
      </w:r>
      <w:r>
        <w:rPr>
          <w:rFonts w:ascii="Arial" w:cs="Arial" w:eastAsia="Arial" w:hAnsi="Arial"/>
          <w:sz w:val="16"/>
          <w:szCs w:val="16"/>
          <w:color w:val="auto"/>
        </w:rPr>
        <w:t>) and are subject to each of the reservations set out in Schedule 2 (</w:t>
      </w:r>
      <w:r>
        <w:rPr>
          <w:rFonts w:ascii="Arial" w:cs="Arial" w:eastAsia="Arial" w:hAnsi="Arial"/>
          <w:sz w:val="16"/>
          <w:szCs w:val="16"/>
          <w:i w:val="1"/>
          <w:iCs w:val="1"/>
          <w:color w:val="auto"/>
        </w:rPr>
        <w:t>Reservations</w:t>
      </w:r>
      <w:r>
        <w:rPr>
          <w:rFonts w:ascii="Arial" w:cs="Arial" w:eastAsia="Arial" w:hAnsi="Arial"/>
          <w:sz w:val="16"/>
          <w:szCs w:val="16"/>
          <w:color w:val="auto"/>
        </w:rPr>
        <w:t>) to this letter. The opinions given in this letter are strictly limited to the matters stated in paragraph 2 (</w:t>
      </w:r>
      <w:r>
        <w:rPr>
          <w:rFonts w:ascii="Arial" w:cs="Arial" w:eastAsia="Arial" w:hAnsi="Arial"/>
          <w:sz w:val="16"/>
          <w:szCs w:val="16"/>
          <w:i w:val="1"/>
          <w:iCs w:val="1"/>
          <w:color w:val="auto"/>
        </w:rPr>
        <w:t>Opinions</w:t>
      </w:r>
      <w:r>
        <w:rPr>
          <w:rFonts w:ascii="Arial" w:cs="Arial" w:eastAsia="Arial" w:hAnsi="Arial"/>
          <w:sz w:val="16"/>
          <w:szCs w:val="16"/>
          <w:color w:val="auto"/>
        </w:rPr>
        <w:t>) below and do not extend, and should not be read as extending, by implication or otherwise, to any other matters.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6" w:name="page177"/>
    <w:bookmarkEnd w:id="176"/>
    <w:p>
      <w:pPr>
        <w:ind w:left="640" w:hanging="632"/>
        <w:spacing w:after="0"/>
        <w:tabs>
          <w:tab w:leader="none" w:pos="64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1303020" cy="1454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145415"/>
                    </a:xfrm>
                    <a:prstGeom prst="rect">
                      <a:avLst/>
                    </a:prstGeom>
                    <a:noFill/>
                  </pic:spPr>
                </pic:pic>
              </a:graphicData>
            </a:graphic>
          </wp:anchor>
        </w:drawing>
        <w:t>OPINION</w:t>
      </w:r>
    </w:p>
    <w:p>
      <w:pPr>
        <w:spacing w:after="0" w:line="229" w:lineRule="exact"/>
        <w:rPr>
          <w:rFonts w:ascii="Arial" w:cs="Arial" w:eastAsia="Arial" w:hAnsi="Arial"/>
          <w:sz w:val="18"/>
          <w:szCs w:val="18"/>
          <w:b w:val="1"/>
          <w:bCs w:val="1"/>
          <w:color w:val="auto"/>
        </w:rPr>
      </w:pPr>
    </w:p>
    <w:p>
      <w:pPr>
        <w:ind w:left="640"/>
        <w:spacing w:after="0"/>
        <w:rPr>
          <w:rFonts w:ascii="Arial" w:cs="Arial" w:eastAsia="Arial" w:hAnsi="Arial"/>
          <w:sz w:val="18"/>
          <w:szCs w:val="18"/>
          <w:b w:val="1"/>
          <w:bCs w:val="1"/>
          <w:color w:val="auto"/>
        </w:rPr>
      </w:pPr>
      <w:r>
        <w:rPr>
          <w:rFonts w:ascii="Arial" w:cs="Arial" w:eastAsia="Arial" w:hAnsi="Arial"/>
          <w:sz w:val="17"/>
          <w:szCs w:val="17"/>
          <w:color w:val="auto"/>
        </w:rPr>
        <w:t>Subject to paragraph 1 (</w:t>
      </w:r>
      <w:r>
        <w:rPr>
          <w:rFonts w:ascii="Arial" w:cs="Arial" w:eastAsia="Arial" w:hAnsi="Arial"/>
          <w:sz w:val="17"/>
          <w:szCs w:val="17"/>
          <w:i w:val="1"/>
          <w:iCs w:val="1"/>
          <w:color w:val="auto"/>
        </w:rPr>
        <w:t>Introduction</w:t>
      </w:r>
      <w:r>
        <w:rPr>
          <w:rFonts w:ascii="Arial" w:cs="Arial" w:eastAsia="Arial" w:hAnsi="Arial"/>
          <w:sz w:val="17"/>
          <w:szCs w:val="17"/>
          <w:color w:val="auto"/>
        </w:rPr>
        <w:t>) and the other matters set out in this letter and its Schedules, and subject further to the following:</w:t>
      </w:r>
    </w:p>
    <w:p>
      <w:pPr>
        <w:spacing w:after="0" w:line="236" w:lineRule="exact"/>
        <w:rPr>
          <w:rFonts w:ascii="Arial" w:cs="Arial" w:eastAsia="Arial" w:hAnsi="Arial"/>
          <w:sz w:val="18"/>
          <w:szCs w:val="18"/>
          <w:b w:val="1"/>
          <w:bCs w:val="1"/>
          <w:color w:val="auto"/>
        </w:rPr>
      </w:pPr>
    </w:p>
    <w:p>
      <w:pPr>
        <w:ind w:left="1280" w:hanging="638"/>
        <w:spacing w:after="0"/>
        <w:tabs>
          <w:tab w:leader="none" w:pos="12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Registration Statement, as finally amended, having become effective under the Securities Act;</w:t>
      </w:r>
    </w:p>
    <w:p>
      <w:pPr>
        <w:spacing w:after="0" w:line="225" w:lineRule="exact"/>
        <w:rPr>
          <w:rFonts w:ascii="Arial" w:cs="Arial" w:eastAsia="Arial" w:hAnsi="Arial"/>
          <w:sz w:val="18"/>
          <w:szCs w:val="18"/>
          <w:color w:val="auto"/>
        </w:rPr>
      </w:pPr>
    </w:p>
    <w:p>
      <w:pPr>
        <w:jc w:val="both"/>
        <w:ind w:left="1280" w:hanging="638"/>
        <w:spacing w:after="0" w:line="301" w:lineRule="auto"/>
        <w:tabs>
          <w:tab w:leader="none" w:pos="128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the directors of the Company at the time of any allotment and issue of New Ordinary Shares and/or Sales Ordinary Shares (as applicable) being duly authorised pursuant to the articles of association of the Company in force at the time of such allotment and issue, the Companies Act and any relevant authority given by the members of the Company to allot such New Ordinary Shares and any rights of pre-emption under such articles of association or the Companies Act in respect of such allotment having been validly disapplied;</w:t>
      </w:r>
    </w:p>
    <w:p>
      <w:pPr>
        <w:spacing w:after="0" w:line="157" w:lineRule="exact"/>
        <w:rPr>
          <w:rFonts w:ascii="Arial" w:cs="Arial" w:eastAsia="Arial" w:hAnsi="Arial"/>
          <w:sz w:val="16"/>
          <w:szCs w:val="16"/>
          <w:color w:val="auto"/>
        </w:rPr>
      </w:pPr>
    </w:p>
    <w:p>
      <w:pPr>
        <w:ind w:left="1280" w:hanging="638"/>
        <w:spacing w:after="0" w:line="277" w:lineRule="auto"/>
        <w:tabs>
          <w:tab w:leader="none" w:pos="12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directors of the Company (or duly authorised committee thereof) having validly resolved to allot the New Ordinary Shares and/or Sales Ordinary Shares (as applicable);</w:t>
      </w:r>
    </w:p>
    <w:p>
      <w:pPr>
        <w:spacing w:after="0" w:line="170" w:lineRule="exact"/>
        <w:rPr>
          <w:rFonts w:ascii="Arial" w:cs="Arial" w:eastAsia="Arial" w:hAnsi="Arial"/>
          <w:sz w:val="18"/>
          <w:szCs w:val="18"/>
          <w:color w:val="auto"/>
        </w:rPr>
      </w:pPr>
    </w:p>
    <w:p>
      <w:pPr>
        <w:jc w:val="both"/>
        <w:ind w:left="1280" w:hanging="638"/>
        <w:spacing w:after="0" w:line="263" w:lineRule="auto"/>
        <w:tabs>
          <w:tab w:leader="none" w:pos="12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receipt in full of payment for the New Ordinary Shares and/or Sales Ordinary Shares (as applicable) in an amount of “cash consideration” (as defined in section 583(3) of the Companies Act) of not less than the aggregate nominal value for the New Ordinary Shares and/or Sales Ordinary Shares (as applicable); and</w:t>
      </w:r>
    </w:p>
    <w:p>
      <w:pPr>
        <w:spacing w:after="0" w:line="183" w:lineRule="exact"/>
        <w:rPr>
          <w:rFonts w:ascii="Arial" w:cs="Arial" w:eastAsia="Arial" w:hAnsi="Arial"/>
          <w:sz w:val="18"/>
          <w:szCs w:val="18"/>
          <w:color w:val="auto"/>
        </w:rPr>
      </w:pPr>
    </w:p>
    <w:p>
      <w:pPr>
        <w:ind w:left="1280" w:hanging="638"/>
        <w:spacing w:after="0"/>
        <w:tabs>
          <w:tab w:leader="none" w:pos="12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in relation to the Sales Ordinary Shares only, the Sales Agreement having become unconditional in all respects; and</w:t>
      </w:r>
    </w:p>
    <w:p>
      <w:pPr>
        <w:spacing w:after="0" w:line="225" w:lineRule="exact"/>
        <w:rPr>
          <w:rFonts w:ascii="Arial" w:cs="Arial" w:eastAsia="Arial" w:hAnsi="Arial"/>
          <w:sz w:val="18"/>
          <w:szCs w:val="18"/>
          <w:color w:val="auto"/>
        </w:rPr>
      </w:pPr>
    </w:p>
    <w:p>
      <w:pPr>
        <w:ind w:left="1280" w:hanging="638"/>
        <w:spacing w:after="0" w:line="277" w:lineRule="auto"/>
        <w:tabs>
          <w:tab w:leader="none" w:pos="12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valid entries having been made in relation to the allotment and issue of the New Ordinary Shares and/or Sales Ordinary Shares (as applicable) in the books and registers of the Company,</w:t>
      </w:r>
    </w:p>
    <w:p>
      <w:pPr>
        <w:spacing w:after="0" w:line="170" w:lineRule="exact"/>
        <w:rPr>
          <w:sz w:val="20"/>
          <w:szCs w:val="20"/>
          <w:color w:val="auto"/>
        </w:rPr>
      </w:pPr>
    </w:p>
    <w:p>
      <w:pPr>
        <w:jc w:val="both"/>
        <w:ind w:left="640"/>
        <w:spacing w:after="0" w:line="259" w:lineRule="auto"/>
        <w:rPr>
          <w:sz w:val="20"/>
          <w:szCs w:val="20"/>
          <w:color w:val="auto"/>
        </w:rPr>
      </w:pPr>
      <w:r>
        <w:rPr>
          <w:rFonts w:ascii="Arial" w:cs="Arial" w:eastAsia="Arial" w:hAnsi="Arial"/>
          <w:sz w:val="18"/>
          <w:szCs w:val="18"/>
          <w:color w:val="auto"/>
        </w:rPr>
        <w:t>it is our opinion that the New Ordinary Shares and/or Sales Ordinary Shares (as applicable), if and when issued and delivered in accordance with the terms of the Registration Statement and as described therein, will be duly and validly authorised and issued, fully paid or credited as fully paid (subject to the receipt of valid consideration by the Company for the issue thereof) and will not be subject to any call for payment of further capital.</w:t>
      </w:r>
    </w:p>
    <w:p>
      <w:pPr>
        <w:spacing w:after="0" w:line="183" w:lineRule="exact"/>
        <w:rPr>
          <w:sz w:val="20"/>
          <w:szCs w:val="20"/>
          <w:color w:val="auto"/>
        </w:rPr>
      </w:pPr>
    </w:p>
    <w:p>
      <w:pPr>
        <w:ind w:left="640" w:hanging="632"/>
        <w:spacing w:after="0"/>
        <w:tabs>
          <w:tab w:leader="none" w:pos="6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EXTENT OF OPINIONS</w:t>
      </w:r>
    </w:p>
    <w:p>
      <w:pPr>
        <w:spacing w:after="0" w:line="229" w:lineRule="exact"/>
        <w:rPr>
          <w:rFonts w:ascii="Arial" w:cs="Arial" w:eastAsia="Arial" w:hAnsi="Arial"/>
          <w:sz w:val="18"/>
          <w:szCs w:val="18"/>
          <w:b w:val="1"/>
          <w:bCs w:val="1"/>
          <w:color w:val="auto"/>
        </w:rPr>
      </w:pPr>
    </w:p>
    <w:p>
      <w:pPr>
        <w:ind w:lef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express no opinion as to any agreement, instrument or other document other than as specified in this letter or as to any liability to tax which may arise or be suffered as a result of or in connection with the transactions contemplated by the Registration Statement.</w:t>
      </w:r>
    </w:p>
    <w:p>
      <w:pPr>
        <w:spacing w:after="0" w:line="170" w:lineRule="exact"/>
        <w:rPr>
          <w:rFonts w:ascii="Arial" w:cs="Arial" w:eastAsia="Arial" w:hAnsi="Arial"/>
          <w:sz w:val="18"/>
          <w:szCs w:val="18"/>
          <w:b w:val="1"/>
          <w:bCs w:val="1"/>
          <w:color w:val="auto"/>
        </w:rPr>
      </w:pPr>
    </w:p>
    <w:p>
      <w:pPr>
        <w:jc w:val="both"/>
        <w:ind w:left="640"/>
        <w:spacing w:after="0" w:line="311" w:lineRule="auto"/>
        <w:rPr>
          <w:rFonts w:ascii="Arial" w:cs="Arial" w:eastAsia="Arial" w:hAnsi="Arial"/>
          <w:sz w:val="18"/>
          <w:szCs w:val="18"/>
          <w:b w:val="1"/>
          <w:bCs w:val="1"/>
          <w:color w:val="auto"/>
        </w:rPr>
      </w:pPr>
      <w:r>
        <w:rPr>
          <w:rFonts w:ascii="Arial" w:cs="Arial" w:eastAsia="Arial" w:hAnsi="Arial"/>
          <w:sz w:val="16"/>
          <w:szCs w:val="16"/>
          <w:color w:val="auto"/>
        </w:rPr>
        <w:t>This letter only applies to those facts and circumstances which exist as at today’s date and we assume no obligation or responsibility to update or supplement this letter to reflect any facts or circumstances which may subsequently come to our attention, any changes in laws which may occur after today, or to inform the addressee of any change in circumstances happening after the date of this letter which would alter our opinion.</w:t>
      </w:r>
    </w:p>
    <w:p>
      <w:pPr>
        <w:spacing w:after="0" w:line="144" w:lineRule="exact"/>
        <w:rPr>
          <w:rFonts w:ascii="Arial" w:cs="Arial" w:eastAsia="Arial" w:hAnsi="Arial"/>
          <w:sz w:val="18"/>
          <w:szCs w:val="18"/>
          <w:b w:val="1"/>
          <w:bCs w:val="1"/>
          <w:color w:val="auto"/>
        </w:rPr>
      </w:pPr>
    </w:p>
    <w:p>
      <w:pPr>
        <w:ind w:left="640" w:hanging="632"/>
        <w:spacing w:after="0"/>
        <w:tabs>
          <w:tab w:leader="none" w:pos="64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RELIANCE AND DISCLOSURE</w:t>
      </w:r>
    </w:p>
    <w:p>
      <w:pPr>
        <w:spacing w:after="0" w:line="229" w:lineRule="exact"/>
        <w:rPr>
          <w:rFonts w:ascii="Arial" w:cs="Arial" w:eastAsia="Arial" w:hAnsi="Arial"/>
          <w:sz w:val="18"/>
          <w:szCs w:val="18"/>
          <w:b w:val="1"/>
          <w:bCs w:val="1"/>
          <w:color w:val="auto"/>
        </w:rPr>
      </w:pPr>
    </w:p>
    <w:p>
      <w:pPr>
        <w:jc w:val="both"/>
        <w:ind w:left="6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This letter is addressed to you solely for your benefit in connection with the Registration Statement. We consent to the filing of this letter as an exhibit to the Registration Statement. In giving such consent, we do not thereby admit that we are in the category of persons whose consent is required under Section 7 of the Securities Act or the rules and regulations thereunder.</w:t>
      </w:r>
    </w:p>
    <w:p>
      <w:pPr>
        <w:spacing w:after="0" w:line="184" w:lineRule="exact"/>
        <w:rPr>
          <w:sz w:val="20"/>
          <w:szCs w:val="20"/>
          <w:color w:val="auto"/>
        </w:rPr>
      </w:pPr>
    </w:p>
    <w:p>
      <w:pPr>
        <w:ind w:left="640"/>
        <w:spacing w:after="0" w:line="342" w:lineRule="auto"/>
        <w:rPr>
          <w:sz w:val="20"/>
          <w:szCs w:val="20"/>
          <w:color w:val="auto"/>
        </w:rPr>
      </w:pPr>
      <w:r>
        <w:rPr>
          <w:rFonts w:ascii="Arial" w:cs="Arial" w:eastAsia="Arial" w:hAnsi="Arial"/>
          <w:sz w:val="16"/>
          <w:szCs w:val="16"/>
          <w:color w:val="auto"/>
        </w:rPr>
        <w:t>This letter may not be relied upon by you for any other purpose, and, other than as set out above, may not be furnished to, or assigned to or relied upon by any other person, firm or entity for any purpose, without our prior written consent, which may be granted or withheld in our discretion.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LATHAM &amp; WATKINS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50" w:right="339" w:bottom="1440" w:gutter="0" w:footer="0" w:header="0"/>
        </w:sectPr>
      </w:pPr>
    </w:p>
    <w:bookmarkStart w:id="177" w:name="page178"/>
    <w:bookmarkEnd w:id="177"/>
    <w:p>
      <w:pPr>
        <w:jc w:val="center"/>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 in this letter has been given on the basis of the following assumptions:</w:t>
      </w:r>
    </w:p>
    <w:p>
      <w:pPr>
        <w:spacing w:after="0" w:line="225" w:lineRule="exact"/>
        <w:rPr>
          <w:sz w:val="20"/>
          <w:szCs w:val="20"/>
          <w:color w:val="auto"/>
        </w:rPr>
      </w:pPr>
    </w:p>
    <w:p>
      <w:pPr>
        <w:ind w:left="1280" w:hanging="638"/>
        <w:spacing w:after="0" w:line="277" w:lineRule="auto"/>
        <w:tabs>
          <w:tab w:leader="none" w:pos="12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genuineness of all signatures, stamps and seals on all documents, the authenticity and completeness of all documents submitted to us as originals, and the conformity to authentic original documents of all documents submitted to us as copies;</w:t>
      </w:r>
    </w:p>
    <w:p>
      <w:pPr>
        <w:spacing w:after="0" w:line="170" w:lineRule="exact"/>
        <w:rPr>
          <w:rFonts w:ascii="Arial" w:cs="Arial" w:eastAsia="Arial" w:hAnsi="Arial"/>
          <w:sz w:val="18"/>
          <w:szCs w:val="18"/>
          <w:color w:val="auto"/>
        </w:rPr>
      </w:pPr>
    </w:p>
    <w:p>
      <w:pPr>
        <w:ind w:left="1280" w:hanging="638"/>
        <w:spacing w:after="0"/>
        <w:tabs>
          <w:tab w:leader="none" w:pos="12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that in the case of a document signed electronically, the person signing it intended to sign and be bound by the document;</w:t>
      </w:r>
    </w:p>
    <w:p>
      <w:pPr>
        <w:spacing w:after="0" w:line="225" w:lineRule="exact"/>
        <w:rPr>
          <w:rFonts w:ascii="Arial" w:cs="Arial" w:eastAsia="Arial" w:hAnsi="Arial"/>
          <w:sz w:val="18"/>
          <w:szCs w:val="18"/>
          <w:color w:val="auto"/>
        </w:rPr>
      </w:pPr>
    </w:p>
    <w:p>
      <w:pPr>
        <w:ind w:left="1280" w:right="20" w:hanging="638"/>
        <w:spacing w:after="0" w:line="277" w:lineRule="auto"/>
        <w:tabs>
          <w:tab w:leader="none" w:pos="12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that, where a document has been examined by us in draft or specimen form, it will be or has been duly executed in the form of that draft or specimen;</w:t>
      </w:r>
    </w:p>
    <w:p>
      <w:pPr>
        <w:spacing w:after="0" w:line="170" w:lineRule="exact"/>
        <w:rPr>
          <w:rFonts w:ascii="Arial" w:cs="Arial" w:eastAsia="Arial" w:hAnsi="Arial"/>
          <w:sz w:val="18"/>
          <w:szCs w:val="18"/>
          <w:color w:val="auto"/>
        </w:rPr>
      </w:pPr>
    </w:p>
    <w:p>
      <w:pPr>
        <w:ind w:left="1280" w:hanging="638"/>
        <w:spacing w:after="0" w:line="277" w:lineRule="auto"/>
        <w:tabs>
          <w:tab w:leader="none" w:pos="12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that the filing of the Registration Statement with the SEC has been authorised by all necessary actions under all applicable laws other than English law;</w:t>
      </w:r>
    </w:p>
    <w:p>
      <w:pPr>
        <w:spacing w:after="0" w:line="170" w:lineRule="exact"/>
        <w:rPr>
          <w:rFonts w:ascii="Arial" w:cs="Arial" w:eastAsia="Arial" w:hAnsi="Arial"/>
          <w:sz w:val="18"/>
          <w:szCs w:val="18"/>
          <w:color w:val="auto"/>
        </w:rPr>
      </w:pPr>
    </w:p>
    <w:p>
      <w:pPr>
        <w:jc w:val="both"/>
        <w:ind w:left="1280" w:right="20" w:hanging="638"/>
        <w:spacing w:after="0" w:line="263" w:lineRule="auto"/>
        <w:tabs>
          <w:tab w:leader="none" w:pos="12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that the articles of association of the Company referred to in paragraph 1.3(i) of this letter remain in full force and effect, and no alteration had been made to such articles of association, in each case, prior to the date on which the Shares were allotted, issued or rights are granted to subscribe for Shares (each such date being an “</w:t>
      </w:r>
      <w:r>
        <w:rPr>
          <w:rFonts w:ascii="Arial" w:cs="Arial" w:eastAsia="Arial" w:hAnsi="Arial"/>
          <w:sz w:val="18"/>
          <w:szCs w:val="18"/>
          <w:b w:val="1"/>
          <w:bCs w:val="1"/>
          <w:color w:val="auto"/>
        </w:rPr>
        <w:t>Allotment Date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280" w:hanging="638"/>
        <w:spacing w:after="0" w:line="277" w:lineRule="auto"/>
        <w:tabs>
          <w:tab w:leader="none" w:pos="12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that a complete prospectus supplement will have been prepared and filed with the SEC describing the New Ordinary Shares and/or Sales Ordinary Shares (as applicable) offered before each Allotment Date;</w:t>
      </w:r>
    </w:p>
    <w:p>
      <w:pPr>
        <w:spacing w:after="0" w:line="170" w:lineRule="exact"/>
        <w:rPr>
          <w:rFonts w:ascii="Arial" w:cs="Arial" w:eastAsia="Arial" w:hAnsi="Arial"/>
          <w:sz w:val="18"/>
          <w:szCs w:val="18"/>
          <w:color w:val="auto"/>
        </w:rPr>
      </w:pPr>
    </w:p>
    <w:p>
      <w:pPr>
        <w:jc w:val="both"/>
        <w:ind w:left="1280" w:hanging="638"/>
        <w:spacing w:after="0" w:line="286" w:lineRule="auto"/>
        <w:tabs>
          <w:tab w:leader="none" w:pos="128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that all documents, forms and notices which should have been delivered to Companies House in respect of the Company have been so delivered, that the results of the Searches are complete and accurate, that the position has not changed since the times at which the Searches were made and that the results of the Searches will remain complete and accurate as at each Allotment Date;</w:t>
      </w:r>
    </w:p>
    <w:p>
      <w:pPr>
        <w:spacing w:after="0" w:line="165" w:lineRule="exact"/>
        <w:rPr>
          <w:rFonts w:ascii="Arial" w:cs="Arial" w:eastAsia="Arial" w:hAnsi="Arial"/>
          <w:sz w:val="17"/>
          <w:szCs w:val="17"/>
          <w:color w:val="auto"/>
        </w:rPr>
      </w:pPr>
    </w:p>
    <w:p>
      <w:pPr>
        <w:ind w:left="1280" w:hanging="638"/>
        <w:spacing w:after="0" w:line="277" w:lineRule="auto"/>
        <w:tabs>
          <w:tab w:leader="none" w:pos="12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that the Sales Agreement (and the other documents referred to therein) remains accurate and complete and has not been amended, terminated or otherwise discharged as at the date of this letter;</w:t>
      </w:r>
    </w:p>
    <w:p>
      <w:pPr>
        <w:spacing w:after="0" w:line="170" w:lineRule="exact"/>
        <w:rPr>
          <w:rFonts w:ascii="Arial" w:cs="Arial" w:eastAsia="Arial" w:hAnsi="Arial"/>
          <w:sz w:val="18"/>
          <w:szCs w:val="18"/>
          <w:color w:val="auto"/>
        </w:rPr>
      </w:pPr>
    </w:p>
    <w:p>
      <w:pPr>
        <w:ind w:left="1280" w:hanging="638"/>
        <w:spacing w:after="0" w:line="277" w:lineRule="auto"/>
        <w:tabs>
          <w:tab w:leader="none" w:pos="12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that each of the persons executing the Sales Agreement on behalf of the relevant parties thereto executed an identical final version of such document, in each case in the form reviewed by us;</w:t>
      </w:r>
    </w:p>
    <w:p>
      <w:pPr>
        <w:spacing w:after="0" w:line="170" w:lineRule="exact"/>
        <w:rPr>
          <w:rFonts w:ascii="Arial" w:cs="Arial" w:eastAsia="Arial" w:hAnsi="Arial"/>
          <w:sz w:val="18"/>
          <w:szCs w:val="18"/>
          <w:color w:val="auto"/>
        </w:rPr>
      </w:pPr>
    </w:p>
    <w:p>
      <w:pPr>
        <w:jc w:val="both"/>
        <w:ind w:left="1280" w:hanging="638"/>
        <w:spacing w:after="0" w:line="311" w:lineRule="auto"/>
        <w:tabs>
          <w:tab w:leader="none" w:pos="12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absence of fraud or mutual mistake of fact or law or any other arrangements, agreements, understandings or course of conduct or prior or subsequent dealings, amending, rescinding or modifying or suspending any of the terms of the Sales Agreement or which would result in the inclusion of additional terms therein, and that the parties have acted in accordance with the terms of the Sales Agreement;</w:t>
      </w:r>
    </w:p>
    <w:p>
      <w:pPr>
        <w:spacing w:after="0" w:line="148" w:lineRule="exact"/>
        <w:rPr>
          <w:rFonts w:ascii="Arial" w:cs="Arial" w:eastAsia="Arial" w:hAnsi="Arial"/>
          <w:sz w:val="16"/>
          <w:szCs w:val="16"/>
          <w:color w:val="auto"/>
        </w:rPr>
      </w:pPr>
    </w:p>
    <w:p>
      <w:pPr>
        <w:jc w:val="both"/>
        <w:ind w:left="1280" w:hanging="638"/>
        <w:spacing w:after="0" w:line="259" w:lineRule="auto"/>
        <w:tabs>
          <w:tab w:leader="none" w:pos="12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that the Sales Agreement and all obligations thereunder have been entered into and the ADSs have been offered in good faith and on bona fide commercial terms and on arms' length terms and for the purpose of carrying on the business of the Company and that there are reasonable grounds for believing that the entry into of the Sales Agreement and the offering of the ADSs will promote the success of the Company for the benefit of its members as a whole;</w:t>
      </w:r>
    </w:p>
    <w:p>
      <w:pPr>
        <w:spacing w:after="0" w:line="186" w:lineRule="exact"/>
        <w:rPr>
          <w:rFonts w:ascii="Arial" w:cs="Arial" w:eastAsia="Arial" w:hAnsi="Arial"/>
          <w:sz w:val="18"/>
          <w:szCs w:val="18"/>
          <w:color w:val="auto"/>
        </w:rPr>
      </w:pPr>
    </w:p>
    <w:p>
      <w:pPr>
        <w:ind w:left="1280" w:hanging="638"/>
        <w:spacing w:after="0"/>
        <w:tabs>
          <w:tab w:leader="none" w:pos="12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that all requirements and conditions precedent for the Sale Agreement to be entered into have been satisfied;</w:t>
      </w:r>
    </w:p>
    <w:p>
      <w:pPr>
        <w:spacing w:after="0" w:line="225" w:lineRule="exact"/>
        <w:rPr>
          <w:sz w:val="20"/>
          <w:szCs w:val="20"/>
          <w:color w:val="auto"/>
        </w:rPr>
      </w:pPr>
    </w:p>
    <w:p>
      <w:pPr>
        <w:jc w:val="both"/>
        <w:ind w:left="1280" w:hanging="638"/>
        <w:spacing w:after="0" w:line="301" w:lineRule="auto"/>
        <w:tabs>
          <w:tab w:leader="none" w:pos="128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that the resolutions described in the written resolutions of the board of directors of the Company provided to us in connection with the giving of this opinion or otherwise contemplated in connection with the matters referred to herein were/or will be duly passed as written resolutions of the board of directors of the Company, all constitutional, statutory and other formalities were and such resolutions have not been and/or will not be revoked or varied and remain in full force and effect and will remain so at each Allotment Date</w:t>
      </w:r>
    </w:p>
    <w:p>
      <w:pPr>
        <w:spacing w:after="0" w:line="157" w:lineRule="exact"/>
        <w:rPr>
          <w:rFonts w:ascii="Arial" w:cs="Arial" w:eastAsia="Arial" w:hAnsi="Arial"/>
          <w:sz w:val="16"/>
          <w:szCs w:val="16"/>
          <w:color w:val="auto"/>
        </w:rPr>
      </w:pPr>
    </w:p>
    <w:p>
      <w:pPr>
        <w:jc w:val="both"/>
        <w:ind w:left="1280" w:hanging="638"/>
        <w:spacing w:after="0" w:line="257" w:lineRule="auto"/>
        <w:tabs>
          <w:tab w:leader="none" w:pos="12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that the 2021 AGM will be validly constituted, convened and conducted in accordance with the Articles of Association, that the Allotment Resolutions shall be duly and validly passed by the shareholders in the form set out in the AGM Notice at the 2021 AGM, that all constitutional, statutory and other formalities will be observed at the 2021 AGM in connection with the passing of the Allotment Resolutions and no such resolution will be revoked or varied prior to each Allotment Date and will remain in full force and effect as at each Allotment Date;</w:t>
      </w:r>
    </w:p>
    <w:p>
      <w:pPr>
        <w:spacing w:after="0" w:line="187" w:lineRule="exact"/>
        <w:rPr>
          <w:rFonts w:ascii="Arial" w:cs="Arial" w:eastAsia="Arial" w:hAnsi="Arial"/>
          <w:sz w:val="18"/>
          <w:szCs w:val="18"/>
          <w:color w:val="auto"/>
        </w:rPr>
      </w:pPr>
    </w:p>
    <w:p>
      <w:pPr>
        <w:jc w:val="both"/>
        <w:ind w:left="1280" w:hanging="638"/>
        <w:spacing w:after="0" w:line="253" w:lineRule="auto"/>
        <w:tabs>
          <w:tab w:leader="none" w:pos="12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that as at each Allotment Date, the authority granted pursuant to the Allotment Resolutions (if passed at the 2021 AGM), will remain unutilised to the extent necessary to permit such allotment and issue of New Ordinary Shares and/or Sales Ordinary Shares (as applicable), or if at any Allotment Date, the authority granted pursuant to the Allotment Resolutions (if passed at the 2021 AGM) has expired, the Company in general meeting duly and validly having resolved (i) as an ordinary resolution to authorise the board of directors of the Company pursuant to section 551 of the Companies Act to allot such New Ordinary Shares and/or Sales Ordinary Shares (as applicable), and (ii) as may be required, as a special resolution to empower the directors of the Company pursuant to section 570 or section 571 (as applicable) of the Companies Act to allot such New Ordinary Shares and/or Sales Ordinary Shares (as applicable), free of the restrictions in section 561 of the Companies Act, and such resolutions and authorities remaining in full force and effect and not having expired, been rescinded or amended;</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686" w:gutter="0" w:footer="0" w:header="0"/>
        </w:sectPr>
      </w:pPr>
    </w:p>
    <w:bookmarkStart w:id="178" w:name="page179"/>
    <w:bookmarkEnd w:id="178"/>
    <w:p>
      <w:pPr>
        <w:jc w:val="both"/>
        <w:ind w:left="638" w:hanging="638"/>
        <w:spacing w:after="0" w:line="259" w:lineRule="auto"/>
        <w:tabs>
          <w:tab w:leader="none" w:pos="63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that any subsequent general meeting referred to in (k) above will be validly constituted, convened and conducted in accordance with the articles of association, that all constitutional, statutory and other formalities will be observed at the general meeting in connection with the passing of the resolutions and no such resolution will have been revoked or varied prior to each Allotment Date and will remain in full force and effect at each Allotment Date;</w:t>
      </w:r>
    </w:p>
    <w:p>
      <w:pPr>
        <w:spacing w:after="0" w:line="186" w:lineRule="exact"/>
        <w:rPr>
          <w:rFonts w:ascii="Arial" w:cs="Arial" w:eastAsia="Arial" w:hAnsi="Arial"/>
          <w:sz w:val="18"/>
          <w:szCs w:val="18"/>
          <w:color w:val="auto"/>
        </w:rPr>
      </w:pPr>
    </w:p>
    <w:p>
      <w:pPr>
        <w:jc w:val="both"/>
        <w:ind w:left="638" w:hanging="638"/>
        <w:spacing w:after="0" w:line="279" w:lineRule="auto"/>
        <w:tabs>
          <w:tab w:leader="none" w:pos="638" w:val="left"/>
        </w:tabs>
        <w:numPr>
          <w:ilvl w:val="0"/>
          <w:numId w:val="145"/>
        </w:numPr>
        <w:rPr>
          <w:rFonts w:ascii="Arial" w:cs="Arial" w:eastAsia="Arial" w:hAnsi="Arial"/>
          <w:sz w:val="17"/>
          <w:szCs w:val="17"/>
          <w:color w:val="auto"/>
        </w:rPr>
      </w:pPr>
      <w:r>
        <w:rPr>
          <w:rFonts w:ascii="Arial" w:cs="Arial" w:eastAsia="Arial" w:hAnsi="Arial"/>
          <w:sz w:val="17"/>
          <w:szCs w:val="17"/>
          <w:color w:val="auto"/>
        </w:rPr>
        <w:t>that at the time of each allotment and issue of any Ordinary Shares, the Company shall have received “cash consideration” (as such term is defined in section 583(3) of the Companies Act) in full, equal to the subscription price payable for such Ordinary Shares and shall have entered the holder or holders thereof in the register of members of the Company showing that all such Ordinary Shares shall have been fully paid up as to their nominal value and any premium thereon as at each Allotment Date;</w:t>
      </w:r>
    </w:p>
    <w:p>
      <w:pPr>
        <w:spacing w:after="0" w:line="171" w:lineRule="exact"/>
        <w:rPr>
          <w:rFonts w:ascii="Arial" w:cs="Arial" w:eastAsia="Arial" w:hAnsi="Arial"/>
          <w:sz w:val="17"/>
          <w:szCs w:val="17"/>
          <w:color w:val="auto"/>
        </w:rPr>
      </w:pPr>
    </w:p>
    <w:p>
      <w:pPr>
        <w:jc w:val="both"/>
        <w:ind w:left="638" w:hanging="638"/>
        <w:spacing w:after="0" w:line="257" w:lineRule="auto"/>
        <w:tabs>
          <w:tab w:leader="none" w:pos="63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that immediately prior to allotment, the directors of the Company had or shall have sufficient authority and powers conferred upon them to allot and issue such Ordinary Shares under section 551 of the Companies Act and under section 570 or section 571 (as applicable) of the Companies Act as if section 561 of the Companies Act did not apply to such allotment and issue, and the directors of the Company shall not allot or issue (or purport to allot or issue) Ordinary Shares in excess of such powers or in breach of any other limitation on their power to allot and issue Ordinary Shares;</w:t>
      </w:r>
    </w:p>
    <w:p>
      <w:pPr>
        <w:spacing w:after="0" w:line="187" w:lineRule="exact"/>
        <w:rPr>
          <w:rFonts w:ascii="Arial" w:cs="Arial" w:eastAsia="Arial" w:hAnsi="Arial"/>
          <w:sz w:val="18"/>
          <w:szCs w:val="18"/>
          <w:color w:val="auto"/>
        </w:rPr>
      </w:pPr>
    </w:p>
    <w:p>
      <w:pPr>
        <w:ind w:left="638" w:hanging="638"/>
        <w:spacing w:after="0" w:line="277" w:lineRule="auto"/>
        <w:tabs>
          <w:tab w:leader="none" w:pos="63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that no Ordinary Shares shall be allotted or issued, or are or shall be committed to be allotted or issued, at a discount to their nominal value (whether in pounds sterling or equivalent in any other currency);</w:t>
      </w:r>
    </w:p>
    <w:p>
      <w:pPr>
        <w:spacing w:after="0" w:line="170" w:lineRule="exact"/>
        <w:rPr>
          <w:rFonts w:ascii="Arial" w:cs="Arial" w:eastAsia="Arial" w:hAnsi="Arial"/>
          <w:sz w:val="18"/>
          <w:szCs w:val="18"/>
          <w:color w:val="auto"/>
        </w:rPr>
      </w:pPr>
    </w:p>
    <w:p>
      <w:pPr>
        <w:jc w:val="both"/>
        <w:ind w:left="638" w:hanging="638"/>
        <w:spacing w:after="0" w:line="263" w:lineRule="auto"/>
        <w:tabs>
          <w:tab w:leader="none" w:pos="63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that any allotment and issue of Ordinary Shares will be duly made in accordance with both the articles of association (as may be amended), the Companies Act and the applicable law, rules and regulations in force at the time of such allotment and issue, including without limitation, the rules of any stock exchange on which the Company’s securities may be traded;</w:t>
      </w:r>
    </w:p>
    <w:p>
      <w:pPr>
        <w:spacing w:after="0" w:line="183" w:lineRule="exact"/>
        <w:rPr>
          <w:rFonts w:ascii="Arial" w:cs="Arial" w:eastAsia="Arial" w:hAnsi="Arial"/>
          <w:sz w:val="18"/>
          <w:szCs w:val="18"/>
          <w:color w:val="auto"/>
        </w:rPr>
      </w:pPr>
    </w:p>
    <w:p>
      <w:pPr>
        <w:ind w:left="638" w:hanging="638"/>
        <w:spacing w:after="0" w:line="277" w:lineRule="auto"/>
        <w:tabs>
          <w:tab w:leader="none" w:pos="63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that there is, at each Allotment Date, no matter affecting the authority of the directors to issue and allot the Ordinary Shares which would have any adverse implications in relation to the opinion given above;</w:t>
      </w:r>
    </w:p>
    <w:p>
      <w:pPr>
        <w:spacing w:after="0" w:line="170" w:lineRule="exact"/>
        <w:rPr>
          <w:rFonts w:ascii="Arial" w:cs="Arial" w:eastAsia="Arial" w:hAnsi="Arial"/>
          <w:sz w:val="18"/>
          <w:szCs w:val="18"/>
          <w:color w:val="auto"/>
        </w:rPr>
      </w:pPr>
    </w:p>
    <w:p>
      <w:pPr>
        <w:jc w:val="both"/>
        <w:ind w:left="638" w:hanging="638"/>
        <w:spacing w:after="0" w:line="257" w:lineRule="auto"/>
        <w:tabs>
          <w:tab w:leader="none" w:pos="638"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that no Ordinary Shares or rights to subscribe for Ordinary Shares have been or shall be offered to the public in the United Kingdom in breach of the Financial Services and Markets Act 2000 (“</w:t>
      </w:r>
      <w:r>
        <w:rPr>
          <w:rFonts w:ascii="Arial" w:cs="Arial" w:eastAsia="Arial" w:hAnsi="Arial"/>
          <w:sz w:val="18"/>
          <w:szCs w:val="18"/>
          <w:b w:val="1"/>
          <w:bCs w:val="1"/>
          <w:color w:val="auto"/>
        </w:rPr>
        <w:t>FSMA</w:t>
      </w:r>
      <w:r>
        <w:rPr>
          <w:rFonts w:ascii="Arial" w:cs="Arial" w:eastAsia="Arial" w:hAnsi="Arial"/>
          <w:sz w:val="18"/>
          <w:szCs w:val="18"/>
          <w:color w:val="auto"/>
        </w:rPr>
        <w:t>”) or of any other United Kingdom laws or regulations concerning offers of securities to the public, and no communication has been or shall be made in relation to the Ordinary Shares in breach of section 21 of the FSMA or any other United Kingdom laws or regulations relating to offers or invitations to subscribe for, or to acquire rights to subscribe for or otherwise acquire, Ordinary Shares or other securities;</w:t>
      </w:r>
    </w:p>
    <w:p>
      <w:pPr>
        <w:spacing w:after="0" w:line="187" w:lineRule="exact"/>
        <w:rPr>
          <w:rFonts w:ascii="Arial" w:cs="Arial" w:eastAsia="Arial" w:hAnsi="Arial"/>
          <w:sz w:val="18"/>
          <w:szCs w:val="18"/>
          <w:color w:val="auto"/>
        </w:rPr>
      </w:pPr>
    </w:p>
    <w:p>
      <w:pPr>
        <w:ind w:left="638" w:hanging="638"/>
        <w:spacing w:after="0"/>
        <w:tabs>
          <w:tab w:leader="none" w:pos="638"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that in issuing and allotting Ordinary Shares, the Company is not carrying on a regulated activity for the purposes of section 19 of FSMA;</w:t>
      </w:r>
    </w:p>
    <w:p>
      <w:pPr>
        <w:spacing w:after="0" w:line="200" w:lineRule="exact"/>
        <w:rPr>
          <w:sz w:val="20"/>
          <w:szCs w:val="20"/>
          <w:color w:val="auto"/>
        </w:rPr>
      </w:pPr>
    </w:p>
    <w:p>
      <w:pPr>
        <w:spacing w:after="0" w:line="264" w:lineRule="exact"/>
        <w:rPr>
          <w:sz w:val="20"/>
          <w:szCs w:val="20"/>
          <w:color w:val="auto"/>
        </w:rPr>
      </w:pPr>
    </w:p>
    <w:p>
      <w:pPr>
        <w:ind w:left="4938"/>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14605</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98"/>
          </w:cols>
          <w:pgMar w:left="962" w:top="908" w:right="339" w:bottom="1440" w:gutter="0" w:footer="0" w:header="0"/>
        </w:sectPr>
      </w:pPr>
    </w:p>
    <w:bookmarkStart w:id="179" w:name="page180"/>
    <w:bookmarkEnd w:id="179"/>
    <w:p>
      <w:pPr>
        <w:ind w:left="638" w:hanging="638"/>
        <w:spacing w:after="0" w:line="342" w:lineRule="auto"/>
        <w:tabs>
          <w:tab w:leader="none" w:pos="638"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that the Company has complied and will comply with all applicable anti-terrorism, anti-money laundering, sanctions and human rights laws and regulations and that each allotment and issue of Ordinary Shares will be consistent with all such laws and regulations;</w:t>
      </w:r>
    </w:p>
    <w:p>
      <w:pPr>
        <w:spacing w:after="0" w:line="123" w:lineRule="exact"/>
        <w:rPr>
          <w:rFonts w:ascii="Arial" w:cs="Arial" w:eastAsia="Arial" w:hAnsi="Arial"/>
          <w:sz w:val="16"/>
          <w:szCs w:val="16"/>
          <w:color w:val="auto"/>
        </w:rPr>
      </w:pPr>
    </w:p>
    <w:p>
      <w:pPr>
        <w:jc w:val="both"/>
        <w:ind w:left="638" w:hanging="638"/>
        <w:spacing w:after="0" w:line="286" w:lineRule="auto"/>
        <w:tabs>
          <w:tab w:leader="none" w:pos="638"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that the Ordinary Shares will be allotted and issued in good faith and on bona fide commercial terms and on arms’ length terms and for the purpose of carrying on the business of the Company and that there will be reasonable grounds for believing that the allotment and issue of the Ordinary Shares will promote the success of the Company for the benefit of its members as a whole;</w:t>
      </w:r>
    </w:p>
    <w:p>
      <w:pPr>
        <w:spacing w:after="0" w:line="165" w:lineRule="exact"/>
        <w:rPr>
          <w:rFonts w:ascii="Arial" w:cs="Arial" w:eastAsia="Arial" w:hAnsi="Arial"/>
          <w:sz w:val="17"/>
          <w:szCs w:val="17"/>
          <w:color w:val="auto"/>
        </w:rPr>
      </w:pPr>
    </w:p>
    <w:p>
      <w:pPr>
        <w:ind w:left="638" w:right="20" w:hanging="638"/>
        <w:spacing w:after="0" w:line="277" w:lineRule="auto"/>
        <w:tabs>
          <w:tab w:leader="none" w:pos="63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that there has not and shall not be any bad faith, breach of duty, breach of trust, fraud, coercion, duress or undue influence on the part of any of the directors of the Company in relation to any allotment and issue of Ordinary Shares; and</w:t>
      </w:r>
    </w:p>
    <w:p>
      <w:pPr>
        <w:spacing w:after="0" w:line="170" w:lineRule="exact"/>
        <w:rPr>
          <w:rFonts w:ascii="Arial" w:cs="Arial" w:eastAsia="Arial" w:hAnsi="Arial"/>
          <w:sz w:val="18"/>
          <w:szCs w:val="18"/>
          <w:color w:val="auto"/>
        </w:rPr>
      </w:pPr>
    </w:p>
    <w:p>
      <w:pPr>
        <w:ind w:left="638" w:hanging="638"/>
        <w:spacing w:after="0" w:line="277" w:lineRule="auto"/>
        <w:tabs>
          <w:tab w:leader="none" w:pos="638"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that the Company has not taken any corporate or other action nor have any steps been taken or legal proceedings been started against the Company for:</w:t>
      </w:r>
    </w:p>
    <w:p>
      <w:pPr>
        <w:spacing w:after="0" w:line="170" w:lineRule="exact"/>
        <w:rPr>
          <w:rFonts w:ascii="Arial" w:cs="Arial" w:eastAsia="Arial" w:hAnsi="Arial"/>
          <w:sz w:val="18"/>
          <w:szCs w:val="18"/>
          <w:color w:val="auto"/>
        </w:rPr>
      </w:pPr>
    </w:p>
    <w:p>
      <w:pPr>
        <w:ind w:left="1278" w:hanging="643"/>
        <w:spacing w:after="0" w:line="277" w:lineRule="auto"/>
        <w:tabs>
          <w:tab w:leader="none" w:pos="127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liquidation, administration, winding up, dissolution, reorganisation or bankruptcy or similar procedures in other relevant jurisdictions, of; or</w:t>
      </w:r>
    </w:p>
    <w:p>
      <w:pPr>
        <w:spacing w:after="0" w:line="170" w:lineRule="exact"/>
        <w:rPr>
          <w:rFonts w:ascii="Arial" w:cs="Arial" w:eastAsia="Arial" w:hAnsi="Arial"/>
          <w:sz w:val="18"/>
          <w:szCs w:val="18"/>
          <w:color w:val="auto"/>
        </w:rPr>
      </w:pPr>
    </w:p>
    <w:p>
      <w:pPr>
        <w:ind w:left="1278" w:hanging="643"/>
        <w:spacing w:after="0"/>
        <w:tabs>
          <w:tab w:leader="none" w:pos="127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commencement of a moratorium in respect of; or</w:t>
      </w:r>
    </w:p>
    <w:p>
      <w:pPr>
        <w:spacing w:after="0" w:line="225" w:lineRule="exact"/>
        <w:rPr>
          <w:rFonts w:ascii="Arial" w:cs="Arial" w:eastAsia="Arial" w:hAnsi="Arial"/>
          <w:sz w:val="18"/>
          <w:szCs w:val="18"/>
          <w:color w:val="auto"/>
        </w:rPr>
      </w:pPr>
    </w:p>
    <w:p>
      <w:pPr>
        <w:ind w:left="1278" w:hanging="643"/>
        <w:spacing w:after="0"/>
        <w:tabs>
          <w:tab w:leader="none" w:pos="1278"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appointment of a liquidator, receiver, trustee, administrator, administrative receiver, monitor or similar officer of,</w:t>
      </w:r>
    </w:p>
    <w:p>
      <w:pPr>
        <w:spacing w:after="0" w:line="225" w:lineRule="exact"/>
        <w:rPr>
          <w:sz w:val="20"/>
          <w:szCs w:val="20"/>
          <w:color w:val="auto"/>
        </w:rPr>
      </w:pPr>
    </w:p>
    <w:p>
      <w:pPr>
        <w:jc w:val="both"/>
        <w:ind w:left="658"/>
        <w:spacing w:after="0" w:line="293" w:lineRule="auto"/>
        <w:rPr>
          <w:sz w:val="20"/>
          <w:szCs w:val="20"/>
          <w:color w:val="auto"/>
        </w:rPr>
      </w:pPr>
      <w:r>
        <w:rPr>
          <w:rFonts w:ascii="Arial" w:cs="Arial" w:eastAsia="Arial" w:hAnsi="Arial"/>
          <w:sz w:val="16"/>
          <w:szCs w:val="16"/>
          <w:color w:val="auto"/>
        </w:rPr>
        <w:t>the Company or all or any of its assets (or any analogous proceedings in any jurisdiction) and the Company is not unable to pay its debts as they fall due within the meaning of section 123 of the Insolvency Act 1986 and will not become unable to pay its debts within the meaning of that section as a result of any of the transactions contemplated herein, is not insolvent and has not been dissolved or declared bankrupt (although the Searches gave no indication that any: winding-up, dissolution, moratorium or administration order, application or filing; or appointment of a liquidator, receiver, monitor, administrator, administrative receiver or similar officer has been made with respect to the Company), and such actions and steps will not have been taken as at any Allotment Date.</w:t>
      </w:r>
    </w:p>
    <w:p>
      <w:pPr>
        <w:spacing w:after="0" w:line="380" w:lineRule="exact"/>
        <w:rPr>
          <w:sz w:val="20"/>
          <w:szCs w:val="20"/>
          <w:color w:val="auto"/>
        </w:rPr>
      </w:pPr>
    </w:p>
    <w:p>
      <w:pPr>
        <w:ind w:left="4938"/>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-401955</wp:posOffset>
            </wp:positionH>
            <wp:positionV relativeFrom="paragraph">
              <wp:posOffset>14605</wp:posOffset>
            </wp:positionV>
            <wp:extent cx="71323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98"/>
          </w:cols>
          <w:pgMar w:left="962" w:top="908" w:right="339" w:bottom="1440" w:gutter="0" w:footer="0" w:header="0"/>
        </w:sectPr>
      </w:pPr>
    </w:p>
    <w:bookmarkStart w:id="180" w:name="page181"/>
    <w:bookmarkEnd w:id="180"/>
    <w:p>
      <w:pPr>
        <w:jc w:val="cente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RESERVATIONS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 in this letter is subject to the following reservations:</w:t>
      </w:r>
    </w:p>
    <w:p>
      <w:pPr>
        <w:spacing w:after="0" w:line="225" w:lineRule="exact"/>
        <w:rPr>
          <w:sz w:val="20"/>
          <w:szCs w:val="20"/>
          <w:color w:val="auto"/>
        </w:rPr>
      </w:pPr>
    </w:p>
    <w:p>
      <w:pPr>
        <w:jc w:val="both"/>
        <w:ind w:left="1280" w:hanging="638"/>
        <w:spacing w:after="0" w:line="286" w:lineRule="auto"/>
        <w:tabs>
          <w:tab w:leader="none" w:pos="128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the Searches are not capable of revealing conclusively whether or not a winding-up or administration petition, filing or order has been presented or made, a monitor or receiver appointed, a company voluntary arrangement proposed or approved or a moratorium or any other insolvency proceeding commenced. We have not made enquiries of any District Registry or County Court;</w:t>
      </w:r>
    </w:p>
    <w:p>
      <w:pPr>
        <w:spacing w:after="0" w:line="1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w:t>
      </w:r>
    </w:p>
    <w:p>
      <w:pPr>
        <w:spacing w:after="0" w:line="225" w:lineRule="exact"/>
        <w:rPr>
          <w:sz w:val="20"/>
          <w:szCs w:val="20"/>
          <w:color w:val="auto"/>
        </w:rPr>
      </w:pPr>
    </w:p>
    <w:p>
      <w:pPr>
        <w:ind w:left="1920" w:right="20" w:hanging="643"/>
        <w:spacing w:after="0" w:line="277" w:lineRule="auto"/>
        <w:tabs>
          <w:tab w:leader="none" w:pos="19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any limitations arising from applicable laws relating to insolvency, bankruptcy, administration, reorganisation, liquidation, moratoria, schemes, restructuring plans or analogous circumstances; and</w:t>
      </w:r>
    </w:p>
    <w:p>
      <w:pPr>
        <w:spacing w:after="0" w:line="170" w:lineRule="exact"/>
        <w:rPr>
          <w:rFonts w:ascii="Arial" w:cs="Arial" w:eastAsia="Arial" w:hAnsi="Arial"/>
          <w:sz w:val="18"/>
          <w:szCs w:val="18"/>
          <w:color w:val="auto"/>
        </w:rPr>
      </w:pPr>
    </w:p>
    <w:p>
      <w:pPr>
        <w:jc w:val="both"/>
        <w:ind w:left="1920" w:hanging="643"/>
        <w:spacing w:after="0" w:line="263" w:lineRule="auto"/>
        <w:tabs>
          <w:tab w:leader="none" w:pos="192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an English court exercising its discretion under section 426 of the Insolvency Act 1986 (</w:t>
      </w:r>
      <w:r>
        <w:rPr>
          <w:rFonts w:ascii="Arial" w:cs="Arial" w:eastAsia="Arial" w:hAnsi="Arial"/>
          <w:sz w:val="18"/>
          <w:szCs w:val="18"/>
          <w:i w:val="1"/>
          <w:iCs w:val="1"/>
          <w:color w:val="auto"/>
        </w:rPr>
        <w:t>co-</w:t>
      </w:r>
      <w:r>
        <w:rPr>
          <w:rFonts w:ascii="Arial" w:cs="Arial" w:eastAsia="Arial" w:hAnsi="Arial"/>
          <w:sz w:val="18"/>
          <w:szCs w:val="18"/>
          <w:color w:val="auto"/>
        </w:rPr>
        <w:t xml:space="preserve">operation </w:t>
      </w:r>
      <w:r>
        <w:rPr>
          <w:rFonts w:ascii="Arial" w:cs="Arial" w:eastAsia="Arial" w:hAnsi="Arial"/>
          <w:sz w:val="18"/>
          <w:szCs w:val="18"/>
          <w:i w:val="1"/>
          <w:iCs w:val="1"/>
          <w:color w:val="auto"/>
        </w:rPr>
        <w:t>between courts exercising</w:t>
      </w:r>
      <w:r>
        <w:rPr>
          <w:rFonts w:ascii="Arial" w:cs="Arial" w:eastAsia="Arial" w:hAnsi="Arial"/>
          <w:sz w:val="18"/>
          <w:szCs w:val="18"/>
          <w:color w:val="auto"/>
        </w:rPr>
        <w:t xml:space="preserve"> </w:t>
      </w:r>
      <w:r>
        <w:rPr>
          <w:rFonts w:ascii="Arial" w:cs="Arial" w:eastAsia="Arial" w:hAnsi="Arial"/>
          <w:sz w:val="18"/>
          <w:szCs w:val="18"/>
          <w:i w:val="1"/>
          <w:iCs w:val="1"/>
          <w:color w:val="auto"/>
        </w:rPr>
        <w:t>jurisdiction in relation to insolvency</w:t>
      </w:r>
      <w:r>
        <w:rPr>
          <w:rFonts w:ascii="Arial" w:cs="Arial" w:eastAsia="Arial" w:hAnsi="Arial"/>
          <w:sz w:val="18"/>
          <w:szCs w:val="18"/>
          <w:color w:val="auto"/>
        </w:rPr>
        <w:t>) to assist the courts having the corresponding jurisdiction in any part of the United Kingdom</w:t>
      </w:r>
      <w:r>
        <w:rPr>
          <w:rFonts w:ascii="Arial" w:cs="Arial" w:eastAsia="Arial" w:hAnsi="Arial"/>
          <w:sz w:val="18"/>
          <w:szCs w:val="18"/>
          <w:i w:val="1"/>
          <w:iCs w:val="1"/>
          <w:color w:val="auto"/>
        </w:rPr>
        <w:t xml:space="preserve"> </w:t>
      </w:r>
      <w:r>
        <w:rPr>
          <w:rFonts w:ascii="Arial" w:cs="Arial" w:eastAsia="Arial" w:hAnsi="Arial"/>
          <w:sz w:val="18"/>
          <w:szCs w:val="18"/>
          <w:color w:val="auto"/>
        </w:rPr>
        <w:t>or any relevant country or territory;</w:t>
      </w:r>
    </w:p>
    <w:p>
      <w:pPr>
        <w:spacing w:after="0" w:line="183" w:lineRule="exact"/>
        <w:rPr>
          <w:rFonts w:ascii="Arial" w:cs="Arial" w:eastAsia="Arial" w:hAnsi="Arial"/>
          <w:sz w:val="18"/>
          <w:szCs w:val="18"/>
          <w:color w:val="auto"/>
        </w:rPr>
      </w:pPr>
    </w:p>
    <w:p>
      <w:pPr>
        <w:ind w:left="1280" w:hanging="638"/>
        <w:spacing w:after="0"/>
        <w:tabs>
          <w:tab w:leader="none" w:pos="12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we express no opinion as to matters of fact;</w:t>
      </w:r>
    </w:p>
    <w:p>
      <w:pPr>
        <w:spacing w:after="0" w:line="225" w:lineRule="exact"/>
        <w:rPr>
          <w:rFonts w:ascii="Arial" w:cs="Arial" w:eastAsia="Arial" w:hAnsi="Arial"/>
          <w:sz w:val="18"/>
          <w:szCs w:val="18"/>
          <w:color w:val="auto"/>
        </w:rPr>
      </w:pPr>
    </w:p>
    <w:p>
      <w:pPr>
        <w:jc w:val="both"/>
        <w:ind w:left="1280" w:hanging="638"/>
        <w:spacing w:after="0" w:line="263" w:lineRule="auto"/>
        <w:tabs>
          <w:tab w:leader="none" w:pos="12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it should be understood that we have not been responsible for investigating or verifying the accuracy of the facts, including statements of foreign law, or the reasonableness of any statements of opinion, contained in the Registration Statement, or that no material facts have been omitted from it;</w:t>
      </w:r>
    </w:p>
    <w:p>
      <w:pPr>
        <w:spacing w:after="0" w:line="183" w:lineRule="exact"/>
        <w:rPr>
          <w:rFonts w:ascii="Arial" w:cs="Arial" w:eastAsia="Arial" w:hAnsi="Arial"/>
          <w:sz w:val="18"/>
          <w:szCs w:val="18"/>
          <w:color w:val="auto"/>
        </w:rPr>
      </w:pPr>
    </w:p>
    <w:p>
      <w:pPr>
        <w:jc w:val="both"/>
        <w:ind w:left="1280" w:hanging="638"/>
        <w:spacing w:after="0" w:line="254" w:lineRule="auto"/>
        <w:tabs>
          <w:tab w:leader="none" w:pos="12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United Kingdom exited the European Union on 31 January 2020. By virtue of sections 1A and 1B of the European Union (Withdrawal) Act 2018 (as amended by the European Union (Withdrawal Agreement) Act 2020) (the “EUWA”), European Union law continued to be applicable to the United Kingdom for the duration of the implementation period set out in section 1A(6) of the EUWA. After the implementation period, pursuant to and in accordance with sections 2 to 4 of the EUWA, EU legislation, so far as operative immediately before the end of the implementation period, forms part of domestic law on and after the day on which the implementation period ends. However, European Union law otherwise ceased to be applicable in the United Kingdom (and thus does not form part of English law) on and after 1 January 2021. We therefore express no opinion in this letter on the effect of European Union law in the United Kingdom or on European Union law itself.</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1" w:name="page182"/>
    <w:bookmarkEnd w:id="181"/>
    <w:p>
      <w:pPr>
        <w:ind w:left="10260"/>
        <w:spacing w:after="0"/>
        <w:rPr>
          <w:sz w:val="20"/>
          <w:szCs w:val="20"/>
          <w:color w:val="auto"/>
        </w:rPr>
      </w:pPr>
      <w:r>
        <w:rPr>
          <w:rFonts w:ascii="Arial" w:cs="Arial" w:eastAsia="Arial" w:hAnsi="Arial"/>
          <w:sz w:val="17"/>
          <w:szCs w:val="17"/>
          <w:b w:val="1"/>
          <w:bCs w:val="1"/>
          <w:color w:val="auto"/>
        </w:rPr>
        <w:t>Exhibit 23.3</w:t>
      </w: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hereby consent to the incorporation by reference in this Registration Statement on Form S-3 of Verona Pharma plc of our report dated February 25, 2021 relating to the financial statements, which appears in Verona Pharma plc's Annual Report on Form 10-K for the year ended December 31, 2020. We also consent to the reference to us under the heading “Experts” in such Registration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Reading, United Kingdom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March 19,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BD3EE7B"/>
    <w:multiLevelType w:val="hybridMultilevel"/>
    <w:lvl w:ilvl="0">
      <w:lvlJc w:val="left"/>
      <w:lvlText w:val="(%1)"/>
      <w:numFmt w:val="decimal"/>
      <w:start w:val="1"/>
    </w:lvl>
  </w:abstractNum>
  <w:abstractNum w:abstractNumId="1">
    <w:nsid w:val="51D9C564"/>
    <w:multiLevelType w:val="hybridMultilevel"/>
    <w:lvl w:ilvl="0">
      <w:lvlJc w:val="left"/>
      <w:lvlText w:val="•"/>
      <w:numFmt w:val="bullet"/>
      <w:start w:val="1"/>
    </w:lvl>
  </w:abstractNum>
  <w:abstractNum w:abstractNumId="2">
    <w:nsid w:val="613EFDC5"/>
    <w:multiLevelType w:val="hybridMultilevel"/>
    <w:lvl w:ilvl="0">
      <w:lvlJc w:val="left"/>
      <w:lvlText w:val="•"/>
      <w:numFmt w:val="bullet"/>
      <w:start w:val="1"/>
    </w:lvl>
  </w:abstractNum>
  <w:abstractNum w:abstractNumId="3">
    <w:nsid w:val="BF72B14"/>
    <w:multiLevelType w:val="hybridMultilevel"/>
    <w:lvl w:ilvl="0">
      <w:lvlJc w:val="left"/>
      <w:lvlText w:val="•"/>
      <w:numFmt w:val="bullet"/>
      <w:start w:val="1"/>
    </w:lvl>
  </w:abstractNum>
  <w:abstractNum w:abstractNumId="4">
    <w:nsid w:val="11447B73"/>
    <w:multiLevelType w:val="hybridMultilevel"/>
    <w:lvl w:ilvl="0">
      <w:lvlJc w:val="left"/>
      <w:lvlText w:val="•"/>
      <w:numFmt w:val="bullet"/>
      <w:start w:val="1"/>
    </w:lvl>
  </w:abstractNum>
  <w:abstractNum w:abstractNumId="5">
    <w:nsid w:val="42963E5A"/>
    <w:multiLevelType w:val="hybridMultilevel"/>
    <w:lvl w:ilvl="0">
      <w:lvlJc w:val="left"/>
      <w:lvlText w:val="•"/>
      <w:numFmt w:val="bullet"/>
      <w:start w:val="1"/>
    </w:lvl>
  </w:abstractNum>
  <w:abstractNum w:abstractNumId="6">
    <w:nsid w:val="A0382C5"/>
    <w:multiLevelType w:val="hybridMultilevel"/>
    <w:lvl w:ilvl="0">
      <w:lvlJc w:val="left"/>
      <w:lvlText w:val="•"/>
      <w:numFmt w:val="bullet"/>
      <w:start w:val="1"/>
    </w:lvl>
  </w:abstractNum>
  <w:abstractNum w:abstractNumId="7">
    <w:nsid w:val="8F2B15E"/>
    <w:multiLevelType w:val="hybridMultilevel"/>
    <w:lvl w:ilvl="0">
      <w:lvlJc w:val="left"/>
      <w:lvlText w:val="•"/>
      <w:numFmt w:val="bullet"/>
      <w:start w:val="1"/>
    </w:lvl>
  </w:abstractNum>
  <w:abstractNum w:abstractNumId="8">
    <w:nsid w:val="1A32234B"/>
    <w:multiLevelType w:val="hybridMultilevel"/>
    <w:lvl w:ilvl="0">
      <w:lvlJc w:val="left"/>
      <w:lvlText w:val="•"/>
      <w:numFmt w:val="bullet"/>
      <w:start w:val="1"/>
    </w:lvl>
  </w:abstractNum>
  <w:abstractNum w:abstractNumId="9">
    <w:nsid w:val="3B0FD379"/>
    <w:multiLevelType w:val="hybridMultilevel"/>
    <w:lvl w:ilvl="0">
      <w:lvlJc w:val="left"/>
      <w:lvlText w:val="•"/>
      <w:numFmt w:val="bullet"/>
      <w:start w:val="1"/>
    </w:lvl>
  </w:abstractNum>
  <w:abstractNum w:abstractNumId="10">
    <w:nsid w:val="68EB2F63"/>
    <w:multiLevelType w:val="hybridMultilevel"/>
    <w:lvl w:ilvl="0">
      <w:lvlJc w:val="left"/>
      <w:lvlText w:val="•"/>
      <w:numFmt w:val="bullet"/>
      <w:start w:val="1"/>
    </w:lvl>
  </w:abstractNum>
  <w:abstractNum w:abstractNumId="11">
    <w:nsid w:val="4962813B"/>
    <w:multiLevelType w:val="hybridMultilevel"/>
    <w:lvl w:ilvl="0">
      <w:lvlJc w:val="left"/>
      <w:lvlText w:val="•"/>
      <w:numFmt w:val="bullet"/>
      <w:start w:val="1"/>
    </w:lvl>
  </w:abstractNum>
  <w:abstractNum w:abstractNumId="12">
    <w:nsid w:val="60B6DF70"/>
    <w:multiLevelType w:val="hybridMultilevel"/>
    <w:lvl w:ilvl="0">
      <w:lvlJc w:val="left"/>
      <w:lvlText w:val="§"/>
      <w:numFmt w:val="bullet"/>
      <w:start w:val="1"/>
    </w:lvl>
  </w:abstractNum>
  <w:abstractNum w:abstractNumId="13">
    <w:nsid w:val="6A5EE64"/>
    <w:multiLevelType w:val="hybridMultilevel"/>
    <w:lvl w:ilvl="0">
      <w:lvlJc w:val="left"/>
      <w:lvlText w:val="(%1)"/>
      <w:numFmt w:val="lowerLetter"/>
      <w:start w:val="2"/>
    </w:lvl>
  </w:abstractNum>
  <w:abstractNum w:abstractNumId="14">
    <w:nsid w:val="14330624"/>
    <w:multiLevelType w:val="hybridMultilevel"/>
    <w:lvl w:ilvl="0">
      <w:lvlJc w:val="left"/>
      <w:lvlText w:val="§"/>
      <w:numFmt w:val="bullet"/>
      <w:start w:val="1"/>
    </w:lvl>
  </w:abstractNum>
  <w:abstractNum w:abstractNumId="15">
    <w:nsid w:val="7FFFCA11"/>
    <w:multiLevelType w:val="hybridMultilevel"/>
    <w:lvl w:ilvl="0">
      <w:lvlJc w:val="left"/>
      <w:lvlText w:val="•"/>
      <w:numFmt w:val="bullet"/>
      <w:start w:val="1"/>
    </w:lvl>
  </w:abstractNum>
  <w:abstractNum w:abstractNumId="16">
    <w:nsid w:val="1A27709E"/>
    <w:multiLevelType w:val="hybridMultilevel"/>
    <w:lvl w:ilvl="0">
      <w:lvlJc w:val="left"/>
      <w:lvlText w:val="•"/>
      <w:numFmt w:val="bullet"/>
      <w:start w:val="1"/>
    </w:lvl>
  </w:abstractNum>
  <w:abstractNum w:abstractNumId="17">
    <w:nsid w:val="71EA1109"/>
    <w:multiLevelType w:val="hybridMultilevel"/>
    <w:lvl w:ilvl="0">
      <w:lvlJc w:val="left"/>
      <w:lvlText w:val="(%1)"/>
      <w:numFmt w:val="lowerRoman"/>
      <w:start w:val="2"/>
    </w:lvl>
  </w:abstractNum>
  <w:abstractNum w:abstractNumId="18">
    <w:nsid w:val="100F59DC"/>
    <w:multiLevelType w:val="hybridMultilevel"/>
    <w:lvl w:ilvl="0">
      <w:lvlJc w:val="left"/>
      <w:lvlText w:val="•"/>
      <w:numFmt w:val="bullet"/>
      <w:start w:val="1"/>
    </w:lvl>
  </w:abstractNum>
  <w:abstractNum w:abstractNumId="19">
    <w:nsid w:val="7FB7E0AA"/>
    <w:multiLevelType w:val="hybridMultilevel"/>
    <w:lvl w:ilvl="0">
      <w:lvlJc w:val="left"/>
      <w:lvlText w:val="•"/>
      <w:numFmt w:val="bullet"/>
      <w:start w:val="1"/>
    </w:lvl>
  </w:abstractNum>
  <w:abstractNum w:abstractNumId="20">
    <w:nsid w:val="6EB5BD4"/>
    <w:multiLevelType w:val="hybridMultilevel"/>
    <w:lvl w:ilvl="0">
      <w:lvlJc w:val="left"/>
      <w:lvlText w:val="•"/>
      <w:numFmt w:val="bullet"/>
      <w:start w:val="1"/>
    </w:lvl>
  </w:abstractNum>
  <w:abstractNum w:abstractNumId="21">
    <w:nsid w:val="6F6DD9AC"/>
    <w:multiLevelType w:val="hybridMultilevel"/>
    <w:lvl w:ilvl="0">
      <w:lvlJc w:val="left"/>
      <w:lvlText w:val="•"/>
      <w:numFmt w:val="bullet"/>
      <w:start w:val="1"/>
    </w:lvl>
  </w:abstractNum>
  <w:abstractNum w:abstractNumId="22">
    <w:nsid w:val="94211F2"/>
    <w:multiLevelType w:val="hybridMultilevel"/>
    <w:lvl w:ilvl="0">
      <w:lvlJc w:val="left"/>
      <w:lvlText w:val="•"/>
      <w:numFmt w:val="bullet"/>
      <w:start w:val="1"/>
    </w:lvl>
  </w:abstractNum>
  <w:abstractNum w:abstractNumId="23">
    <w:nsid w:val="885E1B"/>
    <w:multiLevelType w:val="hybridMultilevel"/>
    <w:lvl w:ilvl="0">
      <w:lvlJc w:val="left"/>
      <w:lvlText w:val="•"/>
      <w:numFmt w:val="bullet"/>
      <w:start w:val="1"/>
    </w:lvl>
  </w:abstractNum>
  <w:abstractNum w:abstractNumId="24">
    <w:nsid w:val="76272110"/>
    <w:multiLevelType w:val="hybridMultilevel"/>
    <w:lvl w:ilvl="0">
      <w:lvlJc w:val="left"/>
      <w:lvlText w:val="•"/>
      <w:numFmt w:val="bullet"/>
      <w:start w:val="1"/>
    </w:lvl>
  </w:abstractNum>
  <w:abstractNum w:abstractNumId="25">
    <w:nsid w:val="4C04A8AF"/>
    <w:multiLevelType w:val="hybridMultilevel"/>
    <w:lvl w:ilvl="0">
      <w:lvlJc w:val="left"/>
      <w:lvlText w:val="•"/>
      <w:numFmt w:val="bullet"/>
      <w:start w:val="1"/>
    </w:lvl>
  </w:abstractNum>
  <w:abstractNum w:abstractNumId="26">
    <w:nsid w:val="1716703B"/>
    <w:multiLevelType w:val="hybridMultilevel"/>
    <w:lvl w:ilvl="0">
      <w:lvlJc w:val="left"/>
      <w:lvlText w:val="•"/>
      <w:numFmt w:val="bullet"/>
      <w:start w:val="1"/>
    </w:lvl>
  </w:abstractNum>
  <w:abstractNum w:abstractNumId="27">
    <w:nsid w:val="14E17E33"/>
    <w:multiLevelType w:val="hybridMultilevel"/>
    <w:lvl w:ilvl="0">
      <w:lvlJc w:val="left"/>
      <w:lvlText w:val="•"/>
      <w:numFmt w:val="bullet"/>
      <w:start w:val="1"/>
    </w:lvl>
  </w:abstractNum>
  <w:abstractNum w:abstractNumId="28">
    <w:nsid w:val="3222E7CD"/>
    <w:multiLevelType w:val="hybridMultilevel"/>
    <w:lvl w:ilvl="0">
      <w:lvlJc w:val="left"/>
      <w:lvlText w:val="•"/>
      <w:numFmt w:val="bullet"/>
      <w:start w:val="1"/>
    </w:lvl>
  </w:abstractNum>
  <w:abstractNum w:abstractNumId="29">
    <w:nsid w:val="74DE0EE3"/>
    <w:multiLevelType w:val="hybridMultilevel"/>
    <w:lvl w:ilvl="0">
      <w:lvlJc w:val="left"/>
      <w:lvlText w:val="•"/>
      <w:numFmt w:val="bullet"/>
      <w:start w:val="1"/>
    </w:lvl>
  </w:abstractNum>
  <w:abstractNum w:abstractNumId="30">
    <w:nsid w:val="68EBC550"/>
    <w:multiLevelType w:val="hybridMultilevel"/>
    <w:lvl w:ilvl="0">
      <w:lvlJc w:val="left"/>
      <w:lvlText w:val="•"/>
      <w:numFmt w:val="bullet"/>
      <w:start w:val="1"/>
    </w:lvl>
  </w:abstractNum>
  <w:abstractNum w:abstractNumId="31">
    <w:nsid w:val="2DF6D648"/>
    <w:multiLevelType w:val="hybridMultilevel"/>
    <w:lvl w:ilvl="0">
      <w:lvlJc w:val="left"/>
      <w:lvlText w:val="•"/>
      <w:numFmt w:val="bullet"/>
      <w:start w:val="1"/>
    </w:lvl>
  </w:abstractNum>
  <w:abstractNum w:abstractNumId="32">
    <w:nsid w:val="46B7D447"/>
    <w:multiLevelType w:val="hybridMultilevel"/>
    <w:lvl w:ilvl="0">
      <w:lvlJc w:val="left"/>
      <w:lvlText w:val="•"/>
      <w:numFmt w:val="bullet"/>
      <w:start w:val="1"/>
    </w:lvl>
  </w:abstractNum>
  <w:abstractNum w:abstractNumId="33">
    <w:nsid w:val="4A2AC315"/>
    <w:multiLevelType w:val="hybridMultilevel"/>
    <w:lvl w:ilvl="0">
      <w:lvlJc w:val="left"/>
      <w:lvlText w:val="•"/>
      <w:numFmt w:val="bullet"/>
      <w:start w:val="1"/>
    </w:lvl>
  </w:abstractNum>
  <w:abstractNum w:abstractNumId="34">
    <w:nsid w:val="39EE015C"/>
    <w:multiLevelType w:val="hybridMultilevel"/>
    <w:lvl w:ilvl="0">
      <w:lvlJc w:val="left"/>
      <w:lvlText w:val="•"/>
      <w:numFmt w:val="bullet"/>
      <w:start w:val="1"/>
    </w:lvl>
  </w:abstractNum>
  <w:abstractNum w:abstractNumId="35">
    <w:nsid w:val="57FC4FBB"/>
    <w:multiLevelType w:val="hybridMultilevel"/>
    <w:lvl w:ilvl="0">
      <w:lvlJc w:val="left"/>
      <w:lvlText w:val="•"/>
      <w:numFmt w:val="bullet"/>
      <w:start w:val="1"/>
    </w:lvl>
  </w:abstractNum>
  <w:abstractNum w:abstractNumId="36">
    <w:nsid w:val="CC1016F"/>
    <w:multiLevelType w:val="hybridMultilevel"/>
    <w:lvl w:ilvl="0">
      <w:lvlJc w:val="left"/>
      <w:lvlText w:val="•"/>
      <w:numFmt w:val="bullet"/>
      <w:start w:val="1"/>
    </w:lvl>
  </w:abstractNum>
  <w:abstractNum w:abstractNumId="37">
    <w:nsid w:val="43F18422"/>
    <w:multiLevelType w:val="hybridMultilevel"/>
    <w:lvl w:ilvl="0">
      <w:lvlJc w:val="left"/>
      <w:lvlText w:val="•"/>
      <w:numFmt w:val="bullet"/>
      <w:start w:val="1"/>
    </w:lvl>
  </w:abstractNum>
  <w:abstractNum w:abstractNumId="38">
    <w:nsid w:val="60EF0119"/>
    <w:multiLevelType w:val="hybridMultilevel"/>
    <w:lvl w:ilvl="0">
      <w:lvlJc w:val="left"/>
      <w:lvlText w:val="•"/>
      <w:numFmt w:val="bullet"/>
      <w:start w:val="1"/>
    </w:lvl>
  </w:abstractNum>
  <w:abstractNum w:abstractNumId="39">
    <w:nsid w:val="26F324BA"/>
    <w:multiLevelType w:val="hybridMultilevel"/>
    <w:lvl w:ilvl="0">
      <w:lvlJc w:val="left"/>
      <w:lvlText w:val="•"/>
      <w:numFmt w:val="bullet"/>
      <w:start w:val="1"/>
    </w:lvl>
  </w:abstractNum>
  <w:abstractNum w:abstractNumId="40">
    <w:nsid w:val="7F01579B"/>
    <w:multiLevelType w:val="hybridMultilevel"/>
    <w:lvl w:ilvl="0">
      <w:lvlJc w:val="left"/>
      <w:lvlText w:val="•"/>
      <w:numFmt w:val="bullet"/>
      <w:start w:val="1"/>
    </w:lvl>
  </w:abstractNum>
  <w:abstractNum w:abstractNumId="41">
    <w:nsid w:val="49DA307D"/>
    <w:multiLevelType w:val="hybridMultilevel"/>
    <w:lvl w:ilvl="0">
      <w:lvlJc w:val="left"/>
      <w:lvlText w:val="•"/>
      <w:numFmt w:val="bullet"/>
      <w:start w:val="1"/>
    </w:lvl>
  </w:abstractNum>
  <w:abstractNum w:abstractNumId="42">
    <w:nsid w:val="7055A5F5"/>
    <w:multiLevelType w:val="hybridMultilevel"/>
    <w:lvl w:ilvl="0">
      <w:lvlJc w:val="left"/>
      <w:lvlText w:val="•"/>
      <w:numFmt w:val="bullet"/>
      <w:start w:val="1"/>
    </w:lvl>
  </w:abstractNum>
  <w:abstractNum w:abstractNumId="43">
    <w:nsid w:val="5FB8370B"/>
    <w:multiLevelType w:val="hybridMultilevel"/>
    <w:lvl w:ilvl="0">
      <w:lvlJc w:val="left"/>
      <w:lvlText w:val="•"/>
      <w:numFmt w:val="bullet"/>
      <w:start w:val="1"/>
    </w:lvl>
  </w:abstractNum>
  <w:abstractNum w:abstractNumId="44">
    <w:nsid w:val="50801EE1"/>
    <w:multiLevelType w:val="hybridMultilevel"/>
    <w:lvl w:ilvl="0">
      <w:lvlJc w:val="left"/>
      <w:lvlText w:val="•"/>
      <w:numFmt w:val="bullet"/>
      <w:start w:val="1"/>
    </w:lvl>
  </w:abstractNum>
  <w:abstractNum w:abstractNumId="45">
    <w:nsid w:val="488AC1A"/>
    <w:multiLevelType w:val="hybridMultilevel"/>
    <w:lvl w:ilvl="0">
      <w:lvlJc w:val="left"/>
      <w:lvlText w:val="•"/>
      <w:numFmt w:val="bullet"/>
      <w:start w:val="1"/>
    </w:lvl>
  </w:abstractNum>
  <w:abstractNum w:abstractNumId="46">
    <w:nsid w:val="5FB8011C"/>
    <w:multiLevelType w:val="hybridMultilevel"/>
    <w:lvl w:ilvl="0">
      <w:lvlJc w:val="left"/>
      <w:lvlText w:val="(%1)"/>
      <w:numFmt w:val="decimal"/>
      <w:start w:val="1"/>
    </w:lvl>
  </w:abstractNum>
  <w:abstractNum w:abstractNumId="47">
    <w:nsid w:val="6AA78F7F"/>
    <w:multiLevelType w:val="hybridMultilevel"/>
    <w:lvl w:ilvl="0">
      <w:lvlJc w:val="left"/>
      <w:lvlText w:val="%1)"/>
      <w:numFmt w:val="lowerLetter"/>
      <w:start w:val="1"/>
    </w:lvl>
  </w:abstractNum>
  <w:abstractNum w:abstractNumId="48">
    <w:nsid w:val="7672BD23"/>
    <w:multiLevelType w:val="hybridMultilevel"/>
    <w:lvl w:ilvl="0">
      <w:lvlJc w:val="left"/>
      <w:lvlText w:val="*"/>
      <w:numFmt w:val="bullet"/>
      <w:start w:val="1"/>
    </w:lvl>
  </w:abstractNum>
  <w:abstractNum w:abstractNumId="49">
    <w:nsid w:val="6FC75AF8"/>
    <w:multiLevelType w:val="hybridMultilevel"/>
    <w:lvl w:ilvl="0">
      <w:lvlJc w:val="left"/>
      <w:lvlText w:val="**"/>
      <w:numFmt w:val="bullet"/>
      <w:start w:val="1"/>
    </w:lvl>
  </w:abstractNum>
  <w:abstractNum w:abstractNumId="50">
    <w:nsid w:val="6A5F702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1">
    <w:nsid w:val="7D5E18F8"/>
    <w:multiLevelType w:val="hybridMultilevel"/>
    <w:lvl w:ilvl="0">
      <w:lvlJc w:val="left"/>
      <w:lvlText w:val="(%1)"/>
      <w:numFmt w:val="decimal"/>
      <w:start w:val="2"/>
    </w:lvl>
    <w:lvl w:ilvl="1">
      <w:lvlJc w:val="left"/>
      <w:lvlText w:val="%2"/>
      <w:numFmt w:val="decimal"/>
      <w:start w:val="1"/>
    </w:lvl>
    <w:lvl w:ilvl="2">
      <w:lvlJc w:val="left"/>
      <w:lvlText w:val="%3"/>
      <w:numFmt w:val="upperLetter"/>
      <w:start w:val="1"/>
    </w:lvl>
  </w:abstractNum>
  <w:abstractNum w:abstractNumId="52">
    <w:nsid w:val="5F3534A4"/>
    <w:multiLevelType w:val="hybridMultilevel"/>
    <w:lvl w:ilvl="0">
      <w:lvlJc w:val="left"/>
      <w:lvlText w:val="(%1)"/>
      <w:numFmt w:val="decimal"/>
      <w:start w:val="5"/>
    </w:lvl>
    <w:lvl w:ilvl="1">
      <w:lvlJc w:val="left"/>
      <w:lvlText w:val="%2"/>
      <w:numFmt w:val="decimal"/>
      <w:start w:val="1"/>
    </w:lvl>
    <w:lvl w:ilvl="2">
      <w:lvlJc w:val="left"/>
      <w:lvlText w:val="(%3)"/>
      <w:numFmt w:val="upperLetter"/>
      <w:start w:val="1"/>
    </w:lvl>
  </w:abstractNum>
  <w:abstractNum w:abstractNumId="53">
    <w:nsid w:val="73A1821B"/>
    <w:multiLevelType w:val="hybridMultilevel"/>
    <w:lvl w:ilvl="0">
      <w:lvlJc w:val="left"/>
      <w:lvlText w:val="(%1)"/>
      <w:numFmt w:val="decimal"/>
      <w:start w:val="6"/>
    </w:lvl>
  </w:abstractNum>
  <w:abstractNum w:abstractNumId="54">
    <w:nsid w:val="7DE67713"/>
    <w:multiLevelType w:val="hybridMultilevel"/>
    <w:lvl w:ilvl="0">
      <w:lvlJc w:val="left"/>
      <w:lvlText w:val="%1"/>
      <w:numFmt w:val="lowerLetter"/>
      <w:start w:val="1"/>
    </w:lvl>
    <w:lvl w:ilvl="1">
      <w:lvlJc w:val="left"/>
      <w:lvlText w:val="(%2)"/>
      <w:numFmt w:val="lowerRoman"/>
      <w:start w:val="1"/>
    </w:lvl>
  </w:abstractNum>
  <w:abstractNum w:abstractNumId="55">
    <w:nsid w:val="555C55B5"/>
    <w:multiLevelType w:val="hybridMultilevel"/>
    <w:lvl w:ilvl="0">
      <w:lvlJc w:val="left"/>
      <w:lvlText w:val="(%1)"/>
      <w:numFmt w:val="lowerLetter"/>
      <w:start w:val="2"/>
    </w:lvl>
    <w:lvl w:ilvl="1">
      <w:lvlJc w:val="left"/>
      <w:lvlText w:val="%2"/>
      <w:numFmt w:val="lowerRoman"/>
      <w:start w:val="1"/>
    </w:lvl>
  </w:abstractNum>
  <w:abstractNum w:abstractNumId="56">
    <w:nsid w:val="3FA62ACA"/>
    <w:multiLevelType w:val="hybridMultilevel"/>
    <w:lvl w:ilvl="0">
      <w:lvlJc w:val="left"/>
      <w:lvlText w:val="(%1)"/>
      <w:numFmt w:val="lowerLetter"/>
      <w:start w:val="1"/>
    </w:lvl>
  </w:abstractNum>
  <w:abstractNum w:abstractNumId="57">
    <w:nsid w:val="14FCE74E"/>
    <w:multiLevelType w:val="hybridMultilevel"/>
    <w:lvl w:ilvl="0">
      <w:lvlJc w:val="left"/>
      <w:lvlText w:val="(%1)"/>
      <w:numFmt w:val="decimal"/>
      <w:start w:val="5"/>
    </w:lvl>
    <w:lvl w:ilvl="1">
      <w:lvlJc w:val="left"/>
      <w:lvlText w:val="(%2)"/>
      <w:numFmt w:val="lowerLetter"/>
      <w:start w:val="1"/>
    </w:lvl>
  </w:abstractNum>
  <w:abstractNum w:abstractNumId="58">
    <w:nsid w:val="6A3DD3E8"/>
    <w:multiLevelType w:val="hybridMultilevel"/>
    <w:lvl w:ilvl="0">
      <w:lvlJc w:val="left"/>
      <w:lvlText w:val="(%1)"/>
      <w:numFmt w:val="lowerLetter"/>
      <w:start w:val="2"/>
    </w:lvl>
  </w:abstractNum>
  <w:abstractNum w:abstractNumId="59">
    <w:nsid w:val="71C91298"/>
    <w:multiLevelType w:val="hybridMultilevel"/>
    <w:lvl w:ilvl="0">
      <w:lvlJc w:val="left"/>
      <w:lvlText w:val="(%1)"/>
      <w:numFmt w:val="lowerLetter"/>
      <w:start w:val="3"/>
    </w:lvl>
  </w:abstractNum>
  <w:abstractNum w:abstractNumId="60">
    <w:nsid w:val="9DAF632"/>
    <w:multiLevelType w:val="hybridMultilevel"/>
    <w:lvl w:ilvl="0">
      <w:lvlJc w:val="left"/>
      <w:lvlText w:val="(%1)"/>
      <w:numFmt w:val="lowerLetter"/>
      <w:start w:val="7"/>
    </w:lvl>
  </w:abstractNum>
  <w:abstractNum w:abstractNumId="61">
    <w:nsid w:val="53299938"/>
    <w:multiLevelType w:val="hybridMultilevel"/>
    <w:lvl w:ilvl="0">
      <w:lvlJc w:val="left"/>
      <w:lvlText w:val="(%1)"/>
      <w:numFmt w:val="lowerLetter"/>
      <w:start w:val="10"/>
    </w:lvl>
  </w:abstractNum>
  <w:abstractNum w:abstractNumId="62">
    <w:nsid w:val="1FBFE8E0"/>
    <w:multiLevelType w:val="hybridMultilevel"/>
    <w:lvl w:ilvl="0">
      <w:lvlJc w:val="left"/>
      <w:lvlText w:val="(%1)"/>
      <w:numFmt w:val="lowerLetter"/>
      <w:start w:val="13"/>
    </w:lvl>
  </w:abstractNum>
  <w:abstractNum w:abstractNumId="63">
    <w:nsid w:val="5092CA79"/>
    <w:multiLevelType w:val="hybridMultilevel"/>
    <w:lvl w:ilvl="0">
      <w:lvlJc w:val="left"/>
      <w:lvlText w:val="(%1)"/>
      <w:numFmt w:val="lowerLetter"/>
      <w:start w:val="16"/>
    </w:lvl>
  </w:abstractNum>
  <w:abstractNum w:abstractNumId="64">
    <w:nsid w:val="1D545C4D"/>
    <w:multiLevelType w:val="hybridMultilevel"/>
    <w:lvl w:ilvl="0">
      <w:lvlJc w:val="left"/>
      <w:lvlText w:val="(%1)"/>
      <w:numFmt w:val="lowerLetter"/>
      <w:start w:val="18"/>
    </w:lvl>
  </w:abstractNum>
  <w:abstractNum w:abstractNumId="65">
    <w:nsid w:val="59ADEA3D"/>
    <w:multiLevelType w:val="hybridMultilevel"/>
    <w:lvl w:ilvl="0">
      <w:lvlJc w:val="left"/>
      <w:lvlText w:val="(%1)"/>
      <w:numFmt w:val="lowerLetter"/>
      <w:start w:val="20"/>
    </w:lvl>
  </w:abstractNum>
  <w:abstractNum w:abstractNumId="66">
    <w:nsid w:val="288F1A34"/>
    <w:multiLevelType w:val="hybridMultilevel"/>
    <w:lvl w:ilvl="0">
      <w:lvlJc w:val="left"/>
      <w:lvlText w:val="(%1)"/>
      <w:numFmt w:val="lowerRoman"/>
      <w:start w:val="1"/>
    </w:lvl>
  </w:abstractNum>
  <w:abstractNum w:abstractNumId="67">
    <w:nsid w:val="2A155DBC"/>
    <w:multiLevelType w:val="hybridMultilevel"/>
    <w:lvl w:ilvl="0">
      <w:lvlJc w:val="left"/>
      <w:lvlText w:val="(%1)"/>
      <w:numFmt w:val="lowerRoman"/>
      <w:start w:val="5"/>
    </w:lvl>
  </w:abstractNum>
  <w:abstractNum w:abstractNumId="68">
    <w:nsid w:val="1D9F6E5F"/>
    <w:multiLevelType w:val="hybridMultilevel"/>
    <w:lvl w:ilvl="0">
      <w:lvlJc w:val="left"/>
      <w:lvlText w:val="(%1)"/>
      <w:numFmt w:val="lowerRoman"/>
      <w:start w:val="11"/>
    </w:lvl>
  </w:abstractNum>
  <w:abstractNum w:abstractNumId="69">
    <w:nsid w:val="97E1B4E"/>
    <w:multiLevelType w:val="hybridMultilevel"/>
    <w:lvl w:ilvl="0">
      <w:lvlJc w:val="left"/>
      <w:lvlText w:val="(%1)"/>
      <w:numFmt w:val="lowerLetter"/>
      <w:start w:val="23"/>
    </w:lvl>
  </w:abstractNum>
  <w:abstractNum w:abstractNumId="70">
    <w:nsid w:val="51088277"/>
    <w:multiLevelType w:val="hybridMultilevel"/>
    <w:lvl w:ilvl="0">
      <w:lvlJc w:val="left"/>
      <w:lvlText w:val="(%1)"/>
      <w:numFmt w:val="lowerLetter"/>
      <w:start w:val="26"/>
    </w:lvl>
  </w:abstractNum>
  <w:abstractNum w:abstractNumId="71">
    <w:nsid w:val="1CA0C5FA"/>
    <w:multiLevelType w:val="hybridMultilevel"/>
    <w:lvl w:ilvl="0">
      <w:lvlJc w:val="left"/>
      <w:lvlText w:val="(%1)"/>
      <w:numFmt w:val="lowerLetter"/>
      <w:start w:val="27"/>
    </w:lvl>
  </w:abstractNum>
  <w:abstractNum w:abstractNumId="72">
    <w:nsid w:val="53584BCB"/>
    <w:multiLevelType w:val="hybridMultilevel"/>
    <w:lvl w:ilvl="0">
      <w:lvlJc w:val="left"/>
      <w:lvlText w:val="(%1)"/>
      <w:numFmt w:val="lowerLetter"/>
      <w:start w:val="29"/>
    </w:lvl>
  </w:abstractNum>
  <w:abstractNum w:abstractNumId="73">
    <w:nsid w:val="415E286C"/>
    <w:multiLevelType w:val="hybridMultilevel"/>
    <w:lvl w:ilvl="0">
      <w:lvlJc w:val="left"/>
      <w:lvlText w:val="(%1)"/>
      <w:numFmt w:val="lowerLetter"/>
      <w:start w:val="33"/>
    </w:lvl>
  </w:abstractNum>
  <w:abstractNum w:abstractNumId="74">
    <w:nsid w:val="7C58FD05"/>
    <w:multiLevelType w:val="hybridMultilevel"/>
    <w:lvl w:ilvl="0">
      <w:lvlJc w:val="left"/>
      <w:lvlText w:val="(%1)"/>
      <w:numFmt w:val="lowerLetter"/>
      <w:start w:val="37"/>
    </w:lvl>
  </w:abstractNum>
  <w:abstractNum w:abstractNumId="75">
    <w:nsid w:val="23D86AAC"/>
    <w:multiLevelType w:val="hybridMultilevel"/>
    <w:lvl w:ilvl="0">
      <w:lvlJc w:val="left"/>
      <w:lvlText w:val="(%1)"/>
      <w:numFmt w:val="lowerLetter"/>
      <w:start w:val="41"/>
    </w:lvl>
  </w:abstractNum>
  <w:abstractNum w:abstractNumId="76">
    <w:nsid w:val="45E6D486"/>
    <w:multiLevelType w:val="hybridMultilevel"/>
    <w:lvl w:ilvl="0">
      <w:lvlJc w:val="left"/>
      <w:lvlText w:val="(%1)"/>
      <w:numFmt w:val="lowerLetter"/>
      <w:start w:val="43"/>
    </w:lvl>
  </w:abstractNum>
  <w:abstractNum w:abstractNumId="77">
    <w:nsid w:val="5C10FE21"/>
    <w:multiLevelType w:val="hybridMultilevel"/>
    <w:lvl w:ilvl="0">
      <w:lvlJc w:val="left"/>
      <w:lvlText w:val="(%1)"/>
      <w:numFmt w:val="lowerLetter"/>
      <w:start w:val="48"/>
    </w:lvl>
  </w:abstractNum>
  <w:abstractNum w:abstractNumId="78">
    <w:nsid w:val="E7FFA2B"/>
    <w:multiLevelType w:val="hybridMultilevel"/>
    <w:lvl w:ilvl="0">
      <w:lvlJc w:val="left"/>
      <w:lvlText w:val="(%1)"/>
      <w:numFmt w:val="lowerLetter"/>
      <w:start w:val="51"/>
    </w:lvl>
  </w:abstractNum>
  <w:abstractNum w:abstractNumId="79">
    <w:nsid w:val="3C5991AA"/>
    <w:multiLevelType w:val="hybridMultilevel"/>
    <w:lvl w:ilvl="0">
      <w:lvlJc w:val="left"/>
      <w:lvlText w:val="(%1)"/>
      <w:numFmt w:val="lowerLetter"/>
      <w:start w:val="53"/>
    </w:lvl>
  </w:abstractNum>
  <w:abstractNum w:abstractNumId="80">
    <w:nsid w:val="4BD8591A"/>
    <w:multiLevelType w:val="hybridMultilevel"/>
    <w:lvl w:ilvl="0">
      <w:lvlJc w:val="left"/>
      <w:lvlText w:val="(%1)"/>
      <w:numFmt w:val="lowerLetter"/>
      <w:start w:val="56"/>
    </w:lvl>
  </w:abstractNum>
  <w:abstractNum w:abstractNumId="81">
    <w:nsid w:val="78DF6A55"/>
    <w:multiLevelType w:val="hybridMultilevel"/>
    <w:lvl w:ilvl="0">
      <w:lvlJc w:val="left"/>
      <w:lvlText w:val="(%1)"/>
      <w:numFmt w:val="lowerLetter"/>
      <w:start w:val="1"/>
    </w:lvl>
  </w:abstractNum>
  <w:abstractNum w:abstractNumId="82">
    <w:nsid w:val="39B7AAA2"/>
    <w:multiLevelType w:val="hybridMultilevel"/>
    <w:lvl w:ilvl="0">
      <w:lvlJc w:val="left"/>
      <w:lvlText w:val="(%1)"/>
      <w:numFmt w:val="lowerLetter"/>
      <w:start w:val="3"/>
    </w:lvl>
  </w:abstractNum>
  <w:abstractNum w:abstractNumId="83">
    <w:nsid w:val="2B0D8DBE"/>
    <w:multiLevelType w:val="hybridMultilevel"/>
    <w:lvl w:ilvl="0">
      <w:lvlJc w:val="left"/>
      <w:lvlText w:val="%1"/>
      <w:numFmt w:val="decimal"/>
      <w:start w:val="1"/>
    </w:lvl>
    <w:lvl w:ilvl="1">
      <w:lvlJc w:val="left"/>
      <w:lvlText w:val="(%2)"/>
      <w:numFmt w:val="lowerLetter"/>
      <w:start w:val="1"/>
    </w:lvl>
  </w:abstractNum>
  <w:abstractNum w:abstractNumId="84">
    <w:nsid w:val="6C80EC70"/>
    <w:multiLevelType w:val="hybridMultilevel"/>
    <w:lvl w:ilvl="0">
      <w:lvlJc w:val="left"/>
      <w:lvlText w:val="(%1)"/>
      <w:numFmt w:val="decimal"/>
      <w:start w:val="1"/>
    </w:lvl>
    <w:lvl w:ilvl="1">
      <w:lvlJc w:val="left"/>
      <w:lvlText w:val="(%2)"/>
      <w:numFmt w:val="lowerLetter"/>
      <w:start w:val="2"/>
    </w:lvl>
  </w:abstractNum>
  <w:abstractNum w:abstractNumId="85">
    <w:nsid w:val="379E21B5"/>
    <w:multiLevelType w:val="hybridMultilevel"/>
    <w:lvl w:ilvl="0">
      <w:lvlJc w:val="left"/>
      <w:lvlText w:val="(%1)"/>
      <w:numFmt w:val="lowerLetter"/>
      <w:start w:val="4"/>
    </w:lvl>
  </w:abstractNum>
  <w:abstractNum w:abstractNumId="86">
    <w:nsid w:val="69E373"/>
    <w:multiLevelType w:val="hybridMultilevel"/>
    <w:lvl w:ilvl="0">
      <w:lvlJc w:val="left"/>
      <w:lvlText w:val="(%1)"/>
      <w:numFmt w:val="lowerLetter"/>
      <w:start w:val="7"/>
    </w:lvl>
  </w:abstractNum>
  <w:abstractNum w:abstractNumId="87">
    <w:nsid w:val="2C27173B"/>
    <w:multiLevelType w:val="hybridMultilevel"/>
    <w:lvl w:ilvl="0">
      <w:lvlJc w:val="left"/>
      <w:lvlText w:val="%1"/>
      <w:numFmt w:val="lowerLetter"/>
      <w:start w:val="1"/>
    </w:lvl>
    <w:lvl w:ilvl="1">
      <w:lvlJc w:val="left"/>
      <w:lvlText w:val="(%2)"/>
      <w:numFmt w:val="lowerLetter"/>
      <w:start w:val="10"/>
    </w:lvl>
  </w:abstractNum>
  <w:abstractNum w:abstractNumId="88">
    <w:nsid w:val="4C9B0904"/>
    <w:multiLevelType w:val="hybridMultilevel"/>
    <w:lvl w:ilvl="0">
      <w:lvlJc w:val="left"/>
      <w:lvlText w:val="(%1)"/>
      <w:numFmt w:val="lowerLetter"/>
      <w:start w:val="35"/>
    </w:lvl>
    <w:lvl w:ilvl="1">
      <w:lvlJc w:val="left"/>
      <w:lvlText w:val="(%2)"/>
      <w:numFmt w:val="lowerLetter"/>
      <w:start w:val="15"/>
    </w:lvl>
  </w:abstractNum>
  <w:abstractNum w:abstractNumId="89">
    <w:nsid w:val="6AA7B75C"/>
    <w:multiLevelType w:val="hybridMultilevel"/>
    <w:lvl w:ilvl="0">
      <w:lvlJc w:val="left"/>
      <w:lvlText w:val="(%1)"/>
      <w:numFmt w:val="lowerLetter"/>
      <w:start w:val="16"/>
    </w:lvl>
  </w:abstractNum>
  <w:abstractNum w:abstractNumId="90">
    <w:nsid w:val="1DF029D3"/>
    <w:multiLevelType w:val="hybridMultilevel"/>
    <w:lvl w:ilvl="0">
      <w:lvlJc w:val="left"/>
      <w:lvlText w:val="(%1)"/>
      <w:numFmt w:val="lowerLetter"/>
      <w:start w:val="18"/>
    </w:lvl>
  </w:abstractNum>
  <w:abstractNum w:abstractNumId="91">
    <w:nsid w:val="5675FF36"/>
    <w:multiLevelType w:val="hybridMultilevel"/>
    <w:lvl w:ilvl="0">
      <w:lvlJc w:val="left"/>
      <w:lvlText w:val="%1"/>
      <w:numFmt w:val="lowerRoman"/>
      <w:start w:val="1"/>
    </w:lvl>
    <w:lvl w:ilvl="1">
      <w:lvlJc w:val="left"/>
      <w:lvlText w:val="(%2)"/>
      <w:numFmt w:val="lowerLetter"/>
      <w:start w:val="1"/>
    </w:lvl>
  </w:abstractNum>
  <w:abstractNum w:abstractNumId="92">
    <w:nsid w:val="3DD15094"/>
    <w:multiLevelType w:val="hybridMultilevel"/>
    <w:lvl w:ilvl="0">
      <w:lvlJc w:val="left"/>
      <w:lvlText w:val="(%1)"/>
      <w:numFmt w:val="lowerRoman"/>
      <w:start w:val="4"/>
    </w:lvl>
    <w:lvl w:ilvl="1">
      <w:lvlJc w:val="left"/>
      <w:lvlText w:val="%2"/>
      <w:numFmt w:val="lowerLetter"/>
      <w:start w:val="1"/>
    </w:lvl>
  </w:abstractNum>
  <w:abstractNum w:abstractNumId="93">
    <w:nsid w:val="3DB012B3"/>
    <w:multiLevelType w:val="hybridMultilevel"/>
    <w:lvl w:ilvl="0">
      <w:lvlJc w:val="left"/>
      <w:lvlText w:val="(%1)"/>
      <w:numFmt w:val="lowerLetter"/>
      <w:start w:val="1"/>
    </w:lvl>
  </w:abstractNum>
  <w:abstractNum w:abstractNumId="94">
    <w:nsid w:val="2708C9AF"/>
    <w:multiLevelType w:val="hybridMultilevel"/>
    <w:lvl w:ilvl="0">
      <w:lvlJc w:val="left"/>
      <w:lvlText w:val="(%1)"/>
      <w:numFmt w:val="lowerLetter"/>
      <w:start w:val="2"/>
    </w:lvl>
  </w:abstractNum>
  <w:abstractNum w:abstractNumId="95">
    <w:nsid w:val="5B25ACE2"/>
    <w:multiLevelType w:val="hybridMultilevel"/>
    <w:lvl w:ilvl="0">
      <w:lvlJc w:val="left"/>
      <w:lvlText w:val="(%1)"/>
      <w:numFmt w:val="lowerLetter"/>
      <w:start w:val="4"/>
    </w:lvl>
  </w:abstractNum>
  <w:abstractNum w:abstractNumId="96">
    <w:nsid w:val="175DFCF0"/>
    <w:multiLevelType w:val="hybridMultilevel"/>
    <w:lvl w:ilvl="0">
      <w:lvlJc w:val="left"/>
      <w:lvlText w:val="(%1)"/>
      <w:numFmt w:val="lowerLetter"/>
      <w:start w:val="1"/>
    </w:lvl>
  </w:abstractNum>
  <w:abstractNum w:abstractNumId="97">
    <w:nsid w:val="4F97E3E4"/>
    <w:multiLevelType w:val="hybridMultilevel"/>
    <w:lvl w:ilvl="0">
      <w:lvlJc w:val="left"/>
      <w:lvlText w:val="(%1)"/>
      <w:numFmt w:val="lowerLetter"/>
      <w:start w:val="2"/>
    </w:lvl>
  </w:abstractNum>
  <w:abstractNum w:abstractNumId="98">
    <w:nsid w:val="53B0A9E"/>
    <w:multiLevelType w:val="hybridMultilevel"/>
    <w:lvl w:ilvl="0">
      <w:lvlJc w:val="left"/>
      <w:lvlText w:val="(%1)"/>
      <w:numFmt w:val="lowerLetter"/>
      <w:start w:val="4"/>
    </w:lvl>
  </w:abstractNum>
  <w:abstractNum w:abstractNumId="99">
    <w:nsid w:val="34FD6B4F"/>
    <w:multiLevelType w:val="hybridMultilevel"/>
    <w:lvl w:ilvl="0">
      <w:lvlJc w:val="left"/>
      <w:lvlText w:val="(%1)"/>
      <w:numFmt w:val="lowerLetter"/>
      <w:start w:val="1"/>
    </w:lvl>
  </w:abstractNum>
  <w:abstractNum w:abstractNumId="100">
    <w:nsid w:val="5915FF32"/>
    <w:multiLevelType w:val="hybridMultilevel"/>
    <w:lvl w:ilvl="0">
      <w:lvlJc w:val="left"/>
      <w:lvlText w:val="(%1)"/>
      <w:numFmt w:val="lowerLetter"/>
      <w:start w:val="2"/>
    </w:lvl>
  </w:abstractNum>
  <w:abstractNum w:abstractNumId="101">
    <w:nsid w:val="56438D15"/>
    <w:multiLevelType w:val="hybridMultilevel"/>
    <w:lvl w:ilvl="0">
      <w:lvlJc w:val="left"/>
      <w:lvlText w:val="(%1)"/>
      <w:numFmt w:val="lowerLetter"/>
      <w:start w:val="1"/>
    </w:lvl>
  </w:abstractNum>
  <w:abstractNum w:abstractNumId="102">
    <w:nsid w:val="519E3149"/>
    <w:multiLevelType w:val="hybridMultilevel"/>
    <w:lvl w:ilvl="0">
      <w:lvlJc w:val="left"/>
      <w:lvlText w:val="(%1)"/>
      <w:numFmt w:val="lowerLetter"/>
      <w:start w:val="3"/>
    </w:lvl>
  </w:abstractNum>
  <w:abstractNum w:abstractNumId="103">
    <w:nsid w:val="2C6E4AFD"/>
    <w:multiLevelType w:val="hybridMultilevel"/>
    <w:lvl w:ilvl="0">
      <w:lvlJc w:val="left"/>
      <w:lvlText w:val="(%1)"/>
      <w:numFmt w:val="lowerLetter"/>
      <w:start w:val="5"/>
    </w:lvl>
  </w:abstractNum>
  <w:abstractNum w:abstractNumId="104">
    <w:nsid w:val="17A1B582"/>
    <w:multiLevelType w:val="hybridMultilevel"/>
    <w:lvl w:ilvl="0">
      <w:lvlJc w:val="left"/>
      <w:lvlText w:val="(%1)"/>
      <w:numFmt w:val="lowerLetter"/>
      <w:start w:val="8"/>
    </w:lvl>
  </w:abstractNum>
  <w:abstractNum w:abstractNumId="105">
    <w:nsid w:val="4DF72E4E"/>
    <w:multiLevelType w:val="hybridMultilevel"/>
    <w:lvl w:ilvl="0">
      <w:lvlJc w:val="left"/>
      <w:lvlText w:val="(%1)"/>
      <w:numFmt w:val="lowerLetter"/>
      <w:start w:val="1"/>
    </w:lvl>
  </w:abstractNum>
  <w:abstractNum w:abstractNumId="106">
    <w:nsid w:val="5046B5A9"/>
    <w:multiLevelType w:val="hybridMultilevel"/>
    <w:lvl w:ilvl="0">
      <w:lvlJc w:val="left"/>
      <w:lvlText w:val="(%1)"/>
      <w:numFmt w:val="lowerLetter"/>
      <w:start w:val="1"/>
    </w:lvl>
  </w:abstractNum>
  <w:abstractNum w:abstractNumId="107">
    <w:nsid w:val="5D888A08"/>
    <w:multiLevelType w:val="hybridMultilevel"/>
    <w:lvl w:ilvl="0">
      <w:lvlJc w:val="left"/>
      <w:lvlText w:val="(%1)"/>
      <w:numFmt w:val="lowerLetter"/>
      <w:start w:val="2"/>
    </w:lvl>
  </w:abstractNum>
  <w:abstractNum w:abstractNumId="108">
    <w:nsid w:val="2A082C70"/>
    <w:multiLevelType w:val="hybridMultilevel"/>
    <w:lvl w:ilvl="0">
      <w:lvlJc w:val="left"/>
      <w:lvlText w:val="(%1)"/>
      <w:numFmt w:val="lowerLetter"/>
      <w:start w:val="1"/>
    </w:lvl>
  </w:abstractNum>
  <w:abstractNum w:abstractNumId="109">
    <w:nsid w:val="5EC6AFD4"/>
    <w:multiLevelType w:val="hybridMultilevel"/>
    <w:lvl w:ilvl="0">
      <w:lvlJc w:val="left"/>
      <w:lvlText w:val="(%1)"/>
      <w:numFmt w:val="lowerLetter"/>
      <w:start w:val="1"/>
    </w:lvl>
    <w:lvl w:ilvl="1">
      <w:lvlJc w:val="left"/>
      <w:lvlText w:val="(%2)"/>
      <w:numFmt w:val="lowerRoman"/>
      <w:start w:val="1"/>
    </w:lvl>
  </w:abstractNum>
  <w:abstractNum w:abstractNumId="110">
    <w:nsid w:val="19E21BB2"/>
    <w:multiLevelType w:val="hybridMultilevel"/>
    <w:lvl w:ilvl="0">
      <w:lvlJc w:val="left"/>
      <w:lvlText w:val="(%1)"/>
      <w:numFmt w:val="lowerLetter"/>
      <w:start w:val="6"/>
    </w:lvl>
  </w:abstractNum>
  <w:abstractNum w:abstractNumId="111">
    <w:nsid w:val="75E0858A"/>
    <w:multiLevelType w:val="hybridMultilevel"/>
    <w:lvl w:ilvl="0">
      <w:lvlJc w:val="left"/>
      <w:lvlText w:val="(%1)"/>
      <w:numFmt w:val="lowerLetter"/>
      <w:start w:val="5"/>
    </w:lvl>
  </w:abstractNum>
  <w:abstractNum w:abstractNumId="112">
    <w:nsid w:val="57A61A29"/>
    <w:multiLevelType w:val="hybridMultilevel"/>
    <w:lvl w:ilvl="0">
      <w:lvlJc w:val="left"/>
      <w:lvlText w:val="(%1)"/>
      <w:numFmt w:val="lowerLetter"/>
      <w:start w:val="1"/>
    </w:lvl>
  </w:abstractNum>
  <w:abstractNum w:abstractNumId="113">
    <w:nsid w:val="5399C654"/>
    <w:multiLevelType w:val="hybridMultilevel"/>
    <w:lvl w:ilvl="0">
      <w:lvlJc w:val="left"/>
      <w:lvlText w:val="(%1)"/>
      <w:numFmt w:val="lowerLetter"/>
      <w:start w:val="1"/>
    </w:lvl>
  </w:abstractNum>
  <w:abstractNum w:abstractNumId="114">
    <w:nsid w:val="20EE1348"/>
    <w:multiLevelType w:val="hybridMultilevel"/>
    <w:lvl w:ilvl="0">
      <w:lvlJc w:val="left"/>
      <w:lvlText w:val="(%1)"/>
      <w:numFmt w:val="lowerLetter"/>
      <w:start w:val="1"/>
    </w:lvl>
  </w:abstractNum>
  <w:abstractNum w:abstractNumId="115">
    <w:nsid w:val="4427069A"/>
    <w:multiLevelType w:val="hybridMultilevel"/>
    <w:lvl w:ilvl="0">
      <w:lvlJc w:val="left"/>
      <w:lvlText w:val="(%1)"/>
      <w:numFmt w:val="lowerLetter"/>
      <w:start w:val="1"/>
    </w:lvl>
  </w:abstractNum>
  <w:abstractNum w:abstractNumId="116">
    <w:nsid w:val="B37E80A"/>
    <w:multiLevelType w:val="hybridMultilevel"/>
    <w:lvl w:ilvl="0">
      <w:lvlJc w:val="left"/>
      <w:lvlText w:val="(%1)"/>
      <w:numFmt w:val="lowerLetter"/>
      <w:start w:val="1"/>
    </w:lvl>
    <w:lvl w:ilvl="1">
      <w:lvlJc w:val="left"/>
      <w:lvlText w:val="(%2)"/>
      <w:numFmt w:val="lowerRoman"/>
      <w:start w:val="1"/>
    </w:lvl>
  </w:abstractNum>
  <w:abstractNum w:abstractNumId="117">
    <w:nsid w:val="2157F6BC"/>
    <w:multiLevelType w:val="hybridMultilevel"/>
    <w:lvl w:ilvl="0">
      <w:lvlJc w:val="left"/>
      <w:lvlText w:val="(%1)"/>
      <w:numFmt w:val="lowerLetter"/>
      <w:start w:val="3"/>
    </w:lvl>
    <w:lvl w:ilvl="1">
      <w:lvlJc w:val="left"/>
      <w:lvlText w:val="(%2)"/>
      <w:numFmt w:val="lowerRoman"/>
      <w:start w:val="1"/>
    </w:lvl>
  </w:abstractNum>
  <w:abstractNum w:abstractNumId="118">
    <w:nsid w:val="704E1DD5"/>
    <w:multiLevelType w:val="hybridMultilevel"/>
    <w:lvl w:ilvl="0">
      <w:lvlJc w:val="left"/>
      <w:lvlText w:val="(%1)"/>
      <w:numFmt w:val="lowerLetter"/>
      <w:start w:val="1"/>
    </w:lvl>
  </w:abstractNum>
  <w:abstractNum w:abstractNumId="119">
    <w:nsid w:val="57D2F10E"/>
    <w:multiLevelType w:val="hybridMultilevel"/>
    <w:lvl w:ilvl="0">
      <w:lvlJc w:val="left"/>
      <w:lvlText w:val="(%1)"/>
      <w:numFmt w:val="lowerLetter"/>
      <w:start w:val="2"/>
    </w:lvl>
  </w:abstractNum>
  <w:abstractNum w:abstractNumId="120">
    <w:nsid w:val="BFFAE18"/>
    <w:multiLevelType w:val="hybridMultilevel"/>
    <w:lvl w:ilvl="0">
      <w:lvlJc w:val="left"/>
      <w:lvlText w:val="(%1)"/>
      <w:numFmt w:val="lowerLetter"/>
      <w:start w:val="1"/>
    </w:lvl>
  </w:abstractNum>
  <w:abstractNum w:abstractNumId="121">
    <w:nsid w:val="E3E47A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22">
    <w:nsid w:val="2E48F044"/>
    <w:multiLevelType w:val="hybridMultilevel"/>
    <w:lvl w:ilvl="0">
      <w:lvlJc w:val="left"/>
      <w:lvlText w:val="(%1)"/>
      <w:numFmt w:val="lowerLetter"/>
      <w:start w:val="2"/>
    </w:lvl>
  </w:abstractNum>
  <w:abstractNum w:abstractNumId="123">
    <w:nsid w:val="49D0FEAC"/>
    <w:multiLevelType w:val="hybridMultilevel"/>
    <w:lvl w:ilvl="0">
      <w:lvlJc w:val="left"/>
      <w:lvlText w:val="(%1)"/>
      <w:numFmt w:val="lowerLetter"/>
      <w:start w:val="1"/>
    </w:lvl>
  </w:abstractNum>
  <w:abstractNum w:abstractNumId="124">
    <w:nsid w:val="4BEE5A5B"/>
    <w:multiLevelType w:val="hybridMultilevel"/>
    <w:lvl w:ilvl="0">
      <w:lvlJc w:val="left"/>
      <w:lvlText w:val="(%1)"/>
      <w:numFmt w:val="lowerLetter"/>
      <w:start w:val="1"/>
    </w:lvl>
  </w:abstractNum>
  <w:abstractNum w:abstractNumId="125">
    <w:nsid w:val="5551B9F3"/>
    <w:multiLevelType w:val="hybridMultilevel"/>
    <w:lvl w:ilvl="0">
      <w:lvlJc w:val="left"/>
      <w:lvlText w:val="(%1)"/>
      <w:numFmt w:val="lowerLetter"/>
      <w:start w:val="2"/>
    </w:lvl>
  </w:abstractNum>
  <w:abstractNum w:abstractNumId="126">
    <w:nsid w:val="24F6AB8E"/>
    <w:multiLevelType w:val="hybridMultilevel"/>
    <w:lvl w:ilvl="0">
      <w:lvlJc w:val="left"/>
      <w:lvlText w:val="(%1)"/>
      <w:numFmt w:val="lowerLetter"/>
      <w:start w:val="8"/>
    </w:lvl>
  </w:abstractNum>
  <w:abstractNum w:abstractNumId="127">
    <w:nsid w:val="634C574C"/>
    <w:multiLevelType w:val="hybridMultilevel"/>
    <w:lvl w:ilvl="0">
      <w:lvlJc w:val="left"/>
      <w:lvlText w:val="(%1)"/>
      <w:numFmt w:val="lowerLetter"/>
      <w:start w:val="1"/>
    </w:lvl>
  </w:abstractNum>
  <w:abstractNum w:abstractNumId="128">
    <w:nsid w:val="24E99DD7"/>
    <w:multiLevelType w:val="hybridMultilevel"/>
    <w:lvl w:ilvl="0">
      <w:lvlJc w:val="left"/>
      <w:lvlText w:val="(%1)"/>
      <w:numFmt w:val="lowerLetter"/>
      <w:start w:val="4"/>
    </w:lvl>
  </w:abstractNum>
  <w:abstractNum w:abstractNumId="129">
    <w:nsid w:val="2A31B62D"/>
    <w:multiLevelType w:val="hybridMultilevel"/>
    <w:lvl w:ilvl="0">
      <w:lvlJc w:val="left"/>
      <w:lvlText w:val="(%1)"/>
      <w:numFmt w:val="lowerLetter"/>
      <w:start w:val="1"/>
    </w:lvl>
  </w:abstractNum>
  <w:abstractNum w:abstractNumId="130">
    <w:nsid w:val="1849C29B"/>
    <w:multiLevelType w:val="hybridMultilevel"/>
    <w:lvl w:ilvl="0">
      <w:lvlJc w:val="left"/>
      <w:lvlText w:val="(%1)"/>
      <w:numFmt w:val="lowerLetter"/>
      <w:start w:val="2"/>
    </w:lvl>
  </w:abstractNum>
  <w:abstractNum w:abstractNumId="131">
    <w:nsid w:val="7DFF9D09"/>
    <w:multiLevelType w:val="hybridMultilevel"/>
    <w:lvl w:ilvl="0">
      <w:lvlJc w:val="left"/>
      <w:lvlText w:val="(%1)"/>
      <w:numFmt w:val="lowerLetter"/>
      <w:start w:val="1"/>
    </w:lvl>
  </w:abstractNum>
  <w:abstractNum w:abstractNumId="132">
    <w:nsid w:val="754342"/>
    <w:multiLevelType w:val="hybridMultilevel"/>
    <w:lvl w:ilvl="0">
      <w:lvlJc w:val="left"/>
      <w:lvlText w:val="(%1)"/>
      <w:numFmt w:val="lowerLetter"/>
      <w:start w:val="1"/>
    </w:lvl>
  </w:abstractNum>
  <w:abstractNum w:abstractNumId="133">
    <w:nsid w:val="69E7F3E5"/>
    <w:multiLevelType w:val="hybridMultilevel"/>
    <w:lvl w:ilvl="0">
      <w:lvlJc w:val="left"/>
      <w:lvlText w:val="(%1)"/>
      <w:numFmt w:val="lowerLetter"/>
      <w:start w:val="1"/>
    </w:lvl>
  </w:abstractNum>
  <w:abstractNum w:abstractNumId="134">
    <w:nsid w:val="2A6DE806"/>
    <w:multiLevelType w:val="hybridMultilevel"/>
    <w:lvl w:ilvl="0">
      <w:lvlJc w:val="left"/>
      <w:lvlText w:val="%1."/>
      <w:numFmt w:val="decimal"/>
      <w:start w:val="1"/>
    </w:lvl>
  </w:abstractNum>
  <w:abstractNum w:abstractNumId="135">
    <w:nsid w:val="1816F8C4"/>
    <w:multiLevelType w:val="hybridMultilevel"/>
    <w:lvl w:ilvl="0">
      <w:lvlJc w:val="left"/>
      <w:lvlText w:val="(%1)"/>
      <w:numFmt w:val="lowerLetter"/>
      <w:start w:val="14"/>
    </w:lvl>
  </w:abstractNum>
  <w:abstractNum w:abstractNumId="136">
    <w:nsid w:val="37DF2233"/>
    <w:multiLevelType w:val="hybridMultilevel"/>
    <w:lvl w:ilvl="0">
      <w:lvlJc w:val="left"/>
      <w:lvlText w:val="%1."/>
      <w:numFmt w:val="decimal"/>
      <w:start w:val="1"/>
    </w:lvl>
  </w:abstractNum>
  <w:abstractNum w:abstractNumId="137">
    <w:nsid w:val="7AB49DAF"/>
    <w:multiLevelType w:val="hybridMultilevel"/>
    <w:lvl w:ilvl="0">
      <w:lvlJc w:val="left"/>
      <w:lvlText w:val="(%1)"/>
      <w:numFmt w:val="lowerLetter"/>
      <w:start w:val="1"/>
    </w:lvl>
  </w:abstractNum>
  <w:abstractNum w:abstractNumId="138">
    <w:nsid w:val="759F82CD"/>
    <w:multiLevelType w:val="hybridMultilevel"/>
    <w:lvl w:ilvl="0">
      <w:lvlJc w:val="left"/>
      <w:lvlText w:val="(%1)"/>
      <w:numFmt w:val="lowerLetter"/>
      <w:start w:val="1"/>
    </w:lvl>
  </w:abstractNum>
  <w:abstractNum w:abstractNumId="139">
    <w:nsid w:val="61E74EA3"/>
    <w:multiLevelType w:val="hybridMultilevel"/>
    <w:lvl w:ilvl="0">
      <w:lvlJc w:val="left"/>
      <w:lvlText w:val="(%1)"/>
      <w:numFmt w:val="lowerLetter"/>
      <w:start w:val="1"/>
    </w:lvl>
  </w:abstractNum>
  <w:abstractNum w:abstractNumId="140">
    <w:nsid w:val="597B4D84"/>
    <w:multiLevelType w:val="hybridMultilevel"/>
    <w:lvl w:ilvl="0">
      <w:lvlJc w:val="left"/>
      <w:lvlText w:val="%1."/>
      <w:numFmt w:val="decimal"/>
      <w:start w:val="2"/>
    </w:lvl>
    <w:lvl w:ilvl="1">
      <w:lvlJc w:val="left"/>
      <w:lvlText w:val="(%2)"/>
      <w:numFmt w:val="lowerLetter"/>
      <w:start w:val="1"/>
    </w:lvl>
  </w:abstractNum>
  <w:abstractNum w:abstractNumId="141">
    <w:nsid w:val="F819E7F"/>
    <w:multiLevelType w:val="hybridMultilevel"/>
    <w:lvl w:ilvl="0">
      <w:lvlJc w:val="left"/>
      <w:lvlText w:val="%1."/>
      <w:numFmt w:val="decimal"/>
      <w:start w:val="3"/>
    </w:lvl>
  </w:abstractNum>
  <w:abstractNum w:abstractNumId="142">
    <w:nsid w:val="57C7D42D"/>
    <w:multiLevelType w:val="hybridMultilevel"/>
    <w:lvl w:ilvl="0">
      <w:lvlJc w:val="left"/>
      <w:lvlText w:val="(%1)"/>
      <w:numFmt w:val="lowerLetter"/>
      <w:start w:val="1"/>
    </w:lvl>
  </w:abstractNum>
  <w:abstractNum w:abstractNumId="143">
    <w:nsid w:val="312167AD"/>
    <w:multiLevelType w:val="hybridMultilevel"/>
    <w:lvl w:ilvl="0">
      <w:lvlJc w:val="left"/>
      <w:lvlText w:val="(%1)"/>
      <w:numFmt w:val="lowerLetter"/>
      <w:start w:val="10"/>
    </w:lvl>
  </w:abstractNum>
  <w:abstractNum w:abstractNumId="144">
    <w:nsid w:val="631B64D4"/>
    <w:multiLevelType w:val="hybridMultilevel"/>
    <w:lvl w:ilvl="0">
      <w:lvlJc w:val="left"/>
      <w:lvlText w:val="(%1)"/>
      <w:numFmt w:val="lowerLetter"/>
      <w:start w:val="13"/>
    </w:lvl>
  </w:abstractNum>
  <w:abstractNum w:abstractNumId="145">
    <w:nsid w:val="78B5E776"/>
    <w:multiLevelType w:val="hybridMultilevel"/>
    <w:lvl w:ilvl="0">
      <w:lvlJc w:val="left"/>
      <w:lvlText w:val="(%1)"/>
      <w:numFmt w:val="lowerLetter"/>
      <w:start w:val="21"/>
    </w:lvl>
    <w:lvl w:ilvl="1">
      <w:lvlJc w:val="left"/>
      <w:lvlText w:val="(%2)"/>
      <w:numFmt w:val="lowerRoman"/>
      <w:start w:val="1"/>
    </w:lvl>
  </w:abstractNum>
  <w:abstractNum w:abstractNumId="146">
    <w:nsid w:val="75486E47"/>
    <w:multiLevelType w:val="hybridMultilevel"/>
    <w:lvl w:ilvl="0">
      <w:lvlJc w:val="left"/>
      <w:lvlText w:val="(%1)"/>
      <w:numFmt w:val="lowerLetter"/>
      <w:start w:val="1"/>
    </w:lvl>
  </w:abstractNum>
  <w:abstractNum w:abstractNumId="147">
    <w:nsid w:val="6E534CDE"/>
    <w:multiLevelType w:val="hybridMultilevel"/>
    <w:lvl w:ilvl="0">
      <w:lvlJc w:val="left"/>
      <w:lvlText w:val="%1"/>
      <w:numFmt w:val="lowerLetter"/>
      <w:start w:val="1"/>
    </w:lvl>
    <w:lvl w:ilvl="1">
      <w:lvlJc w:val="left"/>
      <w:lvlText w:val="(%2)"/>
      <w:numFmt w:val="lowerRoman"/>
      <w:start w:val="1"/>
    </w:lvl>
  </w:abstractNum>
  <w:abstractNum w:abstractNumId="148">
    <w:nsid w:val="1A0DDE32"/>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jpe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91" Type="http://schemas.openxmlformats.org/officeDocument/2006/relationships/image" Target="media/image80.png"/><Relationship Id="rId92" Type="http://schemas.openxmlformats.org/officeDocument/2006/relationships/image" Target="media/image81.png"/><Relationship Id="rId93"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jpe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9" Type="http://schemas.openxmlformats.org/officeDocument/2006/relationships/image" Target="media/image104.png"/><Relationship Id="rId120" Type="http://schemas.openxmlformats.org/officeDocument/2006/relationships/image" Target="media/image105.png"/><Relationship Id="rId121" Type="http://schemas.openxmlformats.org/officeDocument/2006/relationships/image" Target="media/image106.png"/><Relationship Id="rId122" Type="http://schemas.openxmlformats.org/officeDocument/2006/relationships/image" Target="media/image107.png"/><Relationship Id="rId123" Type="http://schemas.openxmlformats.org/officeDocument/2006/relationships/image" Target="media/image108.png"/><Relationship Id="rId124" Type="http://schemas.openxmlformats.org/officeDocument/2006/relationships/image" Target="media/image109.png"/><Relationship Id="rId125" Type="http://schemas.openxmlformats.org/officeDocument/2006/relationships/image" Target="media/image110.png"/><Relationship Id="rId126" Type="http://schemas.openxmlformats.org/officeDocument/2006/relationships/image" Target="media/image111.png"/><Relationship Id="rId127" Type="http://schemas.openxmlformats.org/officeDocument/2006/relationships/image" Target="media/image112.png"/><Relationship Id="rId128"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png"/><Relationship Id="rId140" Type="http://schemas.openxmlformats.org/officeDocument/2006/relationships/image" Target="media/image125.pn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pn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jpeg"/><Relationship Id="rId241" Type="http://schemas.openxmlformats.org/officeDocument/2006/relationships/image" Target="media/image226.png"/><Relationship Id="rId242" Type="http://schemas.openxmlformats.org/officeDocument/2006/relationships/image" Target="media/image227.jpeg"/><Relationship Id="rId243" Type="http://schemas.openxmlformats.org/officeDocument/2006/relationships/image" Target="media/image228.png"/><Relationship Id="rId244" Type="http://schemas.openxmlformats.org/officeDocument/2006/relationships/image" Target="media/image229.jpeg"/><Relationship Id="rId245" Type="http://schemas.openxmlformats.org/officeDocument/2006/relationships/image" Target="media/image230.png"/><Relationship Id="rId246" Type="http://schemas.openxmlformats.org/officeDocument/2006/relationships/image" Target="media/image231.jpeg"/><Relationship Id="rId247" Type="http://schemas.openxmlformats.org/officeDocument/2006/relationships/image" Target="media/image232.png"/><Relationship Id="rId248" Type="http://schemas.openxmlformats.org/officeDocument/2006/relationships/image" Target="media/image233.jpeg"/><Relationship Id="rId249" Type="http://schemas.openxmlformats.org/officeDocument/2006/relationships/image" Target="media/image234.png"/><Relationship Id="rId250" Type="http://schemas.openxmlformats.org/officeDocument/2006/relationships/image" Target="media/image235.jpeg"/><Relationship Id="rId251" Type="http://schemas.openxmlformats.org/officeDocument/2006/relationships/image" Target="media/image236.png"/><Relationship Id="rId252" Type="http://schemas.openxmlformats.org/officeDocument/2006/relationships/image" Target="media/image237.jpeg"/><Relationship Id="rId253" Type="http://schemas.openxmlformats.org/officeDocument/2006/relationships/image" Target="media/image238.png"/><Relationship Id="rId254" Type="http://schemas.openxmlformats.org/officeDocument/2006/relationships/image" Target="media/image239.png"/><Relationship Id="rId255" Type="http://schemas.openxmlformats.org/officeDocument/2006/relationships/image" Target="media/image240.png"/><Relationship Id="rId256" Type="http://schemas.openxmlformats.org/officeDocument/2006/relationships/image" Target="media/image241.png"/><Relationship Id="rId257" Type="http://schemas.openxmlformats.org/officeDocument/2006/relationships/image" Target="media/image242.png"/><Relationship Id="rId258" Type="http://schemas.openxmlformats.org/officeDocument/2006/relationships/image" Target="media/image243.png"/><Relationship Id="rId22" Type="http://schemas.openxmlformats.org/officeDocument/2006/relationships/hyperlink" Target="https://www.sec.gov/ix?doc=/Archives/edgar/data/1657312/000165731221000004/vrna-20201231.htm" TargetMode="External"/><Relationship Id="rId23" Type="http://schemas.openxmlformats.org/officeDocument/2006/relationships/hyperlink" Target="https://www.sec.gov/Archives/edgar/data/1657312/000110465921039049/tm219611-1_def14a.htm" TargetMode="External"/><Relationship Id="rId24" Type="http://schemas.openxmlformats.org/officeDocument/2006/relationships/hyperlink" Target="https://www.sec.gov/Archives/edgar/data/1657312/000110465921030453/tm218427d1_8k.htm" TargetMode="External"/><Relationship Id="rId25" Type="http://schemas.openxmlformats.org/officeDocument/2006/relationships/hyperlink" Target="https://www.sec.gov/Archives/edgar/data/1657312/000110465917024500/a16-21903_58a12b.htm" TargetMode="External"/><Relationship Id="rId115" Type="http://schemas.openxmlformats.org/officeDocument/2006/relationships/hyperlink" Target="https://www.sec.gov/Archives/edgar/data/1657312/000110465920140541/tm2039594d1_ex1.htm" TargetMode="External"/><Relationship Id="rId116" Type="http://schemas.openxmlformats.org/officeDocument/2006/relationships/hyperlink" Target="https://www.sec.gov/Archives/edgar/data/1657312/000165731218000006/exhibit21depositagreemen.htm" TargetMode="External"/><Relationship Id="rId117" Type="http://schemas.openxmlformats.org/officeDocument/2006/relationships/hyperlink" Target="https://www.sec.gov/Archives/edgar/data/1657312/000104746917002313/a2231519zex-10_1.htm" TargetMode="External"/><Relationship Id="rId118" Type="http://schemas.openxmlformats.org/officeDocument/2006/relationships/hyperlink" Target="https://www.sec.gov/Archives/edgar/data/1657312/000110465920085620/tm2025101d2_ex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2021-03-19T16:25:12Z</dcterms:created>
  <dcterms:modified xsi:type="dcterms:W3CDTF">2021-03-19T16:25:12Z</dcterms:modified>
</cp:coreProperties>
</file>