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jc w:val="center"/>
        <w:ind w:left="5400" w:right="160" w:hanging="5225"/>
        <w:spacing w:after="0" w:line="241" w:lineRule="auto"/>
        <w:tabs>
          <w:tab w:leader="none" w:pos="572"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4" w:lineRule="exact"/>
        <w:rPr>
          <w:sz w:val="24"/>
          <w:szCs w:val="24"/>
          <w:color w:val="auto"/>
        </w:rPr>
      </w:pPr>
    </w:p>
    <w:p>
      <w:pPr>
        <w:jc w:val="center"/>
        <w:ind w:left="5400" w:right="160" w:hanging="5231"/>
        <w:spacing w:after="0" w:line="254" w:lineRule="auto"/>
        <w:tabs>
          <w:tab w:leader="none" w:pos="562"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96"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001-38067</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Verona Pharma plc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0"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280" w:type="dxa"/>
            <w:vAlign w:val="bottom"/>
          </w:tcPr>
          <w:p>
            <w:pPr>
              <w:jc w:val="center"/>
              <w:ind w:right="1477"/>
              <w:spacing w:after="0"/>
              <w:rPr>
                <w:sz w:val="20"/>
                <w:szCs w:val="20"/>
                <w:color w:val="auto"/>
              </w:rPr>
            </w:pPr>
            <w:r>
              <w:rPr>
                <w:rFonts w:ascii="Arial" w:cs="Arial" w:eastAsia="Arial" w:hAnsi="Arial"/>
                <w:sz w:val="18"/>
                <w:szCs w:val="18"/>
                <w:b w:val="1"/>
                <w:bCs w:val="1"/>
                <w:color w:val="auto"/>
                <w:w w:val="92"/>
              </w:rPr>
              <w:t>United Kingdom</w:t>
            </w:r>
          </w:p>
        </w:tc>
        <w:tc>
          <w:tcPr>
            <w:tcW w:w="3760" w:type="dxa"/>
            <w:vAlign w:val="bottom"/>
          </w:tcPr>
          <w:p>
            <w:pPr>
              <w:jc w:val="center"/>
              <w:ind w:left="1459"/>
              <w:spacing w:after="0"/>
              <w:rPr>
                <w:sz w:val="20"/>
                <w:szCs w:val="20"/>
                <w:color w:val="auto"/>
              </w:rPr>
            </w:pPr>
            <w:r>
              <w:rPr>
                <w:rFonts w:ascii="Arial" w:cs="Arial" w:eastAsia="Arial" w:hAnsi="Arial"/>
                <w:sz w:val="18"/>
                <w:szCs w:val="18"/>
                <w:b w:val="1"/>
                <w:bCs w:val="1"/>
                <w:color w:val="auto"/>
                <w:w w:val="89"/>
              </w:rPr>
              <w:t>98-1489389</w:t>
            </w:r>
          </w:p>
        </w:tc>
      </w:tr>
      <w:tr>
        <w:trPr>
          <w:trHeight w:val="190"/>
        </w:trPr>
        <w:tc>
          <w:tcPr>
            <w:tcW w:w="5280" w:type="dxa"/>
            <w:vAlign w:val="bottom"/>
          </w:tcPr>
          <w:p>
            <w:pPr>
              <w:jc w:val="center"/>
              <w:ind w:right="147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760" w:type="dxa"/>
            <w:vAlign w:val="bottom"/>
          </w:tcPr>
          <w:p>
            <w:pPr>
              <w:jc w:val="center"/>
              <w:ind w:left="147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507"/>
        </w:trPr>
        <w:tc>
          <w:tcPr>
            <w:tcW w:w="5280" w:type="dxa"/>
            <w:vAlign w:val="bottom"/>
          </w:tcPr>
          <w:p>
            <w:pPr>
              <w:jc w:val="center"/>
              <w:ind w:right="1477"/>
              <w:spacing w:after="0"/>
              <w:rPr>
                <w:sz w:val="20"/>
                <w:szCs w:val="20"/>
                <w:color w:val="auto"/>
              </w:rPr>
            </w:pPr>
            <w:r>
              <w:rPr>
                <w:rFonts w:ascii="Arial" w:cs="Arial" w:eastAsia="Arial" w:hAnsi="Arial"/>
                <w:sz w:val="18"/>
                <w:szCs w:val="18"/>
                <w:b w:val="1"/>
                <w:bCs w:val="1"/>
                <w:color w:val="auto"/>
                <w:w w:val="91"/>
              </w:rPr>
              <w:t>3 More London Riverside</w:t>
            </w:r>
          </w:p>
        </w:tc>
        <w:tc>
          <w:tcPr>
            <w:tcW w:w="3760" w:type="dxa"/>
            <w:vAlign w:val="bottom"/>
          </w:tcPr>
          <w:p>
            <w:pPr>
              <w:spacing w:after="0"/>
              <w:rPr>
                <w:sz w:val="24"/>
                <w:szCs w:val="24"/>
                <w:color w:val="auto"/>
              </w:rPr>
            </w:pPr>
          </w:p>
        </w:tc>
      </w:tr>
      <w:tr>
        <w:trPr>
          <w:trHeight w:val="234"/>
        </w:trPr>
        <w:tc>
          <w:tcPr>
            <w:tcW w:w="5280" w:type="dxa"/>
            <w:vAlign w:val="bottom"/>
          </w:tcPr>
          <w:p>
            <w:pPr>
              <w:jc w:val="center"/>
              <w:ind w:right="1477"/>
              <w:spacing w:after="0"/>
              <w:rPr>
                <w:sz w:val="20"/>
                <w:szCs w:val="20"/>
                <w:color w:val="auto"/>
              </w:rPr>
            </w:pPr>
            <w:r>
              <w:rPr>
                <w:rFonts w:ascii="Arial" w:cs="Arial" w:eastAsia="Arial" w:hAnsi="Arial"/>
                <w:sz w:val="18"/>
                <w:szCs w:val="18"/>
                <w:b w:val="1"/>
                <w:bCs w:val="1"/>
                <w:color w:val="auto"/>
                <w:w w:val="92"/>
              </w:rPr>
              <w:t>London SE1 2RE United Kingdom</w:t>
            </w:r>
          </w:p>
        </w:tc>
        <w:tc>
          <w:tcPr>
            <w:tcW w:w="3760" w:type="dxa"/>
            <w:vAlign w:val="bottom"/>
          </w:tcPr>
          <w:p>
            <w:pPr>
              <w:jc w:val="center"/>
              <w:ind w:left="1479"/>
              <w:spacing w:after="0"/>
              <w:rPr>
                <w:sz w:val="20"/>
                <w:szCs w:val="20"/>
                <w:color w:val="auto"/>
              </w:rPr>
            </w:pPr>
            <w:r>
              <w:rPr>
                <w:rFonts w:ascii="Arial" w:cs="Arial" w:eastAsia="Arial" w:hAnsi="Arial"/>
                <w:sz w:val="18"/>
                <w:szCs w:val="18"/>
                <w:b w:val="1"/>
                <w:bCs w:val="1"/>
                <w:color w:val="auto"/>
                <w:w w:val="92"/>
              </w:rPr>
              <w:t>Not Applicable</w:t>
            </w:r>
          </w:p>
        </w:tc>
      </w:tr>
      <w:tr>
        <w:trPr>
          <w:trHeight w:val="218"/>
        </w:trPr>
        <w:tc>
          <w:tcPr>
            <w:tcW w:w="5280" w:type="dxa"/>
            <w:vAlign w:val="bottom"/>
          </w:tcPr>
          <w:p>
            <w:pPr>
              <w:jc w:val="center"/>
              <w:ind w:right="1477"/>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3760" w:type="dxa"/>
            <w:vAlign w:val="bottom"/>
          </w:tcPr>
          <w:p>
            <w:pPr>
              <w:jc w:val="center"/>
              <w:ind w:left="1459"/>
              <w:spacing w:after="0"/>
              <w:rPr>
                <w:sz w:val="20"/>
                <w:szCs w:val="20"/>
                <w:color w:val="auto"/>
              </w:rPr>
            </w:pPr>
            <w:r>
              <w:rPr>
                <w:rFonts w:ascii="Arial" w:cs="Arial" w:eastAsia="Arial" w:hAnsi="Arial"/>
                <w:sz w:val="14"/>
                <w:szCs w:val="14"/>
                <w:b w:val="1"/>
                <w:bCs w:val="1"/>
                <w:color w:val="auto"/>
                <w:w w:val="95"/>
              </w:rPr>
              <w:t>(Zip Code)</w:t>
            </w:r>
          </w:p>
        </w:tc>
      </w:tr>
    </w:tbl>
    <w:p>
      <w:pPr>
        <w:spacing w:after="0" w:line="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+44 203 283 4200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40" w:type="dxa"/>
            <w:vAlign w:val="bottom"/>
            <w:vMerge w:val="restart"/>
          </w:tcPr>
          <w:p>
            <w:pPr>
              <w:jc w:val="center"/>
              <w:ind w:left="319"/>
              <w:spacing w:after="0"/>
              <w:rPr>
                <w:sz w:val="20"/>
                <w:szCs w:val="20"/>
                <w:color w:val="auto"/>
              </w:rPr>
            </w:pPr>
            <w:r>
              <w:rPr>
                <w:rFonts w:ascii="Arial" w:cs="Arial" w:eastAsia="Arial" w:hAnsi="Arial"/>
                <w:sz w:val="18"/>
                <w:szCs w:val="18"/>
                <w:b w:val="1"/>
                <w:bCs w:val="1"/>
                <w:color w:val="auto"/>
                <w:w w:val="86"/>
              </w:rPr>
              <w:t>Title of each class</w:t>
            </w:r>
          </w:p>
        </w:tc>
        <w:tc>
          <w:tcPr>
            <w:tcW w:w="2000" w:type="dxa"/>
            <w:vAlign w:val="bottom"/>
          </w:tcPr>
          <w:p>
            <w:pPr>
              <w:jc w:val="center"/>
              <w:ind w:left="56"/>
              <w:spacing w:after="0"/>
              <w:rPr>
                <w:sz w:val="20"/>
                <w:szCs w:val="20"/>
                <w:color w:val="auto"/>
              </w:rPr>
            </w:pPr>
            <w:r>
              <w:rPr>
                <w:rFonts w:ascii="Arial" w:cs="Arial" w:eastAsia="Arial" w:hAnsi="Arial"/>
                <w:sz w:val="18"/>
                <w:szCs w:val="18"/>
                <w:b w:val="1"/>
                <w:bCs w:val="1"/>
                <w:color w:val="auto"/>
                <w:w w:val="93"/>
              </w:rPr>
              <w:t>Trading</w:t>
            </w:r>
          </w:p>
        </w:tc>
        <w:tc>
          <w:tcPr>
            <w:tcW w:w="4680" w:type="dxa"/>
            <w:vAlign w:val="bottom"/>
            <w:vMerge w:val="restart"/>
          </w:tcPr>
          <w:p>
            <w:pPr>
              <w:jc w:val="center"/>
              <w:ind w:right="179"/>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vMerge w:val="continue"/>
          </w:tcPr>
          <w:p>
            <w:pPr>
              <w:spacing w:after="0"/>
              <w:rPr>
                <w:sz w:val="19"/>
                <w:szCs w:val="19"/>
                <w:color w:val="auto"/>
              </w:rPr>
            </w:pPr>
          </w:p>
        </w:tc>
        <w:tc>
          <w:tcPr>
            <w:tcW w:w="2000" w:type="dxa"/>
            <w:vAlign w:val="bottom"/>
            <w:tcBorders>
              <w:bottom w:val="single" w:sz="8" w:color="auto"/>
            </w:tcBorders>
          </w:tcPr>
          <w:p>
            <w:pPr>
              <w:jc w:val="center"/>
              <w:ind w:left="56"/>
              <w:spacing w:after="0"/>
              <w:rPr>
                <w:sz w:val="20"/>
                <w:szCs w:val="20"/>
                <w:color w:val="auto"/>
              </w:rPr>
            </w:pPr>
            <w:r>
              <w:rPr>
                <w:rFonts w:ascii="Arial" w:cs="Arial" w:eastAsia="Arial" w:hAnsi="Arial"/>
                <w:sz w:val="18"/>
                <w:szCs w:val="18"/>
                <w:b w:val="1"/>
                <w:bCs w:val="1"/>
                <w:color w:val="auto"/>
                <w:w w:val="89"/>
              </w:rPr>
              <w:t>Symbol(s)</w:t>
            </w:r>
          </w:p>
        </w:tc>
        <w:tc>
          <w:tcPr>
            <w:tcW w:w="4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40" w:type="dxa"/>
            <w:vAlign w:val="bottom"/>
          </w:tcPr>
          <w:p>
            <w:pPr>
              <w:jc w:val="center"/>
              <w:ind w:left="319"/>
              <w:spacing w:after="0"/>
              <w:rPr>
                <w:sz w:val="20"/>
                <w:szCs w:val="20"/>
                <w:color w:val="auto"/>
              </w:rPr>
            </w:pPr>
            <w:r>
              <w:rPr>
                <w:rFonts w:ascii="Arial" w:cs="Arial" w:eastAsia="Arial" w:hAnsi="Arial"/>
                <w:sz w:val="14"/>
                <w:szCs w:val="14"/>
                <w:color w:val="auto"/>
                <w:w w:val="92"/>
              </w:rPr>
              <w:t>Ordinary shares, nominal value £0.05 per share*</w:t>
            </w:r>
          </w:p>
        </w:tc>
        <w:tc>
          <w:tcPr>
            <w:tcW w:w="2000" w:type="dxa"/>
            <w:vAlign w:val="bottom"/>
          </w:tcPr>
          <w:p>
            <w:pPr>
              <w:jc w:val="center"/>
              <w:ind w:left="56"/>
              <w:spacing w:after="0"/>
              <w:rPr>
                <w:sz w:val="20"/>
                <w:szCs w:val="20"/>
                <w:color w:val="auto"/>
              </w:rPr>
            </w:pPr>
            <w:r>
              <w:rPr>
                <w:rFonts w:ascii="Arial" w:cs="Arial" w:eastAsia="Arial" w:hAnsi="Arial"/>
                <w:sz w:val="14"/>
                <w:szCs w:val="14"/>
                <w:color w:val="auto"/>
              </w:rPr>
              <w:t>VRNA</w:t>
            </w:r>
          </w:p>
        </w:tc>
        <w:tc>
          <w:tcPr>
            <w:tcW w:w="4680" w:type="dxa"/>
            <w:vAlign w:val="bottom"/>
          </w:tcPr>
          <w:p>
            <w:pPr>
              <w:jc w:val="center"/>
              <w:ind w:right="179"/>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60" w:firstLine="8"/>
        <w:spacing w:after="0" w:line="273" w:lineRule="auto"/>
        <w:tabs>
          <w:tab w:leader="none" w:pos="108"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spacing w:after="0" w:line="205"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00" w:lineRule="exact"/>
        <w:rPr>
          <w:sz w:val="24"/>
          <w:szCs w:val="24"/>
          <w:color w:val="auto"/>
        </w:rPr>
      </w:pPr>
    </w:p>
    <w:p>
      <w:pPr>
        <w:jc w:val="both"/>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80" w:type="dxa"/>
            <w:vAlign w:val="bottom"/>
          </w:tcPr>
          <w:p>
            <w:pPr>
              <w:ind w:left="360"/>
              <w:spacing w:after="0"/>
              <w:rPr>
                <w:sz w:val="20"/>
                <w:szCs w:val="20"/>
                <w:color w:val="auto"/>
              </w:rPr>
            </w:pPr>
            <w:r>
              <w:rPr>
                <w:rFonts w:ascii="Arial" w:cs="Arial" w:eastAsia="Arial" w:hAnsi="Arial"/>
                <w:sz w:val="18"/>
                <w:szCs w:val="18"/>
                <w:color w:val="auto"/>
              </w:rPr>
              <w:t>Emerging growth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6" w:lineRule="exact"/>
        <w:rPr>
          <w:sz w:val="24"/>
          <w:szCs w:val="24"/>
          <w:color w:val="auto"/>
        </w:rPr>
      </w:pPr>
    </w:p>
    <w:p>
      <w:pPr>
        <w:spacing w:after="0" w:line="246" w:lineRule="auto"/>
        <w:rPr>
          <w:sz w:val="20"/>
          <w:szCs w:val="20"/>
          <w:color w:val="auto"/>
        </w:rPr>
      </w:pPr>
      <w:r>
        <w:rPr>
          <w:rFonts w:ascii="Arial" w:cs="Arial" w:eastAsia="Arial" w:hAnsi="Arial"/>
          <w:sz w:val="18"/>
          <w:szCs w:val="18"/>
          <w:color w:val="auto"/>
        </w:rPr>
        <w:t>As of April 27, 2021, the registrant had 463,745,750 ordinary shares, nominal value £0.05 per share, outstanding, which if all held in ADS form, would be represented by 57,968,219 American Depositary Shares, each representing eight (8)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4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Page</w:t>
            </w:r>
          </w:p>
        </w:tc>
      </w:tr>
      <w:tr>
        <w:trPr>
          <w:trHeight w:val="209"/>
        </w:trPr>
        <w:tc>
          <w:tcPr>
            <w:tcW w:w="20" w:type="dxa"/>
            <w:vAlign w:val="bottom"/>
          </w:tcPr>
          <w:p>
            <w:pPr>
              <w:spacing w:after="0"/>
              <w:rPr>
                <w:sz w:val="18"/>
                <w:szCs w:val="18"/>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auto"/>
              </w:rPr>
              <w:t>PART I - FINANCIAL INFORMATION</w:t>
            </w:r>
          </w:p>
        </w:tc>
        <w:tc>
          <w:tcPr>
            <w:tcW w:w="1080" w:type="dxa"/>
            <w:vAlign w:val="bottom"/>
          </w:tcPr>
          <w:p>
            <w:pPr>
              <w:spacing w:after="0"/>
              <w:rPr>
                <w:sz w:val="18"/>
                <w:szCs w:val="18"/>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Financial Statements</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3">
              <w:r>
                <w:rPr>
                  <w:rFonts w:ascii="Arial" w:cs="Arial" w:eastAsia="Arial" w:hAnsi="Arial"/>
                  <w:sz w:val="18"/>
                  <w:szCs w:val="18"/>
                  <w:color w:val="auto"/>
                  <w:w w:val="79"/>
                </w:rPr>
                <w:t>2</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Item 2</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80" w:type="dxa"/>
            <w:vAlign w:val="bottom"/>
          </w:tcPr>
          <w:p>
            <w:pPr>
              <w:jc w:val="center"/>
              <w:spacing w:after="0"/>
              <w:rPr>
                <w:rFonts w:ascii="Arial" w:cs="Arial" w:eastAsia="Arial" w:hAnsi="Arial"/>
                <w:sz w:val="18"/>
                <w:szCs w:val="18"/>
                <w:color w:val="auto"/>
                <w:w w:val="79"/>
              </w:rPr>
            </w:pPr>
            <w:hyperlink w:anchor="page12">
              <w:r>
                <w:rPr>
                  <w:rFonts w:ascii="Arial" w:cs="Arial" w:eastAsia="Arial" w:hAnsi="Arial"/>
                  <w:sz w:val="18"/>
                  <w:szCs w:val="18"/>
                  <w:color w:val="auto"/>
                  <w:w w:val="79"/>
                </w:rPr>
                <w:t>12</w:t>
              </w:r>
            </w:hyperlink>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3</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Quantitative and Qualitative Disclosures About Market Risk</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21">
              <w:r>
                <w:rPr>
                  <w:rFonts w:ascii="Arial" w:cs="Arial" w:eastAsia="Arial" w:hAnsi="Arial"/>
                  <w:sz w:val="18"/>
                  <w:szCs w:val="18"/>
                  <w:color w:val="auto"/>
                  <w:w w:val="79"/>
                </w:rPr>
                <w:t>20</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Item 4</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Controls and Procedures</w:t>
            </w:r>
          </w:p>
        </w:tc>
        <w:tc>
          <w:tcPr>
            <w:tcW w:w="1080" w:type="dxa"/>
            <w:vAlign w:val="bottom"/>
          </w:tcPr>
          <w:p>
            <w:pPr>
              <w:jc w:val="center"/>
              <w:spacing w:after="0"/>
              <w:rPr>
                <w:rFonts w:ascii="Arial" w:cs="Arial" w:eastAsia="Arial" w:hAnsi="Arial"/>
                <w:sz w:val="18"/>
                <w:szCs w:val="18"/>
                <w:color w:val="auto"/>
                <w:w w:val="79"/>
              </w:rPr>
            </w:pPr>
            <w:hyperlink w:anchor="page21">
              <w:r>
                <w:rPr>
                  <w:rFonts w:ascii="Arial" w:cs="Arial" w:eastAsia="Arial" w:hAnsi="Arial"/>
                  <w:sz w:val="18"/>
                  <w:szCs w:val="18"/>
                  <w:color w:val="auto"/>
                  <w:w w:val="79"/>
                </w:rPr>
                <w:t>20</w:t>
              </w:r>
            </w:hyperlink>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101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PART II - OTHER INFORMATION</w:t>
            </w: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1</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Legal Proceedings</w:t>
            </w:r>
          </w:p>
        </w:tc>
        <w:tc>
          <w:tcPr>
            <w:tcW w:w="1080" w:type="dxa"/>
            <w:vAlign w:val="bottom"/>
          </w:tcPr>
          <w:p>
            <w:pPr>
              <w:jc w:val="center"/>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21</w:t>
              </w:r>
            </w:hyperlink>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1A.</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Risk Factors</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21</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2</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Unregistered Sales of Equity Securities and Use of Proceeds</w:t>
            </w:r>
          </w:p>
        </w:tc>
        <w:tc>
          <w:tcPr>
            <w:tcW w:w="1080" w:type="dxa"/>
            <w:vAlign w:val="bottom"/>
          </w:tcPr>
          <w:p>
            <w:pPr>
              <w:jc w:val="center"/>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21</w:t>
              </w:r>
            </w:hyperlink>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3</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Defaults Upon Senior Securities</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21</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4</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Mine Safety Disclosure</w:t>
            </w:r>
          </w:p>
        </w:tc>
        <w:tc>
          <w:tcPr>
            <w:tcW w:w="1080" w:type="dxa"/>
            <w:vAlign w:val="bottom"/>
          </w:tcPr>
          <w:p>
            <w:pPr>
              <w:jc w:val="center"/>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21</w:t>
              </w:r>
            </w:hyperlink>
          </w:p>
        </w:tc>
      </w:tr>
      <w:tr>
        <w:trPr>
          <w:trHeight w:val="129"/>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5</w:t>
              </w:r>
            </w:hyperlink>
          </w:p>
        </w:tc>
        <w:tc>
          <w:tcPr>
            <w:tcW w:w="9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Information</w:t>
            </w: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21</w:t>
              </w:r>
            </w:hyperlink>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6</w:t>
              </w:r>
            </w:hyperlink>
          </w:p>
        </w:tc>
        <w:tc>
          <w:tcPr>
            <w:tcW w:w="9040" w:type="dxa"/>
            <w:vAlign w:val="bottom"/>
          </w:tcPr>
          <w:p>
            <w:pPr>
              <w:ind w:left="320"/>
              <w:spacing w:after="0"/>
              <w:rPr>
                <w:sz w:val="20"/>
                <w:szCs w:val="20"/>
                <w:color w:val="auto"/>
              </w:rPr>
            </w:pPr>
            <w:r>
              <w:rPr>
                <w:rFonts w:ascii="Arial" w:cs="Arial" w:eastAsia="Arial" w:hAnsi="Arial"/>
                <w:sz w:val="18"/>
                <w:szCs w:val="18"/>
                <w:color w:val="auto"/>
              </w:rPr>
              <w:t>Exhibits</w:t>
            </w:r>
          </w:p>
        </w:tc>
        <w:tc>
          <w:tcPr>
            <w:tcW w:w="1080" w:type="dxa"/>
            <w:vAlign w:val="bottom"/>
          </w:tcPr>
          <w:p>
            <w:pPr>
              <w:jc w:val="center"/>
              <w:spacing w:after="0"/>
              <w:rPr>
                <w:rFonts w:ascii="Arial" w:cs="Arial" w:eastAsia="Arial" w:hAnsi="Arial"/>
                <w:sz w:val="18"/>
                <w:szCs w:val="18"/>
                <w:color w:val="auto"/>
                <w:w w:val="79"/>
              </w:rPr>
            </w:pPr>
            <w:hyperlink w:anchor="page22">
              <w:r>
                <w:rPr>
                  <w:rFonts w:ascii="Arial" w:cs="Arial" w:eastAsia="Arial" w:hAnsi="Arial"/>
                  <w:sz w:val="18"/>
                  <w:szCs w:val="18"/>
                  <w:color w:val="auto"/>
                  <w:w w:val="79"/>
                </w:rPr>
                <w:t>21</w:t>
              </w:r>
            </w:hyperlink>
          </w:p>
        </w:tc>
      </w:tr>
      <w:tr>
        <w:trPr>
          <w:trHeight w:val="128"/>
        </w:trPr>
        <w:tc>
          <w:tcPr>
            <w:tcW w:w="20" w:type="dxa"/>
            <w:vAlign w:val="bottom"/>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1100" w:type="dxa"/>
            <w:vAlign w:val="bottom"/>
            <w:gridSpan w:val="4"/>
            <w:shd w:val="clear" w:color="auto" w:fill="CCEEFF"/>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Signatures</w:t>
              </w:r>
            </w:hyperlink>
          </w:p>
        </w:tc>
        <w:tc>
          <w:tcPr>
            <w:tcW w:w="9040" w:type="dxa"/>
            <w:vAlign w:val="bottom"/>
            <w:shd w:val="clear" w:color="auto" w:fill="CCEEFF"/>
          </w:tcPr>
          <w:p>
            <w:pPr>
              <w:spacing w:after="0"/>
              <w:rPr>
                <w:sz w:val="24"/>
                <w:szCs w:val="24"/>
                <w:color w:val="auto"/>
              </w:rPr>
            </w:pPr>
          </w:p>
        </w:tc>
        <w:tc>
          <w:tcPr>
            <w:tcW w:w="1080" w:type="dxa"/>
            <w:vAlign w:val="bottom"/>
            <w:shd w:val="clear" w:color="auto" w:fill="CCEEFF"/>
          </w:tcPr>
          <w:p>
            <w:pPr>
              <w:jc w:val="center"/>
              <w:spacing w:after="0"/>
              <w:rPr>
                <w:rFonts w:ascii="Arial" w:cs="Arial" w:eastAsia="Arial" w:hAnsi="Arial"/>
                <w:sz w:val="18"/>
                <w:szCs w:val="18"/>
                <w:color w:val="auto"/>
                <w:w w:val="79"/>
              </w:rPr>
            </w:pPr>
            <w:hyperlink w:anchor="page23">
              <w:r>
                <w:rPr>
                  <w:rFonts w:ascii="Arial" w:cs="Arial" w:eastAsia="Arial" w:hAnsi="Arial"/>
                  <w:sz w:val="18"/>
                  <w:szCs w:val="18"/>
                  <w:color w:val="auto"/>
                  <w:w w:val="79"/>
                </w:rPr>
                <w:t>23</w:t>
              </w:r>
            </w:hyperlink>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90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right"/>
        <w:ind w:right="2639"/>
        <w:spacing w:after="0"/>
        <w:rPr>
          <w:sz w:val="20"/>
          <w:szCs w:val="20"/>
          <w:color w:val="auto"/>
        </w:rPr>
      </w:pPr>
      <w:r>
        <w:rPr>
          <w:rFonts w:ascii="Arial" w:cs="Arial" w:eastAsia="Arial" w:hAnsi="Arial"/>
          <w:sz w:val="22"/>
          <w:szCs w:val="22"/>
          <w:b w:val="1"/>
          <w:bCs w:val="1"/>
          <w:color w:val="auto"/>
        </w:rPr>
        <w:t>PART I - FINANCIAL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22"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and par value of shares)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1200" w:type="dxa"/>
            <w:vAlign w:val="bottom"/>
          </w:tcPr>
          <w:p>
            <w:pPr>
              <w:jc w:val="right"/>
              <w:ind w:right="19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187,986</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and tax incentive receivables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202,504</w:t>
            </w:r>
          </w:p>
        </w:tc>
        <w:tc>
          <w:tcPr>
            <w:tcW w:w="0" w:type="dxa"/>
            <w:vAlign w:val="bottom"/>
          </w:tcPr>
          <w:p>
            <w:pPr>
              <w:spacing w:after="0"/>
              <w:rPr>
                <w:sz w:val="1"/>
                <w:szCs w:val="1"/>
                <w:color w:val="auto"/>
              </w:rPr>
            </w:pPr>
          </w:p>
        </w:tc>
      </w:tr>
      <w:tr>
        <w:trPr>
          <w:trHeight w:val="257"/>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assets: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Furniture and equipment, net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non-current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23"/>
        </w:trPr>
        <w:tc>
          <w:tcPr>
            <w:tcW w:w="8340" w:type="dxa"/>
            <w:vAlign w:val="bottom"/>
          </w:tcPr>
          <w:p>
            <w:pPr>
              <w:ind w:left="4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204,206</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68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Warrants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Term loan</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Total non-current liabilities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340" w:type="dxa"/>
            <w:vAlign w:val="bottom"/>
          </w:tcPr>
          <w:p>
            <w:pPr>
              <w:ind w:left="240"/>
              <w:spacing w:after="0"/>
              <w:rPr>
                <w:sz w:val="20"/>
                <w:szCs w:val="20"/>
                <w:color w:val="auto"/>
              </w:rPr>
            </w:pPr>
            <w:r>
              <w:rPr>
                <w:rFonts w:ascii="Arial" w:cs="Arial" w:eastAsia="Arial" w:hAnsi="Arial"/>
                <w:sz w:val="18"/>
                <w:szCs w:val="18"/>
                <w:color w:val="auto"/>
                <w:w w:val="95"/>
              </w:rPr>
              <w:t>Ordinary £0.05 par value shares; 488,304,446 and 488,304,446 issued, and 463,745,750 and 463,304,446</w:t>
            </w:r>
          </w:p>
        </w:tc>
        <w:tc>
          <w:tcPr>
            <w:tcW w:w="240" w:type="dxa"/>
            <w:vAlign w:val="bottom"/>
          </w:tcPr>
          <w:p>
            <w:pPr>
              <w:spacing w:after="0"/>
              <w:rPr>
                <w:sz w:val="24"/>
                <w:szCs w:val="2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31,794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31,794</w:t>
            </w:r>
          </w:p>
        </w:tc>
        <w:tc>
          <w:tcPr>
            <w:tcW w:w="0" w:type="dxa"/>
            <w:vAlign w:val="bottom"/>
          </w:tcPr>
          <w:p>
            <w:pPr>
              <w:spacing w:after="0"/>
              <w:rPr>
                <w:sz w:val="1"/>
                <w:szCs w:val="1"/>
                <w:color w:val="auto"/>
              </w:rPr>
            </w:pPr>
          </w:p>
        </w:tc>
      </w:tr>
      <w:tr>
        <w:trPr>
          <w:trHeight w:val="135"/>
        </w:trPr>
        <w:tc>
          <w:tcPr>
            <w:tcW w:w="8340" w:type="dxa"/>
            <w:vAlign w:val="bottom"/>
            <w:vMerge w:val="restart"/>
          </w:tcPr>
          <w:p>
            <w:pPr>
              <w:ind w:left="240"/>
              <w:spacing w:after="0"/>
              <w:rPr>
                <w:sz w:val="20"/>
                <w:szCs w:val="20"/>
                <w:color w:val="auto"/>
              </w:rPr>
            </w:pPr>
            <w:r>
              <w:rPr>
                <w:rFonts w:ascii="Arial" w:cs="Arial" w:eastAsia="Arial" w:hAnsi="Arial"/>
                <w:sz w:val="18"/>
                <w:szCs w:val="18"/>
                <w:color w:val="auto"/>
              </w:rPr>
              <w:t>outstanding, at March 31, 2021 and December 31, 2020, respectively</w:t>
            </w:r>
          </w:p>
        </w:tc>
        <w:tc>
          <w:tcPr>
            <w:tcW w:w="2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3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8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366,411</w:t>
            </w:r>
          </w:p>
        </w:tc>
        <w:tc>
          <w:tcPr>
            <w:tcW w:w="0" w:type="dxa"/>
            <w:vAlign w:val="bottom"/>
          </w:tcPr>
          <w:p>
            <w:pPr>
              <w:spacing w:after="0"/>
              <w:rPr>
                <w:sz w:val="1"/>
                <w:szCs w:val="1"/>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Ordinary shares held in treasury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(228,370)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(207,050)</w:t>
            </w: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172,414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184,854</w:t>
            </w:r>
          </w:p>
        </w:tc>
        <w:tc>
          <w:tcPr>
            <w:tcW w:w="0" w:type="dxa"/>
            <w:vAlign w:val="bottom"/>
          </w:tcPr>
          <w:p>
            <w:pPr>
              <w:spacing w:after="0"/>
              <w:rPr>
                <w:sz w:val="1"/>
                <w:szCs w:val="1"/>
                <w:color w:val="auto"/>
              </w:rPr>
            </w:pPr>
          </w:p>
        </w:tc>
      </w:tr>
      <w:tr>
        <w:trPr>
          <w:trHeight w:val="223"/>
        </w:trPr>
        <w:tc>
          <w:tcPr>
            <w:tcW w:w="8340" w:type="dxa"/>
            <w:vAlign w:val="bottom"/>
          </w:tcPr>
          <w:p>
            <w:pPr>
              <w:ind w:left="46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190,150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204,206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6"/>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13,574</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7,622</w:t>
            </w: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r>
      <w:tr>
        <w:trPr>
          <w:trHeight w:val="22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14,484</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Other income / (expense)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 from research and development tax credit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Fair value movement on warrants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gain</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w:t>
            </w:r>
          </w:p>
        </w:tc>
      </w:tr>
      <w:tr>
        <w:trPr>
          <w:trHeight w:val="229"/>
        </w:trPr>
        <w:tc>
          <w:tcPr>
            <w:tcW w:w="83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w:t>
            </w: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 income: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loss attributable to shareholders of the Company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(14,503)</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Loss per ordinary share - basic and 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4"/>
        </w:trPr>
        <w:tc>
          <w:tcPr>
            <w:tcW w:w="8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Weighted-average shares outstanding - basic and diluted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469,465,085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105,453,364</w:t>
            </w:r>
          </w:p>
        </w:tc>
      </w:tr>
      <w:tr>
        <w:trPr>
          <w:trHeight w:val="310"/>
        </w:trPr>
        <w:tc>
          <w:tcPr>
            <w:tcW w:w="8340" w:type="dxa"/>
            <w:vAlign w:val="bottom"/>
          </w:tcPr>
          <w:p>
            <w:pPr>
              <w:spacing w:after="0"/>
              <w:rPr>
                <w:sz w:val="20"/>
                <w:szCs w:val="20"/>
                <w:color w:val="auto"/>
              </w:rPr>
            </w:pPr>
            <w:r>
              <w:rPr>
                <w:rFonts w:ascii="Arial" w:cs="Arial" w:eastAsia="Arial" w:hAnsi="Arial"/>
                <w:sz w:val="18"/>
                <w:szCs w:val="18"/>
                <w:color w:val="auto"/>
                <w:w w:val="94"/>
              </w:rPr>
              <w:t>The accompanying notes are an integral part of these unaudited condensed consolidated financial statements.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2640" w:type="dxa"/>
            <w:vAlign w:val="bottom"/>
            <w:gridSpan w:val="5"/>
          </w:tcPr>
          <w:p>
            <w:pPr>
              <w:ind w:left="76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Ordinary shares</w:t>
            </w:r>
          </w:p>
        </w:tc>
        <w:tc>
          <w:tcPr>
            <w:tcW w:w="13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3"/>
              </w:rPr>
              <w:t>Accumulated other</w:t>
            </w:r>
          </w:p>
        </w:tc>
        <w:tc>
          <w:tcPr>
            <w:tcW w:w="160" w:type="dxa"/>
            <w:vAlign w:val="bottom"/>
          </w:tcPr>
          <w:p>
            <w:pPr>
              <w:spacing w:after="0"/>
              <w:rPr>
                <w:sz w:val="16"/>
                <w:szCs w:val="16"/>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24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44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44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6"/>
                <w:szCs w:val="16"/>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paid-in capital</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held in treasury</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comprehensive loss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260" w:type="dxa"/>
            <w:vAlign w:val="bottom"/>
          </w:tcPr>
          <w:p>
            <w:pPr>
              <w:spacing w:after="0"/>
              <w:rPr>
                <w:sz w:val="16"/>
                <w:szCs w:val="16"/>
                <w:color w:val="auto"/>
              </w:rPr>
            </w:pPr>
          </w:p>
        </w:tc>
        <w:tc>
          <w:tcPr>
            <w:tcW w:w="1000" w:type="dxa"/>
            <w:vAlign w:val="bottom"/>
          </w:tcPr>
          <w:p>
            <w:pPr>
              <w:jc w:val="right"/>
              <w:ind w:right="35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24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488,304,446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184,854</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30"/>
        </w:trPr>
        <w:tc>
          <w:tcPr>
            <w:tcW w:w="24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3"/>
              </w:rPr>
              <w:t>Restricted share units vested</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40" w:type="dxa"/>
            <w:vAlign w:val="bottom"/>
          </w:tcPr>
          <w:p>
            <w:pPr>
              <w:ind w:left="240"/>
              <w:spacing w:after="0"/>
              <w:rPr>
                <w:sz w:val="20"/>
                <w:szCs w:val="20"/>
                <w:color w:val="auto"/>
              </w:rPr>
            </w:pPr>
            <w:r>
              <w:rPr>
                <w:rFonts w:ascii="Arial" w:cs="Arial" w:eastAsia="Arial" w:hAnsi="Arial"/>
                <w:sz w:val="18"/>
                <w:szCs w:val="18"/>
                <w:color w:val="auto"/>
                <w:w w:val="99"/>
              </w:rPr>
              <w:t>Share-based compensation</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8,850</w:t>
            </w:r>
          </w:p>
        </w:tc>
        <w:tc>
          <w:tcPr>
            <w:tcW w:w="0" w:type="dxa"/>
            <w:vAlign w:val="bottom"/>
          </w:tcPr>
          <w:p>
            <w:pPr>
              <w:spacing w:after="0"/>
              <w:rPr>
                <w:sz w:val="1"/>
                <w:szCs w:val="1"/>
                <w:color w:val="auto"/>
              </w:rPr>
            </w:pPr>
          </w:p>
        </w:tc>
      </w:tr>
      <w:tr>
        <w:trPr>
          <w:trHeight w:val="248"/>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488,304,446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172,414</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2620" w:type="dxa"/>
            <w:vAlign w:val="bottom"/>
            <w:gridSpan w:val="5"/>
          </w:tcPr>
          <w:p>
            <w:pPr>
              <w:ind w:left="760"/>
              <w:spacing w:after="0"/>
              <w:rPr>
                <w:sz w:val="20"/>
                <w:szCs w:val="20"/>
                <w:color w:val="auto"/>
              </w:rPr>
            </w:pPr>
            <w:r>
              <w:rPr>
                <w:rFonts w:ascii="Arial" w:cs="Arial" w:eastAsia="Arial" w:hAnsi="Arial"/>
                <w:sz w:val="14"/>
                <w:szCs w:val="14"/>
                <w:b w:val="1"/>
                <w:bCs w:val="1"/>
                <w:color w:val="auto"/>
              </w:rPr>
              <w:t>Ordinary shares</w:t>
            </w:r>
          </w:p>
        </w:tc>
        <w:tc>
          <w:tcPr>
            <w:tcW w:w="160" w:type="dxa"/>
            <w:vAlign w:val="bottom"/>
          </w:tcPr>
          <w:p>
            <w:pPr>
              <w:spacing w:after="0"/>
              <w:rPr>
                <w:sz w:val="16"/>
                <w:szCs w:val="16"/>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3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3"/>
              </w:rPr>
              <w:t>Accumulated other</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Total shareholders'</w:t>
            </w:r>
          </w:p>
        </w:tc>
        <w:tc>
          <w:tcPr>
            <w:tcW w:w="0" w:type="dxa"/>
            <w:vAlign w:val="bottom"/>
          </w:tcPr>
          <w:p>
            <w:pPr>
              <w:spacing w:after="0"/>
              <w:rPr>
                <w:sz w:val="1"/>
                <w:szCs w:val="1"/>
                <w:color w:val="auto"/>
              </w:rPr>
            </w:pPr>
          </w:p>
        </w:tc>
      </w:tr>
      <w:tr>
        <w:trPr>
          <w:trHeight w:val="26"/>
        </w:trPr>
        <w:tc>
          <w:tcPr>
            <w:tcW w:w="35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35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580" w:type="dxa"/>
            <w:vAlign w:val="bottom"/>
          </w:tcPr>
          <w:p>
            <w:pPr>
              <w:spacing w:after="0"/>
              <w:rPr>
                <w:sz w:val="16"/>
                <w:szCs w:val="16"/>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paid-in capital</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comprehensive loss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260" w:type="dxa"/>
            <w:vAlign w:val="bottom"/>
          </w:tcPr>
          <w:p>
            <w:pPr>
              <w:spacing w:after="0"/>
              <w:rPr>
                <w:sz w:val="16"/>
                <w:szCs w:val="16"/>
                <w:color w:val="auto"/>
              </w:rPr>
            </w:pPr>
          </w:p>
        </w:tc>
        <w:tc>
          <w:tcPr>
            <w:tcW w:w="1000" w:type="dxa"/>
            <w:vAlign w:val="bottom"/>
          </w:tcPr>
          <w:p>
            <w:pPr>
              <w:jc w:val="right"/>
              <w:ind w:right="353"/>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5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105,326,638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42,741</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Retranslation of foreign operations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29"/>
        </w:trPr>
        <w:tc>
          <w:tcPr>
            <w:tcW w:w="3580" w:type="dxa"/>
            <w:vAlign w:val="bottom"/>
          </w:tcPr>
          <w:p>
            <w:pPr>
              <w:ind w:left="240"/>
              <w:spacing w:after="0"/>
              <w:rPr>
                <w:sz w:val="20"/>
                <w:szCs w:val="20"/>
                <w:color w:val="auto"/>
              </w:rPr>
            </w:pPr>
            <w:r>
              <w:rPr>
                <w:rFonts w:ascii="Arial" w:cs="Arial" w:eastAsia="Arial" w:hAnsi="Arial"/>
                <w:sz w:val="18"/>
                <w:szCs w:val="18"/>
                <w:color w:val="auto"/>
                <w:w w:val="99"/>
              </w:rPr>
              <w:t>Share options exercised during the period</w:t>
            </w:r>
          </w:p>
        </w:tc>
        <w:tc>
          <w:tcPr>
            <w:tcW w:w="1300" w:type="dxa"/>
            <w:vAlign w:val="bottom"/>
          </w:tcPr>
          <w:p>
            <w:pPr>
              <w:jc w:val="right"/>
              <w:spacing w:after="0"/>
              <w:rPr>
                <w:sz w:val="20"/>
                <w:szCs w:val="20"/>
                <w:color w:val="auto"/>
              </w:rPr>
            </w:pPr>
            <w:r>
              <w:rPr>
                <w:rFonts w:ascii="Arial" w:cs="Arial" w:eastAsia="Arial" w:hAnsi="Arial"/>
                <w:sz w:val="18"/>
                <w:szCs w:val="18"/>
                <w:color w:val="auto"/>
              </w:rPr>
              <w:t>887,080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23"/>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106,213,718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181,402</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30,157</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6"/>
        </w:trPr>
        <w:tc>
          <w:tcPr>
            <w:tcW w:w="8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(12,346)</w:t>
            </w: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Adjustments to reconcile net income to net cash used in operating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Foreign exchange gain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debt issue costs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Accretion of redemption premium on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Fair value movement on warrants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Impairment of right-of-use asset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Changes in operating assets and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and tax incentive receivables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29"/>
        </w:trPr>
        <w:tc>
          <w:tcPr>
            <w:tcW w:w="83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845</w:t>
            </w: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assets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30"/>
        </w:trPr>
        <w:tc>
          <w:tcPr>
            <w:tcW w:w="834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8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23"/>
        </w:trPr>
        <w:tc>
          <w:tcPr>
            <w:tcW w:w="8340" w:type="dxa"/>
            <w:vAlign w:val="bottom"/>
          </w:tcPr>
          <w:p>
            <w:pPr>
              <w:ind w:left="46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(18,551)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(13,224)</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40" w:type="dxa"/>
            <w:vAlign w:val="bottom"/>
          </w:tcPr>
          <w:p>
            <w:pPr>
              <w:ind w:left="240"/>
              <w:spacing w:after="0"/>
              <w:rPr>
                <w:sz w:val="20"/>
                <w:szCs w:val="20"/>
                <w:color w:val="auto"/>
              </w:rPr>
            </w:pPr>
            <w:r>
              <w:rPr>
                <w:rFonts w:ascii="Arial" w:cs="Arial" w:eastAsia="Arial" w:hAnsi="Arial"/>
                <w:sz w:val="18"/>
                <w:szCs w:val="18"/>
                <w:color w:val="auto"/>
              </w:rPr>
              <w:t>Purchases of furniture and equipment</w:t>
            </w:r>
          </w:p>
        </w:tc>
        <w:tc>
          <w:tcPr>
            <w:tcW w:w="3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Sale of short-term investments</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r>
      <w:tr>
        <w:trPr>
          <w:trHeight w:val="223"/>
        </w:trPr>
        <w:tc>
          <w:tcPr>
            <w:tcW w:w="8340" w:type="dxa"/>
            <w:vAlign w:val="bottom"/>
          </w:tcPr>
          <w:p>
            <w:pPr>
              <w:ind w:left="36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9,787</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r>
      <w:tr>
        <w:trPr>
          <w:trHeight w:val="223"/>
        </w:trPr>
        <w:tc>
          <w:tcPr>
            <w:tcW w:w="83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r>
      <w:tr>
        <w:trPr>
          <w:trHeight w:val="223"/>
        </w:trPr>
        <w:tc>
          <w:tcPr>
            <w:tcW w:w="8340" w:type="dxa"/>
            <w:vAlign w:val="bottom"/>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(5,445)</w:t>
            </w:r>
          </w:p>
        </w:tc>
      </w:tr>
      <w:tr>
        <w:trPr>
          <w:trHeight w:val="229"/>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30,428</w:t>
            </w:r>
          </w:p>
        </w:tc>
      </w:tr>
      <w:tr>
        <w:trPr>
          <w:trHeight w:val="223"/>
        </w:trPr>
        <w:tc>
          <w:tcPr>
            <w:tcW w:w="8340" w:type="dxa"/>
            <w:vAlign w:val="bottom"/>
          </w:tcPr>
          <w:p>
            <w:pPr>
              <w:ind w:left="24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169,598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8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8340" w:type="dxa"/>
            <w:vAlign w:val="bottom"/>
          </w:tcPr>
          <w:p>
            <w:pPr>
              <w:ind w:left="240"/>
              <w:spacing w:after="0"/>
              <w:rPr>
                <w:sz w:val="20"/>
                <w:szCs w:val="20"/>
                <w:color w:val="auto"/>
              </w:rPr>
            </w:pPr>
            <w:r>
              <w:rPr>
                <w:rFonts w:ascii="Arial" w:cs="Arial" w:eastAsia="Arial" w:hAnsi="Arial"/>
                <w:sz w:val="18"/>
                <w:szCs w:val="18"/>
                <w:color w:val="auto"/>
              </w:rPr>
              <w:t>Income taxes paid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5"/>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 operations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Verona Pharma plc (the “Company”) is incorporated and domiciled in the United Kingdom. Verona Pharma plc has two wholly-owned subsidiaries, Verona Pharma, Inc., a Delaware corporation, and Rhinopharma Limited (“Rhinopharma”), a Canadian company. The address of the registered office is 1 Central Square, Cardiff, CF10 1FS, United Kingdom.</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is a clinical-stage biopharmaceutical group focused on developing and commercializing innovative therapeutics for the treatment of respiratory diseases with significant unmet medical needs. The Company’s American Depositary Shares (”ADSs”) are listed on Nasdaq, which trade under the symbol “VRNA”.</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has incurred recurring losses and negative cash flows from operations since inception, and has an accumulated deficit of $228.4 million as of March 31, 2021. The Company expects to incur additional losses and negative cash flows from operations until its products potentially gain regulatory approval and reach commercial profitability, if at all.</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expects that its cash and cash equivalents as of March 31, 2021, will be sufficient to fund its operating expenses and capital expenditure requirements for at least the next 12 months from the date of issuance.</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March 19, 2021, the Company entered into an open market sale agreement with respect to an at-the-market offering program (the “ATM Program”) under which the Company may issue and sell its ADSs, with an aggregate offering price of up to $100.0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unaudited condensed consolidated financial statements include the accounts of Verona Pharma plc and its wholly-owned subsidiaries Verona Pharma, Inc. and Rhinopharma. All inter-company balances and transactions have been eliminated.</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accompanying unaudited condensed consolidated financial statements included in this Quarterly Report on Form 10-Q and have been prepared in conformity with accounting principles generally accepted in the U.S. (“US GAAP”).</w:t>
      </w:r>
    </w:p>
    <w:p>
      <w:pPr>
        <w:spacing w:after="0" w:line="6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February 25, 2021 (the “2020 Form 10-K”). The balance sheet as of December 31, 2020 was derived from audited consolidated financial statements included in the 2020 Form 10-K but does not include all disclosures required by U.S. GAAP for complete financial statements. The Company’s significant accounting policies are described in Note 2 to those consolidated financial statements.</w:t>
      </w:r>
    </w:p>
    <w:p>
      <w:pPr>
        <w:spacing w:after="0" w:line="7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U.S. GAAP have been condensed or omitted from these interim financial statements. The unaudited condensed consolidated financial statements reflect all adjustments which in the opinion of management are necessary for a fair statement of results of operations, comprehensive income, financial condition, cash flows and stockholders' equity for the periods presented. Except as otherwise disclosed, all such adjustments are of a normal recurring nature. Operating results for the interim periods are not necessarily indicative of the results that may be expected for the full year.</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operating and reportable segment, pharmaceutical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preparation of interim unaudited condensed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unaudited condensed consolidated financial statements include, but are not limited to, the accrual and prepayment of research and development expenses, the fair value of share-based compensation and the fair value of warrants. Estimates are periodically reviewed in light of changes in circumstances, facts and experience. Changes in estimates are recorded in the period in which they become known. Actual results could differ from the Company’s estimates.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 and recent accounting standards not yet adopted</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are no recently adopted accounting standards and recent accounting standards not yet adopted that the Company believes will have a material impact on the Company’s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Prepaid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and other development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Total prepaid expenses and other current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w:t>
            </w:r>
          </w:p>
        </w:tc>
        <w:tc>
          <w:tcPr>
            <w:tcW w:w="0" w:type="dxa"/>
            <w:vAlign w:val="bottom"/>
          </w:tcPr>
          <w:p>
            <w:pPr>
              <w:spacing w:after="0"/>
              <w:rPr>
                <w:sz w:val="1"/>
                <w:szCs w:val="1"/>
                <w:color w:val="auto"/>
              </w:rPr>
            </w:pPr>
          </w:p>
        </w:tc>
      </w:tr>
      <w:tr>
        <w:trPr>
          <w:trHeight w:val="21"/>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4 - Tax and tax incentive receivables</w:t>
            </w: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40" w:type="dxa"/>
            <w:vAlign w:val="bottom"/>
          </w:tcPr>
          <w:p>
            <w:pPr>
              <w:spacing w:after="0"/>
              <w:rPr>
                <w:sz w:val="20"/>
                <w:szCs w:val="20"/>
                <w:color w:val="auto"/>
              </w:rPr>
            </w:pPr>
            <w:r>
              <w:rPr>
                <w:rFonts w:ascii="Arial" w:cs="Arial" w:eastAsia="Arial" w:hAnsi="Arial"/>
                <w:sz w:val="18"/>
                <w:szCs w:val="18"/>
                <w:color w:val="auto"/>
              </w:rPr>
              <w:t>Taxes receivable consisted of the following (in thousands):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24"/>
                <w:szCs w:val="24"/>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 receivable - U.K.</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Tax receivable - U.S.</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8"/>
        </w:trPr>
        <w:tc>
          <w:tcPr>
            <w:tcW w:w="8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tax receivable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5 - Accrued expenses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3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340" w:type="dxa"/>
            <w:vAlign w:val="bottom"/>
          </w:tcPr>
          <w:p>
            <w:pPr>
              <w:spacing w:after="0"/>
              <w:rPr>
                <w:sz w:val="20"/>
                <w:szCs w:val="20"/>
                <w:color w:val="auto"/>
              </w:rPr>
            </w:pPr>
            <w:r>
              <w:rPr>
                <w:rFonts w:ascii="Arial" w:cs="Arial" w:eastAsia="Arial" w:hAnsi="Arial"/>
                <w:sz w:val="18"/>
                <w:szCs w:val="18"/>
                <w:color w:val="auto"/>
              </w:rPr>
              <w:t>Accrued expenses consisted of the following (in thousands):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24"/>
                <w:szCs w:val="24"/>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trial and other development costs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Professional fees and general corporate costs</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2,149</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People related costs</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Total accrued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10,863</w:t>
            </w:r>
          </w:p>
        </w:tc>
        <w:tc>
          <w:tcPr>
            <w:tcW w:w="0" w:type="dxa"/>
            <w:vAlign w:val="bottom"/>
          </w:tcPr>
          <w:p>
            <w:pPr>
              <w:spacing w:after="0"/>
              <w:rPr>
                <w:sz w:val="1"/>
                <w:szCs w:val="1"/>
                <w:color w:val="auto"/>
              </w:rPr>
            </w:pPr>
          </w:p>
        </w:tc>
      </w:tr>
      <w:tr>
        <w:trPr>
          <w:trHeight w:val="21"/>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Other costs include people costs, professional fees and other accrued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Warrants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the periods ended March 31, 2021, and December 31, 2020, no warrants were exercised or forfeited. The warrants had no intrinsic value as at March 31, 2021.</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There have been no changes in valuation techniques or transfers between fair value measurement levels during the period ended March 31, 2021. They are measured at fair value and included at level 3 in the fair value hierarchy. The warrants are valued using the Black-Scholes model and the table below presents the assumptions used: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42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26"/>
        </w:trPr>
        <w:tc>
          <w:tcPr>
            <w:tcW w:w="77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7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614"/>
              <w:spacing w:after="0"/>
              <w:rPr>
                <w:sz w:val="20"/>
                <w:szCs w:val="20"/>
                <w:color w:val="auto"/>
              </w:rPr>
            </w:pPr>
            <w:r>
              <w:rPr>
                <w:rFonts w:ascii="Arial" w:cs="Arial" w:eastAsia="Arial" w:hAnsi="Arial"/>
                <w:sz w:val="14"/>
                <w:szCs w:val="14"/>
                <w:b w:val="1"/>
                <w:bCs w:val="1"/>
                <w:color w:val="auto"/>
              </w:rPr>
              <w:t>2020</w:t>
            </w:r>
          </w:p>
        </w:tc>
      </w:tr>
      <w:tr>
        <w:trPr>
          <w:trHeight w:val="26"/>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potentially issued under warrants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12,401,262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12,401,262</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Exercise price in pounds sterling</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1.7238</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4"/>
              <w:spacing w:after="0"/>
              <w:rPr>
                <w:sz w:val="20"/>
                <w:szCs w:val="20"/>
                <w:color w:val="auto"/>
              </w:rPr>
            </w:pPr>
            <w:r>
              <w:rPr>
                <w:rFonts w:ascii="Arial" w:cs="Arial" w:eastAsia="Arial" w:hAnsi="Arial"/>
                <w:sz w:val="18"/>
                <w:szCs w:val="18"/>
                <w:color w:val="auto"/>
              </w:rPr>
              <w:t>1.7238</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Expected term to exercise</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volatility</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105.4 %</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3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5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Calculated value of the warrants, in thousands of U.S. dollars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2,753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2,246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For the amount recognized at March 31, 2021, the effect when the following parameter deviates up or down is presented in the below table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volatility increase</w:t>
            </w:r>
          </w:p>
        </w:tc>
        <w:tc>
          <w:tcPr>
            <w:tcW w:w="4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r>
      <w:tr>
        <w:trPr>
          <w:trHeight w:val="230"/>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Base case, reported fair value</w:t>
            </w:r>
          </w:p>
        </w:tc>
        <w:tc>
          <w:tcPr>
            <w:tcW w:w="4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2,753</w:t>
            </w:r>
          </w:p>
        </w:tc>
      </w:tr>
      <w:tr>
        <w:trPr>
          <w:trHeight w:val="229"/>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 volatility decrease</w:t>
            </w:r>
          </w:p>
        </w:tc>
        <w:tc>
          <w:tcPr>
            <w:tcW w:w="43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Term loan</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November 2020, the Company entered into a term loan facility of up to $30.0 million (the “Term Loan”), consisting of advances of $5.0 million funded at closing and $10.0 million and $15.0 million contingent upon achievement of certain clinical development milestones and other specified conditions. As at March 31, 2021, the Company had $5.0 million principal outstanding under the Term Loan.</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at March 31, 2021, the carrying value of the Term Loan was approximately $4.7 million, of which all was due in more than 12 months. The debt balance has been categorized within Level 3 of the fair value hierarchy. The carrying amount of the debt approximates its fair value based on prevailing interest rates as at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Share-based compensation</w:t>
      </w:r>
    </w:p>
    <w:p>
      <w:pPr>
        <w:spacing w:after="0" w:line="20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shows the allocation of share-based compensation between research and development and general and administrative costs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4"/>
          </w:tcPr>
          <w:p>
            <w:pPr>
              <w:jc w:val="right"/>
              <w:ind w:right="39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Share options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0"/>
                <w:szCs w:val="20"/>
                <w:color w:val="auto"/>
              </w:rPr>
            </w:pPr>
            <w:r>
              <w:rPr>
                <w:rFonts w:ascii="Arial" w:cs="Arial" w:eastAsia="Arial" w:hAnsi="Arial"/>
                <w:sz w:val="18"/>
                <w:szCs w:val="18"/>
                <w:color w:val="auto"/>
              </w:rPr>
              <w:t>The following table shows share option activity in the period: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3"/>
              </w:rPr>
              <w:t>Number of share</w:t>
            </w:r>
          </w:p>
        </w:tc>
        <w:tc>
          <w:tcPr>
            <w:tcW w:w="140" w:type="dxa"/>
            <w:vAlign w:val="bottom"/>
          </w:tcPr>
          <w:p>
            <w:pPr>
              <w:spacing w:after="0"/>
              <w:rPr>
                <w:sz w:val="13"/>
                <w:szCs w:val="13"/>
                <w:color w:val="auto"/>
              </w:rPr>
            </w:pPr>
          </w:p>
        </w:tc>
        <w:tc>
          <w:tcPr>
            <w:tcW w:w="1260" w:type="dxa"/>
            <w:vAlign w:val="bottom"/>
          </w:tcPr>
          <w:p>
            <w:pPr>
              <w:jc w:val="center"/>
              <w:ind w:right="38"/>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options outstanding</w:t>
            </w:r>
          </w:p>
        </w:tc>
        <w:tc>
          <w:tcPr>
            <w:tcW w:w="140" w:type="dxa"/>
            <w:vAlign w:val="bottom"/>
          </w:tcPr>
          <w:p>
            <w:pPr>
              <w:spacing w:after="0"/>
              <w:rPr>
                <w:sz w:val="16"/>
                <w:szCs w:val="16"/>
                <w:color w:val="auto"/>
              </w:rPr>
            </w:pPr>
          </w:p>
        </w:tc>
        <w:tc>
          <w:tcPr>
            <w:tcW w:w="12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exercise price</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13,125,672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(996,720)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March 31</w:t>
            </w:r>
          </w:p>
        </w:tc>
        <w:tc>
          <w:tcPr>
            <w:tcW w:w="1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12,128,952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Restricted stock units activity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834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8340" w:type="dxa"/>
            <w:vAlign w:val="bottom"/>
          </w:tcPr>
          <w:p>
            <w:pPr>
              <w:spacing w:after="0"/>
              <w:rPr>
                <w:sz w:val="20"/>
                <w:szCs w:val="20"/>
                <w:color w:val="auto"/>
              </w:rPr>
            </w:pPr>
            <w:r>
              <w:rPr>
                <w:rFonts w:ascii="Arial" w:cs="Arial" w:eastAsia="Arial" w:hAnsi="Arial"/>
                <w:sz w:val="18"/>
                <w:szCs w:val="18"/>
                <w:color w:val="auto"/>
              </w:rPr>
              <w:t>The following table shows restricted stock unit (“RSU”) activity in the period:</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8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8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center"/>
              <w:ind w:right="38"/>
              <w:spacing w:after="0" w:line="160"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62"/>
        </w:trPr>
        <w:tc>
          <w:tcPr>
            <w:tcW w:w="8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Number of RSUs</w:t>
            </w:r>
          </w:p>
        </w:tc>
        <w:tc>
          <w:tcPr>
            <w:tcW w:w="140" w:type="dxa"/>
            <w:vAlign w:val="bottom"/>
          </w:tcPr>
          <w:p>
            <w:pPr>
              <w:spacing w:after="0"/>
              <w:rPr>
                <w:sz w:val="14"/>
                <w:szCs w:val="14"/>
                <w:color w:val="auto"/>
              </w:rPr>
            </w:pPr>
          </w:p>
        </w:tc>
        <w:tc>
          <w:tcPr>
            <w:tcW w:w="126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26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(years)</w:t>
            </w:r>
          </w:p>
        </w:tc>
        <w:tc>
          <w:tcPr>
            <w:tcW w:w="0" w:type="dxa"/>
            <w:vAlign w:val="bottom"/>
          </w:tcPr>
          <w:p>
            <w:pPr>
              <w:spacing w:after="0"/>
              <w:rPr>
                <w:sz w:val="1"/>
                <w:szCs w:val="1"/>
                <w:color w:val="auto"/>
              </w:rPr>
            </w:pPr>
          </w:p>
        </w:tc>
      </w:tr>
      <w:tr>
        <w:trPr>
          <w:trHeight w:val="25"/>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January 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61,992,360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750,928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Outstanding at March 31</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62,301,984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Net loss per share</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loss per share is calculated on an ordinary share basis. The Company’s ADSs that are listed on the Nasdaq Global Market each represent eight ordinary shares.The following table shows the computation of basic and diluted earnings per share for the periods ended March 31, 2021 and 2020 (net loss in thousands, loss per share in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8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available to ordinary shareholders - basic and 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 - basic and diluted</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469,465,085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105,453,364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 - basic and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periods ended March 31, 2021 and 2020, outstanding share options, RSUs and warrants of 77,584,846 and 35,669,750, respectively, were not included in the computation of diluted earnings per ordinary share, because to do so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for the year ended December 31, 2020 filed with the Securities and Exchange Commission on February 25, 2021 (the “2020 Form 10-K”).</w:t>
      </w:r>
    </w:p>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w:t>
      </w:r>
    </w:p>
    <w:p>
      <w:pPr>
        <w:spacing w:after="0" w:line="67" w:lineRule="exact"/>
        <w:rPr>
          <w:sz w:val="20"/>
          <w:szCs w:val="20"/>
          <w:color w:val="auto"/>
        </w:rPr>
      </w:pPr>
    </w:p>
    <w:p>
      <w:pPr>
        <w:jc w:val="both"/>
        <w:spacing w:after="0" w:line="225" w:lineRule="auto"/>
        <w:rPr>
          <w:sz w:val="20"/>
          <w:szCs w:val="20"/>
          <w:color w:val="auto"/>
        </w:rPr>
      </w:pPr>
      <w:r>
        <w:rPr>
          <w:rFonts w:ascii="Arial" w:cs="Arial" w:eastAsia="Arial" w:hAnsi="Arial"/>
          <w:sz w:val="18"/>
          <w:szCs w:val="18"/>
          <w:i w:val="1"/>
          <w:iCs w:val="1"/>
          <w:color w:val="auto"/>
        </w:rPr>
        <w:t>All statements other than statements of historical facts contained in this Quarterly Report on Form 10-Q, including without limitation statements regarding our future results of operations and financial position, business strategy and plans and objectives of management for future operations, the development of ensifentrine or any other product candidates, including statements regarding the expected initiation, timing, progress and availability of data from our clinical trials and potential regulatory approvals,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from cash receipts from U.K. tax credits, and the sufficiency of our cash and cash equivalents to fund operations, are forward-looking statements.</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i w:val="1"/>
          <w:iCs w:val="1"/>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assumptions, and other important factors including, but not limited to, those set forth under Part I, Item 1A of the 2020 Form 10-K under the heading “Risk Factors”. Because forward-looking statements are inherently subject to risks and uncertainties, some of which cannot be predicted or quantified and some of which are beyond our control, you should not rely on these forward-looking statements as predictions of future events.</w:t>
      </w:r>
    </w:p>
    <w:p>
      <w:pPr>
        <w:spacing w:after="0" w:line="5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i w:val="1"/>
          <w:iCs w:val="1"/>
          <w:color w:val="auto"/>
        </w:rPr>
        <w:t>Except as required by applicable law, we do not plan to publicly update or revise any forward-looking statements contained herein, whether as a result of any new information, future events, changed circumstances or otherwise. We intend the forward-looking statements contained in this Quarterly Report on Form 10-Q to be covered by the safe harbor provisions for forward-looking statements contained in Section 27A of the Securities Act and Section 21E of the Securities Exchange Act of 1934, as amended (the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 Our product candidate, ensifentrine, is an investigational, potential first-in-class, inhaled, dual inhibitor of the enzymes phosphodiesterase 3 and 4, or PDE3 and PDE4, that is designed to act as both a bronchodilator and an anti-inflammatory agent. In the third quarter of 2020, we commenced our Phase 3 ENHANCE (“Ensifentrine as a Novel inHAled Nebulized COPD thErapy”) trials and, if approved, we intend to commercialize ensifentrine for the maintenance treatment of chronic obstructive pulmonary disease (“COPD”) for the nebulized formulation in the United States.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incurred recurring losses and negative cash flows from operations since inception, and have an accumulated deficit of $228.4 million as of March 31, 2021. We expect to incur additional losses and negative cash flows from operations until our product candidates potentially gain regulatory approval and reach commercial profitability, if at all.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significantly in connection with our ongoing activities, as we:</w:t>
      </w:r>
    </w:p>
    <w:p>
      <w:pPr>
        <w:spacing w:after="0" w:line="9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invest in the clinical development of ensifentrine for the treatment of COPD;</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manufacture ensifentrine and engage in other Chemistry, Manufacturing and Control activities;</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90"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 our commercial insights and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8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believe that our cash and cash equivalents as of March 31, 2021, together with funding expected to become available under the $30.0 million debt financing facility secured in November 2020 and from cash receipts from U.K. tax credits, will enable us to fund our planned operating expenses and capital expenditure requirements into 2023.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update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February 2021, we announced positive Phase 2 efficacy and safety data with a pressurized metered-dose inhaler (“pMDI”) formulation of ensifentrine in patients with moderate to severe COPD. The primary and secondary lung function endpoints were achieved and the data support twice-daily dosing. The ensifentrine pMDI formulation was well tolerated at each dose with an adverse event profile similar to placebo.</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On April 23, 2021, we announced that data from a pilot study of the ensifentrine pMDI formulation showed that ensifentrine was well tolerated in patients infected with SARS-CoV-2, the virus that causes COVID-19. The trial was not powered to identify statistically significant efficacy outcomes and no clinical efficacy benefit with ensifentrine treatment added on to standard of care was observed in the trial. One patient death was reported in the ensifentrine treatment group. We do not currently plan to conduct further studies of ensifentrine in the treatment of COVID-19.</w:t>
      </w:r>
    </w:p>
    <w:p>
      <w:pPr>
        <w:spacing w:after="0" w:line="63"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have continued to enroll patients in the two Phase 3 trials underway in our ENHANCE program, and based on our projections, we continue to expect to complete enrollment in both studies in the second half of 2021 and to report top-line data from ENHANCE-2 in the first half of 2022 and from ENHANCE-1 in the second half of 2022. With the pandemic and government and other measures in response impacting a number of clinical trial activities, we are continuing to monitor these timelines.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update</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hold rights in the major markets relating to certain respirable formulations comprising ensifentrine for treating respiratory disorders, as well as a crystalline form of ensifentrine, combinations of ensifentrine with certain respiratory drugs, certain salts of ensifentrine, ensifentrine for use in the treatment of cystic fibrosis, and a method of making ensifentrine.</w:t>
      </w:r>
    </w:p>
    <w:p>
      <w:pPr>
        <w:spacing w:after="0" w:line="6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of March 31, 2021, our patent portfolio consisted of nine issued U.S. patents, three pending U.S. patent applications, forty-eight issued foreign patents and fifty-three pending foreign applications including three patent applications made under the Patent Cooperation Treaty. These patents and patent applications include claims directed to certain respirable formulations comprising ensifentrine, a crystalline form of ensifentrine, combinations of ensifentrine with certain respiratory drugs, certain salts of ensifentrine, ensifentrine for use in the treatment of cystic fibrosis, and a method of making ensifentrine, with expected expiry dates up to 2041.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closely monitoring the potential impact of the COVID-19 pandemic on our operations and clinical trials, in particular the timelines and costs of our Phase 3 clinical program. The pandemic and government and other measures in response are impacting a number of clinical trial activities and we will provide an update if we become aware of any meaningful disruption caused by the pandemic to our clinical trials.</w:t>
      </w:r>
    </w:p>
    <w:p>
      <w:pPr>
        <w:spacing w:after="0" w:line="6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To help protect the health and safety of the patients, caregivers and healthcare professionals involved in our clinical trials, as well as our employees and independent contractors, we continue to follow guidance from the FDA and other health regulatory authorities regarding the conduct of clinical trials during the COVID-19 pandemic to ensure the safety of study participants, minimize risks to study integrity, and maintain compliance with good clinical practice.</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We are closely monitoring activities at our contract manufacturers associated with clinical supply for our clinical trials, and are satisfied that appropriate plans and procedures are in place to ensure uninterrupted future supply of ensifentrine to the clinical trial sites, subject to potential limitations on their operations and on the supply chain due to the COVID-19 pandemic. We continue to monitor this situation and will provide an update if we become aware of any meaningful disruption caused by the pandemic to the clinical supply of ensifentrine for our clinical trials.</w:t>
      </w:r>
    </w:p>
    <w:p>
      <w:pPr>
        <w:spacing w:after="0" w:line="6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also implemented measures to help keep the our employees, families, and local communities healthy and safe. All employees are working remotely and all business travel has been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contracts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Ligand agreement</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”Licensed Products”) developed using Ligand Patents, Ligand know-how and the physical stock of certain compounds.</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contingent liability comprises a milestone payment on obtaining the first approval of any regulatory authority for the commercialization of a Licensed Product, low single digit royalties based on the future sales performance of all Licensed Products and a portion equal to a mid-twenty percent of any consideration received from any sub-licensees for the Ligand Patents and for Ligand know-how.</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time of the acquisition the contingent liability was not recognized as part of the acquisition accounting as it was immaterial. We will therefore record as a research and development expense the milestone payment or royalties when they are payable.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On July 29, 2016, as part of a private placement we issued warrants to investors. The warrant holders can subscribe for an ordinary share at a per share exercise price of £1.7238. They can also opt for a cashless exercise of their warrants whereby they can choose to exchange the warrants held for a reduced number of warrants exercisable at nil consideration.</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after a transaction, should the warrants be exercisable for unlisted securities, the warrant holders may demand a cash payment instead of the delivery of the underlying securities. Accordingly, they are accounted for as a liability under ASC 480 “Distinguishing Liabilities from Equity” and recorded at fair value using the Black-Scholes valuation methodology, on recognition and at each reporting date. The warrants are currently exercisable and may be exercised by the holders until April 2022 when the warrant instruments may either be exercised, cashlessly exercised, or expire.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 November 2020 we entered into the Term Loan. See “Indebtedness”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0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liabilities, the disclosure of contingent assets and liabilities at the date of the financial statements and the reported amounts of expenses during the reporting periods. Significant estimates and assumptions reflected in these consolidated financial statements include, but are not limited to, the accrual and prepayment of research and development expenses, the fair value of share-based compensation and the fair value of warrants. Estimates are periodically reviewed in light of changes in circumstances, facts and experience. Changes in estimates are recorded in the period in which they become known. Actual results could differ from our estimates. The accounting policies considered to be critical to the judgments and estimates used in the preparation of our financial statements are disclosed in the Management’s Discussion and Analysis of Financial Condition and Results of Operations included in our 2020 Form 10-K. There have been no material changes to that information disclosed in our 2020 Form 10-K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9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our ongoing Phase 3 clinical trials for ensifentrine for the maintenance treatment of COPD;</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the clinical development of our DPI and pMDI formulations of ensifentrine and research and develop other formulations of ensifentrine;</w:t>
      </w:r>
    </w:p>
    <w:p>
      <w:pPr>
        <w:spacing w:after="0" w:line="101" w:lineRule="exact"/>
        <w:rPr>
          <w:rFonts w:ascii="Arial" w:cs="Arial" w:eastAsia="Arial" w:hAnsi="Arial"/>
          <w:sz w:val="17"/>
          <w:szCs w:val="17"/>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and conduct further clinical trials for ensifentrine for the treatment of acute COPD, CF or any other indication;</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and progress pre-clinical studies relating to other potential indications of ensifentrine;</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90"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90"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61" w:lineRule="exact"/>
        <w:rPr>
          <w:rFonts w:ascii="Arial" w:cs="Arial" w:eastAsia="Arial" w:hAnsi="Arial"/>
          <w:sz w:val="18"/>
          <w:szCs w:val="18"/>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90" w:lineRule="exact"/>
        <w:rPr>
          <w:rFonts w:ascii="Arial" w:cs="Arial" w:eastAsia="Arial" w:hAnsi="Arial"/>
          <w:sz w:val="18"/>
          <w:szCs w:val="18"/>
          <w:color w:val="auto"/>
        </w:rPr>
      </w:pPr>
    </w:p>
    <w:p>
      <w:pPr>
        <w:ind w:left="340" w:hanging="332"/>
        <w:spacing w:after="0" w:line="274"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color w:val="auto"/>
        </w:rPr>
        <w:t>add clinical, scientific, operational, financial and management information systems and personnel, including personnel to support our product development and potential future commercialization efforts and to support our continuing operations as a U.S. public company; or</w:t>
      </w:r>
    </w:p>
    <w:p>
      <w:pPr>
        <w:spacing w:after="0" w:line="39" w:lineRule="exact"/>
        <w:rPr>
          <w:rFonts w:ascii="Arial" w:cs="Arial" w:eastAsia="Arial" w:hAnsi="Arial"/>
          <w:sz w:val="17"/>
          <w:szCs w:val="17"/>
          <w:color w:val="auto"/>
        </w:rPr>
      </w:pPr>
    </w:p>
    <w:p>
      <w:pPr>
        <w:ind w:left="340" w:hanging="332"/>
        <w:spacing w:after="0" w:line="246"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experience any delays or encounter any issues from any of the above, including but not limited to failed studies, complex results, safety issues or other regulatory challenges.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stock option plan. The largest component of third party costs is for clinical trials, as well as manufacturing for clinical supplies and associated development, and pre-clinical studies. Research and development costs are expensed as incurred.</w:t>
      </w:r>
    </w:p>
    <w:p>
      <w:pPr>
        <w:spacing w:after="0" w:line="67"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We expect our research and development costs to significantly increase in the near future as we progress our ENHANCE program. Due to the nature of research and development, the expected costs are inherently uncertain and may vary significantly from our current expectations.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General and administrative costs consist of salary and personnel related costs, including share-based compensation, expenses relating to operating as a public company, including professional fees, insurance and commercial related costs, as well as other operating expenses.</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expect commercial costs to increase as we continue to develop our potential commercial operations and, in the event of successful regulatory approval, we expect to incur sales force, marketing and other launch related costs. As we develop our knowledge of the market and refine our commercialization plans, expected costs may vary significantly from our current expectations.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(expense)</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 / (expense) are driven by interest income and expense, the fair value movement of the warrant liability, foreign exchange movements on cash and cash equivalents, and the U.K. research and development tax credits.</w:t>
      </w:r>
    </w:p>
    <w:p>
      <w:pPr>
        <w:spacing w:after="0" w:line="6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are entitled to participate in the U.K. Small and Medium Enterprises research and development tax relief program. The tax credits are calculated as a percentage of qualifying research and development expenditure and are payable in cash by the U.K. government to the Company. Credits recorded in the 2021 financial year are expected to be received in the 2022 financial year.</w:t>
      </w:r>
    </w:p>
    <w:p>
      <w:pPr>
        <w:spacing w:after="0" w:line="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U.K. tax authorities have reviewed legislation and have proposed to cap the amount payable in the program to a multiple of employment taxes a company pays in the year in question, from January 1, 2022. We are currently reviewing recent clarifications to these proposed changes to review the effect on our financing strategy. It is possible that our tax credit for the 2022 financial year, payable in 2023, will be impacted by the cap. If the legislation is enacted as currently drafted, we estimate the potential cash received under this program could be approximately $6 million lower than before the changes.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subject to corporate taxation in the United States and the United Kingdom. We have generated losses since inception and have therefore not paid United Kingdom corporation tax. The income taxes presented in our consolidated statements of operations and comprehensive loss represents the tax impact from our operating activities in the United States, which generates taxable income based on intercompany service arrangements.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United Kingdom losses may be carried forward indefinitely to be offset against future taxable profits, subject to various utilization criteria and restrictions.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2021 and 2020</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In prior periods, we prepared our financial information in accordance with International Financial Reporting Standards as issued by the International Accounting Standards Board (“IFRS”), in pounds sterling. As a consequence of becoming a U.S. domestic issuer as of January 1, 2021, we are required to present our financial information in accordance with accounting principles generally accepted in the U.S. (“US GAAP”) and expressed in U.S. dollars from that date. The below financial information has been prepared in accordance with US GAAP. The financial information should not be expected to correspond to figures we have previously presented under IFRS, in pounds sterling.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statements of operations for the three months ended March 31,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13,574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7,622</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Other income / (expense)</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Benefit from research and development tax credit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Fair value movement on warrants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gain</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other income, net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(8,915)</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Research and development costs were $13.6 million for the three months ended March 31, 2021, compared to $7.6 million for the three months ended March 31, 2020, an increase of $6.0 million. This increase was primarily due to a $3.4 million increase in clinical trial and other development costs, as we progress our Phase 3 ENHANCE program, as well as a $2.9 million increase in share-based compensation charges.</w:t>
      </w:r>
    </w:p>
    <w:p>
      <w:pPr>
        <w:spacing w:after="0" w:line="57"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Development costs were higher during the three months ended March 31, 2021 due to costs associated with having randomized patients in our ongoing Phase 3 clinical trials. In the comparative period we had only one, smaller, trial in progress as well as startup costs for Phase 3 trials and close down costs for certain Phase 2 trials. Share-based compensation costs were higher during the three months ended March 31, 2021.</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costs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General and administrative costs were $9.3 million for the three months ended March 31, 2021 compared to $6.9 million for the three months ended March 31, 2020, an increase of $2.4 million.</w:t>
      </w:r>
    </w:p>
    <w:p>
      <w:pPr>
        <w:spacing w:after="0" w:line="6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increase was driven primarily by an $4.0 million increase in share-based compensation charges, as well as increased costs for Directors’ and Officers’ insurance, partially offset by severance and other executive change costs incurred in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 (expense)</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research and development tax credit for the three months ended March 31, 2021 was $2.1 million compared to a credit of $1.7 million for the three months ended March 31, 2020, an increase of $0.4 million. This increase is attributable to our higher qualifying expenditure on research and development in the three months ended March 31, 2021, compared to the comparative 2020 period, as we are randomizing patients in our Phase 3 trials.</w:t>
      </w:r>
    </w:p>
    <w:p>
      <w:pPr>
        <w:spacing w:after="0" w:line="4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recorded an expense of $0.5 million in the three months ended March 31, 2021, compared to a gain of $0.1 million in the comparative period relating to the fair value movements of the warrants, driven by the rise and fall of our share price in each period respectively, as in increase in the share price increases the fair value of the warrants.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9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loss was $21.3 million for the three months ended March 31, 2021, compared to $12.3 million for the three months ended March 31, 2020. The increase in net loss was primarily the result of the increase in operating costs and the fall in other income, net,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months ended March 31, 2021 and 2020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4"/>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8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the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157,558</w:t>
            </w:r>
          </w:p>
        </w:tc>
        <w:tc>
          <w:tcPr>
            <w:tcW w:w="0" w:type="dxa"/>
            <w:vAlign w:val="bottom"/>
          </w:tcPr>
          <w:p>
            <w:pPr>
              <w:spacing w:after="0"/>
              <w:rPr>
                <w:sz w:val="1"/>
                <w:szCs w:val="1"/>
                <w:color w:val="auto"/>
              </w:rPr>
            </w:pPr>
          </w:p>
        </w:tc>
      </w:tr>
      <w:tr>
        <w:trPr>
          <w:trHeight w:val="230"/>
        </w:trPr>
        <w:tc>
          <w:tcPr>
            <w:tcW w:w="6820" w:type="dxa"/>
            <w:vAlign w:val="bottom"/>
          </w:tcPr>
          <w:p>
            <w:pPr>
              <w:ind w:left="2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29"/>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29"/>
        </w:trPr>
        <w:tc>
          <w:tcPr>
            <w:tcW w:w="6820" w:type="dxa"/>
            <w:vAlign w:val="bottom"/>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w:t>
            </w:r>
          </w:p>
        </w:tc>
        <w:tc>
          <w:tcPr>
            <w:tcW w:w="0" w:type="dxa"/>
            <w:vAlign w:val="bottom"/>
          </w:tcPr>
          <w:p>
            <w:pPr>
              <w:spacing w:after="0"/>
              <w:rPr>
                <w:sz w:val="1"/>
                <w:szCs w:val="1"/>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the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169,598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144,615</w:t>
            </w:r>
          </w:p>
        </w:tc>
        <w:tc>
          <w:tcPr>
            <w:tcW w:w="0" w:type="dxa"/>
            <w:vAlign w:val="bottom"/>
          </w:tcPr>
          <w:p>
            <w:pPr>
              <w:spacing w:after="0"/>
              <w:rPr>
                <w:sz w:val="1"/>
                <w:szCs w:val="1"/>
                <w:color w:val="auto"/>
              </w:rPr>
            </w:pPr>
          </w:p>
        </w:tc>
      </w:tr>
      <w:tr>
        <w:trPr>
          <w:trHeight w:val="21"/>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Net cash used in operating activities increased to $18.6 million in the three months ended March 31, 2021, from $13.2 million during the same period in 2020 an increase of $5.4 million. Operating expenses increased by $8.4 million, of which $7.0 million was related to non-cash share-based compensation expenses. The remaining variance was due to the timing of supplier payments.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Net cash provided by investing activities decreased to nil in the three months ended March 31, 2021 from $9.8 million in the three months ended March 31, 2020, as in the prior period all funds were moved from short-term investments to cash.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There was no cash used in or provided by financing activities in either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do not currently have any approved products and have never generated any revenue from product sales or otherwise. To date, we have financed our operations primarily through the issuances of our equity securities, including warrants, and in 2020 from borrowings under the Term Loan. See “Indebtedness” for additional information.</w:t>
      </w:r>
    </w:p>
    <w:p>
      <w:pPr>
        <w:spacing w:after="0" w:line="6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have incurred recurring losses since inception, including net losses of $21.3 million for the three months ended March 31, 2021, and $65.1 million for the year ended December 31, 2020. As of March 31, 2021, we had an accumulated deficit of $228.4 million. We expect to continue to generate operating losses for the foreseeable future.</w:t>
      </w:r>
    </w:p>
    <w:p>
      <w:pPr>
        <w:spacing w:after="0" w:line="6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no ongoing material financing commitments, such as lines of credit or guarantees, that are expected to affect our liquidity over the next five years, other than leases and the Term Loan with Silicon Valley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market sale agreement</w:t>
      </w:r>
    </w:p>
    <w:p>
      <w:pPr>
        <w:spacing w:after="0" w:line="90"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On March 19, 2021,we entered into an open market sale agreement with Jefferies LLC (“Jefferies”) to sell shares of our ordinary shares, in the form of ADSs, with aggregate gross sales proceeds of up to $100.0 million, from time to time, through an “at the market” equity offering program under which Jefferies will act as sales agent (the “ATM Program”). As of March 31, 2021, we had not sold any shares under the ATM Program.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In November, 2020, we and Verona Pharma, Inc. entered into a term loan facility of up to $30.0 million with Silicon Valley Bank (the “Term Loan”), consisting of term loan advances in an aggregate amount of $5.0 million funded at closing, a term loan advance of an aggregate amount of $10.0 million available subject to certain terms and conditions and the achievement of a specific clinical milestone, and a term loan advance of an aggregate amount of $15 million contingent upon achievement of a specific clinical development milestone and other specified conditions. As at March 31, 2021, the Company had $5.0 million principal outstanding under the Term Loan. Additional detail surrounding the Term Loan is included under the caption “Management’s Discussion and Analysis of Financial Condition and Results of Operations” in our 2020 Form 10-K. There have been no material changes to that information disclosed in our 2020 Form 10-K during the three months ended March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believe that our cash and cash equivalents as of March 31, 2021, and together with funding expected to become available under both the Term Loan and from cash receipts from U.K. tax credits will enable us to fund our planned operating expenses and capital expenditure requirements into 2023. The Term Loan advances are contingent upon achievement of certain clinical development milestones and other specified conditions.</w:t>
      </w:r>
    </w:p>
    <w:p>
      <w:pPr>
        <w:spacing w:after="0" w:line="16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We will require significant additional capital to further advance clinical and regulatory activities, to fund prelaunch and launch related costs and to create an effective sales and marketing organization to commercialize ensifentrine. We will need to seek additional funding through public or private financings, debt financing, collaboration or licensing agreements and other arrangements. However, there is no guarantee that we will be successful in securing additional finance on acceptable terms, or at all.</w:t>
      </w:r>
    </w:p>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the ownership interest of our shareholders and ADS holders will be diluted, and the terms of these securities may include liquidation or other preferences that adversely affect such holders’ rights as a shareholder or ADS holder. 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our security holders’ ownership interests.</w:t>
      </w:r>
    </w:p>
    <w:p>
      <w:pPr>
        <w:spacing w:after="0" w:line="6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for ensifentrine or any future product candidates will depend on many factors, including:</w:t>
      </w:r>
    </w:p>
    <w:p>
      <w:pPr>
        <w:spacing w:after="0" w:line="90" w:lineRule="exact"/>
        <w:rPr>
          <w:sz w:val="20"/>
          <w:szCs w:val="20"/>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progress, timing and completion of pre-clinical testing and clinical trials for ensifentrine or any future product candidates and the potential that we may be required to conduct additional clinical trials for ensifentrine;</w:t>
      </w:r>
    </w:p>
    <w:p>
      <w:pPr>
        <w:spacing w:after="0" w:line="61"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potential new product candidates we decide to in-license and develop;</w:t>
      </w:r>
    </w:p>
    <w:p>
      <w:pPr>
        <w:spacing w:after="0" w:line="90"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ensifentrine or any future product candidates;</w:t>
      </w:r>
    </w:p>
    <w:p>
      <w:pPr>
        <w:spacing w:after="0" w:line="61"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involved in filing patent applications and maintaining and enforcing patents or defending against claims or infringements raised by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84" w:lineRule="exact"/>
        <w:rPr>
          <w:sz w:val="20"/>
          <w:szCs w:val="20"/>
          <w:color w:val="auto"/>
        </w:rPr>
      </w:pPr>
    </w:p>
    <w:p>
      <w:pPr>
        <w:ind w:left="340" w:hanging="332"/>
        <w:spacing w:after="0" w:line="274" w:lineRule="auto"/>
        <w:tabs>
          <w:tab w:leader="none" w:pos="33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time and costs involved in obtaining regulatory approvals for ensifentrine or any future product candidate we develop and any delays we may encounter as a result of evolving regulatory requirements or adverse results with respect to ensifentrine or any future product candidates;</w:t>
      </w:r>
    </w:p>
    <w:p>
      <w:pPr>
        <w:spacing w:after="0" w:line="39" w:lineRule="exact"/>
        <w:rPr>
          <w:rFonts w:ascii="Arial" w:cs="Arial" w:eastAsia="Arial" w:hAnsi="Arial"/>
          <w:sz w:val="17"/>
          <w:szCs w:val="17"/>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licensing or milestone fees we might have to pay during future development of ensifentrine or any future product candidates;</w:t>
      </w:r>
    </w:p>
    <w:p>
      <w:pPr>
        <w:spacing w:after="0" w:line="90" w:lineRule="exact"/>
        <w:rPr>
          <w:rFonts w:ascii="Arial" w:cs="Arial" w:eastAsia="Arial" w:hAnsi="Arial"/>
          <w:sz w:val="18"/>
          <w:szCs w:val="18"/>
          <w:color w:val="auto"/>
        </w:rPr>
      </w:pPr>
    </w:p>
    <w:p>
      <w:pPr>
        <w:ind w:left="340" w:hanging="332"/>
        <w:spacing w:after="0" w:line="246"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selling and marketing activities undertaken in connection with the anticipated commercialization of ensifentrine or any future product candidates, if approved, and costs involved in the creation of an effective sales and marketing organization; and</w:t>
      </w:r>
    </w:p>
    <w:p>
      <w:pPr>
        <w:spacing w:after="0" w:line="61" w:lineRule="exact"/>
        <w:rPr>
          <w:rFonts w:ascii="Arial" w:cs="Arial" w:eastAsia="Arial" w:hAnsi="Arial"/>
          <w:sz w:val="18"/>
          <w:szCs w:val="18"/>
          <w:color w:val="auto"/>
        </w:rPr>
      </w:pPr>
    </w:p>
    <w:p>
      <w:pPr>
        <w:ind w:left="340" w:right="20" w:hanging="332"/>
        <w:spacing w:after="0" w:line="246"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revenues, if any, we may derive either directly or in the form of royalty payments from future sales of ensifentrine or any future product candidates, if approved.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commercial revenues, if any, will be derived from sales of products that we do not expect to be commercially available for many years, if ever.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will need to obtain substantial additional funds to achieve our business objective.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We do not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a discussion of pending and recently adopted accounting pronouncements, see Note 2 to our consolidated financial statements included in the 2020 Form 10-K.</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a smaller reporting company as defined in Rule 12b-2 of the Exchange Act and are not required to provide the information otherwise required under this Item 3.</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90" w:lineRule="exact"/>
        <w:rPr>
          <w:sz w:val="20"/>
          <w:szCs w:val="20"/>
          <w:color w:val="auto"/>
        </w:rPr>
      </w:pPr>
    </w:p>
    <w:p>
      <w:pPr>
        <w:jc w:val="both"/>
        <w:ind w:right="20"/>
        <w:spacing w:after="0" w:line="231"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March 31, 2021, our disclosure controls and procedures were effective at the reasonable assurance level.</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quarter ended March 31,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Our risk factors have not changed materially from those described in Part I, Item 1A of the 2020 Form 10-K under the heading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360" w:type="dxa"/>
            <w:vAlign w:val="bottom"/>
          </w:tcPr>
          <w:p>
            <w:pPr>
              <w:spacing w:after="0"/>
              <w:rPr>
                <w:sz w:val="17"/>
                <w:szCs w:val="17"/>
                <w:color w:val="auto"/>
              </w:rPr>
            </w:pPr>
          </w:p>
        </w:tc>
        <w:tc>
          <w:tcPr>
            <w:tcW w:w="4480" w:type="dxa"/>
            <w:vAlign w:val="bottom"/>
            <w:gridSpan w:val="7"/>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20"/>
                <w:szCs w:val="20"/>
                <w:color w:val="auto"/>
              </w:rPr>
            </w:pPr>
          </w:p>
        </w:tc>
        <w:tc>
          <w:tcPr>
            <w:tcW w:w="4480" w:type="dxa"/>
            <w:vAlign w:val="bottom"/>
            <w:gridSpan w:val="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60" w:type="dxa"/>
            <w:vAlign w:val="bottom"/>
            <w:gridSpan w:val="2"/>
            <w:vMerge w:val="restart"/>
          </w:tcPr>
          <w:p>
            <w:pPr>
              <w:ind w:left="20"/>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Articles of Association, as amended and as currently in effect</w:t>
              </w:r>
            </w:hyperlink>
          </w:p>
        </w:tc>
        <w:tc>
          <w:tcPr>
            <w:tcW w:w="0" w:type="dxa"/>
            <w:vAlign w:val="bottom"/>
          </w:tcPr>
          <w:p>
            <w:pPr>
              <w:spacing w:after="0"/>
              <w:rPr>
                <w:sz w:val="1"/>
                <w:szCs w:val="1"/>
                <w:color w:val="auto"/>
              </w:rPr>
            </w:pPr>
          </w:p>
        </w:tc>
      </w:tr>
      <w:tr>
        <w:trPr>
          <w:trHeight w:val="129"/>
        </w:trPr>
        <w:tc>
          <w:tcPr>
            <w:tcW w:w="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20" w:type="dxa"/>
            <w:vAlign w:val="bottom"/>
            <w:tcBorders>
              <w:top w:val="single" w:sz="8" w:color="0000FF"/>
            </w:tcBorders>
            <w:gridSpan w:val="6"/>
            <w:vMerge w:val="restart"/>
          </w:tcPr>
          <w:p>
            <w:pPr>
              <w:spacing w:after="0"/>
              <w:rPr>
                <w:rFonts w:ascii="Arial" w:cs="Arial" w:eastAsia="Arial" w:hAnsi="Arial"/>
                <w:sz w:val="18"/>
                <w:szCs w:val="18"/>
                <w:color w:val="0000FF"/>
                <w:w w:val="97"/>
              </w:rPr>
            </w:pPr>
            <w:hyperlink w:anchor="page25">
              <w:r>
                <w:rPr>
                  <w:rFonts w:ascii="Arial" w:cs="Arial" w:eastAsia="Arial" w:hAnsi="Arial"/>
                  <w:sz w:val="18"/>
                  <w:szCs w:val="18"/>
                  <w:color w:val="0000FF"/>
                  <w:w w:val="97"/>
                </w:rPr>
                <w:t>Rule 13a-14(a)/15d-14(a) Certification of Chief Executive</w:t>
              </w:r>
            </w:hyperlink>
          </w:p>
        </w:tc>
        <w:tc>
          <w:tcPr>
            <w:tcW w:w="6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320" w:type="dxa"/>
            <w:vAlign w:val="bottom"/>
            <w:gridSpan w:val="2"/>
            <w:vMerge w:val="restart"/>
          </w:tcPr>
          <w:p>
            <w:pPr>
              <w:spacing w:after="0"/>
              <w:rPr>
                <w:rFonts w:ascii="Arial" w:cs="Arial" w:eastAsia="Arial" w:hAnsi="Arial"/>
                <w:sz w:val="18"/>
                <w:szCs w:val="18"/>
                <w:color w:val="0000FF"/>
                <w:w w:val="85"/>
              </w:rPr>
            </w:pPr>
            <w:hyperlink w:anchor="page25">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20" w:type="dxa"/>
            <w:vAlign w:val="bottom"/>
            <w:gridSpan w:val="6"/>
            <w:vMerge w:val="continue"/>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20" w:type="dxa"/>
            <w:vAlign w:val="bottom"/>
            <w:tcBorders>
              <w:bottom w:val="single" w:sz="8" w:color="0000FF"/>
            </w:tcBorders>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25">
              <w:r>
                <w:rPr>
                  <w:rFonts w:ascii="Arial" w:cs="Arial" w:eastAsia="Arial" w:hAnsi="Arial"/>
                  <w:sz w:val="18"/>
                  <w:szCs w:val="18"/>
                  <w:color w:val="0000FF"/>
                  <w:w w:val="94"/>
                </w:rPr>
                <w:t>Officer</w:t>
              </w:r>
            </w:hyperlink>
          </w:p>
        </w:tc>
        <w:tc>
          <w:tcPr>
            <w:tcW w:w="3680" w:type="dxa"/>
            <w:vAlign w:val="bottom"/>
            <w:tcBorders>
              <w:top w:val="single" w:sz="8" w:color="0000FF"/>
            </w:tcBorders>
            <w:gridSpan w:val="4"/>
          </w:tcPr>
          <w:p>
            <w:pPr>
              <w:spacing w:after="0"/>
              <w:rPr>
                <w:sz w:val="13"/>
                <w:szCs w:val="13"/>
                <w:color w:val="auto"/>
              </w:rPr>
            </w:pPr>
          </w:p>
        </w:tc>
        <w:tc>
          <w:tcPr>
            <w:tcW w:w="2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20" w:type="dxa"/>
            <w:vAlign w:val="bottom"/>
            <w:vMerge w:val="restart"/>
          </w:tcPr>
          <w:p>
            <w:pPr>
              <w:spacing w:after="0"/>
              <w:rPr>
                <w:sz w:val="24"/>
                <w:szCs w:val="24"/>
                <w:color w:val="auto"/>
              </w:rPr>
            </w:pPr>
          </w:p>
        </w:tc>
        <w:tc>
          <w:tcPr>
            <w:tcW w:w="320" w:type="dxa"/>
            <w:vAlign w:val="bottom"/>
            <w:gridSpan w:val="2"/>
            <w:vMerge w:val="restart"/>
          </w:tcPr>
          <w:p>
            <w:pPr>
              <w:spacing w:after="0"/>
              <w:rPr>
                <w:rFonts w:ascii="Arial" w:cs="Arial" w:eastAsia="Arial" w:hAnsi="Arial"/>
                <w:sz w:val="18"/>
                <w:szCs w:val="18"/>
                <w:color w:val="0000FF"/>
                <w:w w:val="85"/>
              </w:rPr>
            </w:pPr>
            <w:hyperlink w:anchor="page2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8"/>
                <w:szCs w:val="18"/>
                <w:color w:val="0000FF"/>
                <w:w w:val="99"/>
              </w:rPr>
            </w:pPr>
            <w:hyperlink w:anchor="page26">
              <w:r>
                <w:rPr>
                  <w:rFonts w:ascii="Arial" w:cs="Arial" w:eastAsia="Arial" w:hAnsi="Arial"/>
                  <w:sz w:val="18"/>
                  <w:szCs w:val="18"/>
                  <w:color w:val="0000FF"/>
                  <w:w w:val="99"/>
                </w:rPr>
                <w:t>Rule 13a-14(a)/15d-14(a) Certification of Chief Financial</w:t>
              </w:r>
            </w:hyperlink>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20" w:type="dxa"/>
            <w:vAlign w:val="bottom"/>
            <w:tcBorders>
              <w:bottom w:val="single" w:sz="8" w:color="0000FF"/>
            </w:tcBorders>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4"/>
              </w:rPr>
            </w:pPr>
            <w:hyperlink w:anchor="page26">
              <w:r>
                <w:rPr>
                  <w:rFonts w:ascii="Arial" w:cs="Arial" w:eastAsia="Arial" w:hAnsi="Arial"/>
                  <w:sz w:val="18"/>
                  <w:szCs w:val="18"/>
                  <w:color w:val="0000FF"/>
                  <w:w w:val="94"/>
                </w:rPr>
                <w:t>Officer</w:t>
              </w:r>
            </w:hyperlink>
          </w:p>
        </w:tc>
        <w:tc>
          <w:tcPr>
            <w:tcW w:w="3640" w:type="dxa"/>
            <w:vAlign w:val="bottom"/>
            <w:tcBorders>
              <w:top w:val="single" w:sz="8" w:color="0000FF"/>
            </w:tcBorders>
            <w:gridSpan w:val="3"/>
          </w:tcPr>
          <w:p>
            <w:pPr>
              <w:spacing w:after="0"/>
              <w:rPr>
                <w:sz w:val="13"/>
                <w:szCs w:val="13"/>
                <w:color w:val="auto"/>
              </w:rPr>
            </w:pPr>
          </w:p>
        </w:tc>
        <w:tc>
          <w:tcPr>
            <w:tcW w:w="3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20" w:type="dxa"/>
            <w:vAlign w:val="bottom"/>
            <w:gridSpan w:val="2"/>
          </w:tcPr>
          <w:p>
            <w:pPr>
              <w:spacing w:after="0"/>
              <w:rPr>
                <w:rFonts w:ascii="Arial" w:cs="Arial" w:eastAsia="Arial" w:hAnsi="Arial"/>
                <w:sz w:val="18"/>
                <w:szCs w:val="18"/>
                <w:color w:val="0000FF"/>
                <w:w w:val="85"/>
              </w:rPr>
            </w:pPr>
            <w:hyperlink w:anchor="page27">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80" w:type="dxa"/>
            <w:vAlign w:val="bottom"/>
            <w:gridSpan w:val="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Section 1350 Certification of Chief Executive Officer</w:t>
              </w:r>
            </w:hyperlink>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85"/>
              </w:rPr>
            </w:pPr>
            <w:hyperlink w:anchor="page28">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3"/>
              </w:rPr>
            </w:pPr>
            <w:hyperlink w:anchor="page28">
              <w:r>
                <w:rPr>
                  <w:rFonts w:ascii="Arial" w:cs="Arial" w:eastAsia="Arial" w:hAnsi="Arial"/>
                  <w:sz w:val="18"/>
                  <w:szCs w:val="18"/>
                  <w:color w:val="0000FF"/>
                  <w:w w:val="93"/>
                </w:rPr>
                <w:t>Section 1350 Certification of Chief Financial Officer</w:t>
              </w:r>
            </w:hyperlink>
          </w:p>
        </w:tc>
        <w:tc>
          <w:tcPr>
            <w:tcW w:w="40" w:type="dxa"/>
            <w:vAlign w:val="bottom"/>
            <w:tcBorders>
              <w:top w:val="single" w:sz="8" w:color="0000FF"/>
            </w:tcBorders>
          </w:tcPr>
          <w:p>
            <w:pPr>
              <w:spacing w:after="0"/>
              <w:rPr>
                <w:sz w:val="24"/>
                <w:szCs w:val="24"/>
                <w:color w:val="auto"/>
              </w:rPr>
            </w:pPr>
          </w:p>
        </w:tc>
        <w:tc>
          <w:tcPr>
            <w:tcW w:w="6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w w:val="98"/>
              </w:rPr>
              <w:t>101.SCH</w:t>
            </w:r>
          </w:p>
        </w:tc>
        <w:tc>
          <w:tcPr>
            <w:tcW w:w="360" w:type="dxa"/>
            <w:vAlign w:val="bottom"/>
          </w:tcPr>
          <w:p>
            <w:pPr>
              <w:spacing w:after="0"/>
              <w:rPr>
                <w:sz w:val="19"/>
                <w:szCs w:val="19"/>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vMerge w:val="restart"/>
          </w:tcPr>
          <w:p>
            <w:pPr>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5"/>
                <w:szCs w:val="15"/>
                <w:color w:val="auto"/>
              </w:rPr>
            </w:pPr>
          </w:p>
        </w:tc>
        <w:tc>
          <w:tcPr>
            <w:tcW w:w="4480" w:type="dxa"/>
            <w:vAlign w:val="bottom"/>
            <w:gridSpan w:val="7"/>
          </w:tcPr>
          <w:p>
            <w:pPr>
              <w:spacing w:after="0" w:line="176" w:lineRule="exact"/>
              <w:rPr>
                <w:sz w:val="20"/>
                <w:szCs w:val="20"/>
                <w:color w:val="auto"/>
              </w:rPr>
            </w:pPr>
            <w:r>
              <w:rPr>
                <w:rFonts w:ascii="Arial" w:cs="Arial" w:eastAsia="Arial" w:hAnsi="Arial"/>
                <w:sz w:val="18"/>
                <w:szCs w:val="18"/>
                <w:color w:val="auto"/>
              </w:rPr>
              <w:t>Inline XBRL Taxonomy Extension Calculation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9"/>
                <w:szCs w:val="19"/>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w w:val="92"/>
              </w:rPr>
              <w:t>Inline XBRL Taxonomy Extension Label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vMerge w:val="restart"/>
          </w:tcPr>
          <w:p>
            <w:pPr>
              <w:spacing w:after="0"/>
              <w:rPr>
                <w:sz w:val="20"/>
                <w:szCs w:val="20"/>
                <w:color w:val="auto"/>
              </w:rPr>
            </w:pPr>
            <w:r>
              <w:rPr>
                <w:rFonts w:ascii="Arial" w:cs="Arial" w:eastAsia="Arial" w:hAnsi="Arial"/>
                <w:sz w:val="18"/>
                <w:szCs w:val="18"/>
                <w:color w:val="auto"/>
                <w:w w:val="99"/>
              </w:rPr>
              <w:t>101.PRE</w:t>
            </w:r>
          </w:p>
        </w:tc>
        <w:tc>
          <w:tcPr>
            <w:tcW w:w="360" w:type="dxa"/>
            <w:vAlign w:val="bottom"/>
          </w:tcPr>
          <w:p>
            <w:pPr>
              <w:spacing w:after="0"/>
              <w:rPr>
                <w:sz w:val="15"/>
                <w:szCs w:val="15"/>
                <w:color w:val="auto"/>
              </w:rPr>
            </w:pPr>
          </w:p>
        </w:tc>
        <w:tc>
          <w:tcPr>
            <w:tcW w:w="4480" w:type="dxa"/>
            <w:vAlign w:val="bottom"/>
            <w:gridSpan w:val="7"/>
          </w:tcPr>
          <w:p>
            <w:pPr>
              <w:spacing w:after="0" w:line="176" w:lineRule="exact"/>
              <w:rPr>
                <w:sz w:val="20"/>
                <w:szCs w:val="20"/>
                <w:color w:val="auto"/>
              </w:rPr>
            </w:pPr>
            <w:r>
              <w:rPr>
                <w:rFonts w:ascii="Arial" w:cs="Arial" w:eastAsia="Arial" w:hAnsi="Arial"/>
                <w:sz w:val="18"/>
                <w:szCs w:val="18"/>
                <w:color w:val="auto"/>
                <w:w w:val="98"/>
              </w:rPr>
              <w:t>Inline XBRL Taxonomy Extension Presentation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gridSpan w:val="3"/>
            <w:vMerge w:val="restart"/>
          </w:tcPr>
          <w:p>
            <w:pPr>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5"/>
                <w:szCs w:val="15"/>
                <w:color w:val="auto"/>
              </w:rPr>
            </w:pPr>
          </w:p>
        </w:tc>
        <w:tc>
          <w:tcPr>
            <w:tcW w:w="4480" w:type="dxa"/>
            <w:vAlign w:val="bottom"/>
            <w:gridSpan w:val="7"/>
          </w:tcPr>
          <w:p>
            <w:pPr>
              <w:spacing w:after="0" w:line="176"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4480" w:type="dxa"/>
            <w:vAlign w:val="bottom"/>
            <w:gridSpan w:val="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80" w:type="dxa"/>
            <w:vAlign w:val="bottom"/>
            <w:gridSpan w:val="7"/>
          </w:tcPr>
          <w:p>
            <w:pPr>
              <w:spacing w:after="0" w:line="176" w:lineRule="exact"/>
              <w:rPr>
                <w:sz w:val="20"/>
                <w:szCs w:val="20"/>
                <w:color w:val="auto"/>
              </w:rPr>
            </w:pPr>
            <w:r>
              <w:rPr>
                <w:rFonts w:ascii="Arial" w:cs="Arial" w:eastAsia="Arial" w:hAnsi="Arial"/>
                <w:sz w:val="18"/>
                <w:szCs w:val="18"/>
                <w:color w:val="auto"/>
                <w:w w:val="94"/>
              </w:rPr>
              <w:t>Cover Page Interactive Data File (formatted as Inline XBRL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8"/>
          </w:tcPr>
          <w:p>
            <w:pPr>
              <w:ind w:left="60"/>
              <w:spacing w:after="0"/>
              <w:rPr>
                <w:sz w:val="20"/>
                <w:szCs w:val="20"/>
                <w:color w:val="auto"/>
              </w:rPr>
            </w:pPr>
            <w:r>
              <w:rPr>
                <w:rFonts w:ascii="Arial" w:cs="Arial" w:eastAsia="Arial" w:hAnsi="Arial"/>
                <w:sz w:val="18"/>
                <w:szCs w:val="18"/>
                <w:color w:val="auto"/>
              </w:rPr>
              <w:t>104 and contained in Exhibit 101)</w:t>
            </w:r>
          </w:p>
        </w:tc>
        <w:tc>
          <w:tcPr>
            <w:tcW w:w="0" w:type="dxa"/>
            <w:vAlign w:val="bottom"/>
          </w:tcPr>
          <w:p>
            <w:pPr>
              <w:spacing w:after="0"/>
              <w:rPr>
                <w:sz w:val="1"/>
                <w:szCs w:val="1"/>
                <w:color w:val="auto"/>
              </w:rPr>
            </w:pPr>
          </w:p>
        </w:tc>
      </w:tr>
      <w:tr>
        <w:trPr>
          <w:trHeight w:val="404"/>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5340" w:type="dxa"/>
            <w:vAlign w:val="bottom"/>
            <w:gridSpan w:val="10"/>
          </w:tcPr>
          <w:p>
            <w:pPr>
              <w:ind w:left="2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97"/>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60" w:type="dxa"/>
            <w:vAlign w:val="bottom"/>
            <w:gridSpan w:val="9"/>
          </w:tcPr>
          <w:p>
            <w:pPr>
              <w:ind w:left="20"/>
              <w:spacing w:after="0"/>
              <w:rPr>
                <w:sz w:val="20"/>
                <w:szCs w:val="20"/>
                <w:color w:val="auto"/>
              </w:rPr>
            </w:pPr>
            <w:r>
              <w:rPr>
                <w:rFonts w:ascii="Arial" w:cs="Arial" w:eastAsia="Arial" w:hAnsi="Arial"/>
                <w:sz w:val="18"/>
                <w:szCs w:val="18"/>
                <w:color w:val="auto"/>
              </w:rPr>
              <w:t>Furnished 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47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Incorporated by Reference to Filings Indicated</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Filed /</w:t>
            </w:r>
          </w:p>
        </w:tc>
        <w:tc>
          <w:tcPr>
            <w:tcW w:w="0" w:type="dxa"/>
            <w:vAlign w:val="bottom"/>
          </w:tcPr>
          <w:p>
            <w:pPr>
              <w:spacing w:after="0"/>
              <w:rPr>
                <w:sz w:val="1"/>
                <w:szCs w:val="1"/>
                <w:color w:val="auto"/>
              </w:rPr>
            </w:pPr>
          </w:p>
        </w:tc>
      </w:tr>
      <w:tr>
        <w:trPr>
          <w:trHeight w:val="176"/>
        </w:trPr>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5"/>
              </w:rPr>
              <w:t>Form</w:t>
            </w:r>
          </w:p>
        </w:tc>
        <w:tc>
          <w:tcPr>
            <w:tcW w:w="26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File No.  Exhibit No.</w:t>
            </w:r>
          </w:p>
        </w:tc>
        <w:tc>
          <w:tcPr>
            <w:tcW w:w="1240" w:type="dxa"/>
            <w:vAlign w:val="bottom"/>
            <w:vMerge w:val="restart"/>
          </w:tcPr>
          <w:p>
            <w:pPr>
              <w:jc w:val="right"/>
              <w:ind w:right="130"/>
              <w:spacing w:after="0"/>
              <w:rPr>
                <w:sz w:val="20"/>
                <w:szCs w:val="20"/>
                <w:color w:val="auto"/>
              </w:rPr>
            </w:pPr>
            <w:r>
              <w:rPr>
                <w:rFonts w:ascii="Arial" w:cs="Arial" w:eastAsia="Arial" w:hAnsi="Arial"/>
                <w:sz w:val="18"/>
                <w:szCs w:val="18"/>
                <w:color w:val="auto"/>
              </w:rPr>
              <w:t>Filing date</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Furnished</w:t>
            </w:r>
          </w:p>
        </w:tc>
        <w:tc>
          <w:tcPr>
            <w:tcW w:w="0" w:type="dxa"/>
            <w:vAlign w:val="bottom"/>
          </w:tcPr>
          <w:p>
            <w:pPr>
              <w:spacing w:after="0"/>
              <w:rPr>
                <w:sz w:val="1"/>
                <w:szCs w:val="1"/>
                <w:color w:val="auto"/>
              </w:rPr>
            </w:pPr>
          </w:p>
        </w:tc>
      </w:tr>
      <w:tr>
        <w:trPr>
          <w:trHeight w:val="230"/>
        </w:trPr>
        <w:tc>
          <w:tcPr>
            <w:tcW w:w="400" w:type="dxa"/>
            <w:vAlign w:val="bottom"/>
            <w:vMerge w:val="continue"/>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Herewith</w:t>
            </w:r>
          </w:p>
        </w:tc>
        <w:tc>
          <w:tcPr>
            <w:tcW w:w="0" w:type="dxa"/>
            <w:vAlign w:val="bottom"/>
          </w:tcPr>
          <w:p>
            <w:pPr>
              <w:spacing w:after="0"/>
              <w:rPr>
                <w:sz w:val="1"/>
                <w:szCs w:val="1"/>
                <w:color w:val="auto"/>
              </w:rPr>
            </w:pPr>
          </w:p>
        </w:tc>
      </w:tr>
      <w:tr>
        <w:trPr>
          <w:trHeight w:val="445"/>
        </w:trPr>
        <w:tc>
          <w:tcPr>
            <w:tcW w:w="400" w:type="dxa"/>
            <w:vAlign w:val="bottom"/>
          </w:tcPr>
          <w:p>
            <w:pPr>
              <w:jc w:val="right"/>
              <w:spacing w:after="0"/>
              <w:rPr>
                <w:sz w:val="20"/>
                <w:szCs w:val="20"/>
                <w:color w:val="auto"/>
              </w:rPr>
            </w:pPr>
            <w:r>
              <w:rPr>
                <w:rFonts w:ascii="Arial" w:cs="Arial" w:eastAsia="Arial" w:hAnsi="Arial"/>
                <w:sz w:val="18"/>
                <w:szCs w:val="18"/>
                <w:color w:val="auto"/>
              </w:rPr>
              <w:t>6-K</w:t>
            </w:r>
          </w:p>
        </w:tc>
        <w:tc>
          <w:tcPr>
            <w:tcW w:w="1880" w:type="dxa"/>
            <w:vAlign w:val="bottom"/>
          </w:tcPr>
          <w:p>
            <w:pPr>
              <w:jc w:val="right"/>
              <w:ind w:right="350"/>
              <w:spacing w:after="0"/>
              <w:rPr>
                <w:sz w:val="20"/>
                <w:szCs w:val="20"/>
                <w:color w:val="auto"/>
              </w:rPr>
            </w:pPr>
            <w:r>
              <w:rPr>
                <w:rFonts w:ascii="Arial" w:cs="Arial" w:eastAsia="Arial" w:hAnsi="Arial"/>
                <w:sz w:val="18"/>
                <w:szCs w:val="18"/>
                <w:color w:val="auto"/>
              </w:rPr>
              <w:t>001-38067</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12/30/2020</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19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720" w:space="340"/>
            <w:col w:w="518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720" w:type="dxa"/>
            <w:vAlign w:val="bottom"/>
          </w:tcPr>
          <w:p>
            <w:pPr>
              <w:ind w:left="2000"/>
              <w:spacing w:after="0"/>
              <w:rPr>
                <w:sz w:val="20"/>
                <w:szCs w:val="20"/>
                <w:color w:val="auto"/>
              </w:rPr>
            </w:pPr>
            <w:r>
              <w:rPr>
                <w:rFonts w:ascii="Arial" w:cs="Arial" w:eastAsia="Arial" w:hAnsi="Arial"/>
                <w:sz w:val="18"/>
                <w:szCs w:val="18"/>
                <w:color w:val="auto"/>
              </w:rPr>
              <w:t>VERONA PHARMA PLC</w:t>
            </w:r>
          </w:p>
        </w:tc>
        <w:tc>
          <w:tcPr>
            <w:tcW w:w="3020" w:type="dxa"/>
            <w:vAlign w:val="bottom"/>
          </w:tcPr>
          <w:p>
            <w:pPr>
              <w:spacing w:after="0"/>
              <w:rPr>
                <w:sz w:val="20"/>
                <w:szCs w:val="20"/>
                <w:color w:val="auto"/>
              </w:rPr>
            </w:pPr>
          </w:p>
        </w:tc>
      </w:tr>
      <w:tr>
        <w:trPr>
          <w:trHeight w:val="533"/>
        </w:trPr>
        <w:tc>
          <w:tcPr>
            <w:tcW w:w="3480" w:type="dxa"/>
            <w:vAlign w:val="bottom"/>
          </w:tcPr>
          <w:p>
            <w:pPr>
              <w:spacing w:after="0"/>
              <w:rPr>
                <w:sz w:val="20"/>
                <w:szCs w:val="20"/>
                <w:color w:val="auto"/>
              </w:rPr>
            </w:pPr>
            <w:r>
              <w:rPr>
                <w:rFonts w:ascii="Arial" w:cs="Arial" w:eastAsia="Arial" w:hAnsi="Arial"/>
                <w:sz w:val="18"/>
                <w:szCs w:val="18"/>
                <w:color w:val="auto"/>
              </w:rPr>
              <w:t>Date: April 29, 2021</w:t>
            </w:r>
          </w:p>
        </w:tc>
        <w:tc>
          <w:tcPr>
            <w:tcW w:w="4720" w:type="dxa"/>
            <w:vAlign w:val="bottom"/>
          </w:tcPr>
          <w:p>
            <w:pPr>
              <w:ind w:left="200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Zaccardelli</w:t>
            </w:r>
          </w:p>
        </w:tc>
      </w:tr>
      <w:tr>
        <w:trPr>
          <w:trHeight w:val="243"/>
        </w:trPr>
        <w:tc>
          <w:tcPr>
            <w:tcW w:w="348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David Zaccardelli, Pharm. D.</w:t>
            </w:r>
          </w:p>
        </w:tc>
      </w:tr>
      <w:tr>
        <w:trPr>
          <w:trHeight w:val="257"/>
        </w:trPr>
        <w:tc>
          <w:tcPr>
            <w:tcW w:w="3480" w:type="dxa"/>
            <w:vAlign w:val="bottom"/>
          </w:tcPr>
          <w:p>
            <w:pPr>
              <w:spacing w:after="0"/>
              <w:rPr>
                <w:sz w:val="22"/>
                <w:szCs w:val="22"/>
                <w:color w:val="auto"/>
              </w:rPr>
            </w:pPr>
          </w:p>
        </w:tc>
        <w:tc>
          <w:tcPr>
            <w:tcW w:w="4720" w:type="dxa"/>
            <w:vAlign w:val="bottom"/>
          </w:tcPr>
          <w:p>
            <w:pPr>
              <w:spacing w:after="0"/>
              <w:rPr>
                <w:sz w:val="22"/>
                <w:szCs w:val="22"/>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w w:val="99"/>
              </w:rPr>
              <w:t>President and Chief Executive Officer</w:t>
            </w:r>
          </w:p>
        </w:tc>
      </w:tr>
      <w:tr>
        <w:trPr>
          <w:trHeight w:val="911"/>
        </w:trPr>
        <w:tc>
          <w:tcPr>
            <w:tcW w:w="3480" w:type="dxa"/>
            <w:vAlign w:val="bottom"/>
          </w:tcPr>
          <w:p>
            <w:pPr>
              <w:spacing w:after="0"/>
              <w:rPr>
                <w:sz w:val="20"/>
                <w:szCs w:val="20"/>
                <w:color w:val="auto"/>
              </w:rPr>
            </w:pPr>
            <w:r>
              <w:rPr>
                <w:rFonts w:ascii="Arial" w:cs="Arial" w:eastAsia="Arial" w:hAnsi="Arial"/>
                <w:sz w:val="18"/>
                <w:szCs w:val="18"/>
                <w:color w:val="auto"/>
              </w:rPr>
              <w:t>Date: April 29, 2021</w:t>
            </w:r>
          </w:p>
        </w:tc>
        <w:tc>
          <w:tcPr>
            <w:tcW w:w="4720" w:type="dxa"/>
            <w:vAlign w:val="bottom"/>
          </w:tcPr>
          <w:p>
            <w:pPr>
              <w:ind w:left="2000"/>
              <w:spacing w:after="0"/>
              <w:rPr>
                <w:sz w:val="20"/>
                <w:szCs w:val="20"/>
                <w:color w:val="auto"/>
              </w:rPr>
            </w:pPr>
            <w:r>
              <w:rPr>
                <w:rFonts w:ascii="Arial" w:cs="Arial" w:eastAsia="Arial" w:hAnsi="Arial"/>
                <w:sz w:val="18"/>
                <w:szCs w:val="18"/>
                <w:color w:val="auto"/>
              </w:rPr>
              <w:t>By:</w:t>
            </w:r>
          </w:p>
        </w:tc>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W. Hahn</w:t>
            </w:r>
          </w:p>
        </w:tc>
      </w:tr>
      <w:tr>
        <w:trPr>
          <w:trHeight w:val="243"/>
        </w:trPr>
        <w:tc>
          <w:tcPr>
            <w:tcW w:w="348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Mark W. Hahn</w:t>
            </w:r>
          </w:p>
        </w:tc>
      </w:tr>
      <w:tr>
        <w:trPr>
          <w:trHeight w:val="364"/>
        </w:trPr>
        <w:tc>
          <w:tcPr>
            <w:tcW w:w="34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23</w:t>
      </w:r>
    </w:p>
    <w:p>
      <w:pPr>
        <w:sectPr>
          <w:pgSz w:w="11900" w:h="16838" w:orient="portrait"/>
          <w:cols w:equalWidth="0" w:num="1">
            <w:col w:w="11240"/>
          </w:cols>
          <w:pgMar w:left="320" w:top="1440"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Zaccardelli, Pharm.D.,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Verona Pharma plc;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w:t>
      </w:r>
    </w:p>
    <w:p>
      <w:pPr>
        <w:spacing w:after="0" w:line="34" w:lineRule="exact"/>
        <w:rPr>
          <w:rFonts w:ascii="Arial" w:cs="Arial" w:eastAsia="Arial" w:hAnsi="Arial"/>
          <w:sz w:val="17"/>
          <w:szCs w:val="17"/>
          <w:color w:val="auto"/>
        </w:rPr>
      </w:pPr>
    </w:p>
    <w:p>
      <w:pPr>
        <w:ind w:left="340" w:right="260"/>
        <w:spacing w:after="0" w:line="260" w:lineRule="auto"/>
        <w:rPr>
          <w:rFonts w:ascii="Arial" w:cs="Arial" w:eastAsia="Arial" w:hAnsi="Arial"/>
          <w:sz w:val="17"/>
          <w:szCs w:val="17"/>
          <w:color w:val="auto"/>
        </w:rPr>
      </w:pPr>
      <w:r>
        <w:rPr>
          <w:rFonts w:ascii="Arial" w:cs="Arial" w:eastAsia="Arial" w:hAnsi="Arial"/>
          <w:sz w:val="18"/>
          <w:szCs w:val="18"/>
          <w:color w:val="auto"/>
        </w:rPr>
        <w:t>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7"/>
          <w:szCs w:val="17"/>
          <w:color w:val="auto"/>
        </w:rPr>
      </w:pPr>
    </w:p>
    <w:p>
      <w:pPr>
        <w:jc w:val="both"/>
        <w:ind w:left="900" w:right="200" w:hanging="451"/>
        <w:spacing w:after="0" w:line="263" w:lineRule="auto"/>
        <w:tabs>
          <w:tab w:leader="none" w:pos="839"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849" w:val="left"/>
        </w:tabs>
        <w:numPr>
          <w:ilvl w:val="2"/>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right="620" w:hanging="451"/>
        <w:spacing w:after="0" w:line="342" w:lineRule="auto"/>
        <w:tabs>
          <w:tab w:leader="none" w:pos="839" w:val="left"/>
        </w:tabs>
        <w:numPr>
          <w:ilvl w:val="2"/>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849" w:val="left"/>
        </w:tabs>
        <w:numPr>
          <w:ilvl w:val="2"/>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330"/>
        <w:spacing w:after="0" w:line="308" w:lineRule="auto"/>
        <w:tabs>
          <w:tab w:leader="none" w:pos="500"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20" w:hanging="451"/>
        <w:spacing w:after="0" w:line="308" w:lineRule="auto"/>
        <w:tabs>
          <w:tab w:leader="none" w:pos="829" w:val="left"/>
        </w:tabs>
        <w:numPr>
          <w:ilvl w:val="2"/>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60" w:hanging="451"/>
        <w:spacing w:after="0" w:line="277" w:lineRule="auto"/>
        <w:tabs>
          <w:tab w:leader="none" w:pos="839"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680" w:val="left"/>
          <w:tab w:leader="none" w:pos="748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David Zaccardelli, Pharm.D.</w:t>
      </w:r>
    </w:p>
    <w:p>
      <w:pPr>
        <w:spacing w:after="0" w:line="6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69"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W. Hahn,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Verona Pharma plc;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00" w:hanging="328"/>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900" w:right="200" w:hanging="451"/>
        <w:spacing w:after="0" w:line="263" w:lineRule="auto"/>
        <w:tabs>
          <w:tab w:leader="none" w:pos="83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00" w:right="460" w:hanging="451"/>
        <w:spacing w:after="0" w:line="263" w:lineRule="auto"/>
        <w:tabs>
          <w:tab w:leader="none" w:pos="84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00" w:right="620" w:hanging="451"/>
        <w:spacing w:after="0" w:line="342" w:lineRule="auto"/>
        <w:tabs>
          <w:tab w:leader="none" w:pos="83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00" w:right="180" w:hanging="451"/>
        <w:spacing w:after="0" w:line="263" w:lineRule="auto"/>
        <w:tabs>
          <w:tab w:leader="none" w:pos="84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right="120" w:hanging="451"/>
        <w:spacing w:after="0" w:line="308" w:lineRule="auto"/>
        <w:tabs>
          <w:tab w:leader="none" w:pos="82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00" w:right="60" w:hanging="451"/>
        <w:spacing w:after="0" w:line="277" w:lineRule="auto"/>
        <w:tabs>
          <w:tab w:leader="none" w:pos="83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Mark W. Hahn</w:t>
      </w:r>
    </w:p>
    <w:p>
      <w:pPr>
        <w:spacing w:after="0" w:line="6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ectPr>
          <w:pgSz w:w="11900" w:h="16838" w:orient="portrait"/>
          <w:cols w:equalWidth="0" w:num="1">
            <w:col w:w="11240"/>
          </w:cols>
          <w:pgMar w:left="320" w:top="769"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In connection with the Quarterly Report on Form 10-Q of Verona Pharma plc (the “Company”) for the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840" w:hanging="391"/>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740" w:hanging="451"/>
        <w:spacing w:after="0" w:line="277" w:lineRule="auto"/>
        <w:tabs>
          <w:tab w:leader="none" w:pos="8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5680" w:val="left"/>
          <w:tab w:leader="none" w:pos="748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David Zaccardelli, Pharm.D.</w:t>
      </w:r>
    </w:p>
    <w:p>
      <w:pPr>
        <w:spacing w:after="0" w:line="6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769"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441"/>
        <w:spacing w:after="0" w:line="263" w:lineRule="auto"/>
        <w:rPr>
          <w:sz w:val="20"/>
          <w:szCs w:val="20"/>
          <w:color w:val="auto"/>
        </w:rPr>
      </w:pPr>
      <w:r>
        <w:rPr>
          <w:rFonts w:ascii="Arial" w:cs="Arial" w:eastAsia="Arial" w:hAnsi="Arial"/>
          <w:sz w:val="18"/>
          <w:szCs w:val="18"/>
          <w:color w:val="auto"/>
        </w:rPr>
        <w:t>In connection with the Quarterly Report on Form 10-Q of Verona Pharma plc (the “Company”) for the period ended March 31,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840" w:hanging="391"/>
        <w:spacing w:after="0"/>
        <w:tabs>
          <w:tab w:leader="none" w:pos="8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900" w:right="740" w:hanging="451"/>
        <w:spacing w:after="0" w:line="277" w:lineRule="auto"/>
        <w:tabs>
          <w:tab w:leader="none" w:pos="8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1"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April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31750</wp:posOffset>
            </wp:positionV>
            <wp:extent cx="33089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Mark W. Hahn</w:t>
      </w:r>
    </w:p>
    <w:p>
      <w:pPr>
        <w:spacing w:after="0" w:line="6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0" Type="http://schemas.openxmlformats.org/officeDocument/2006/relationships/hyperlink" Target="https://www.sec.gov/Archives/edgar/data/1657312/000110465920140541/tm2039594d1_e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2021-04-29T06:45:35Z</dcterms:created>
  <dcterms:modified xsi:type="dcterms:W3CDTF">2021-04-29T06:45:35Z</dcterms:modified>
</cp:coreProperties>
</file>