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457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Hahn Mark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RIVERSIDE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Verona Pharma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VRNA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08/12/2024</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jc w:val="center"/>
              <w:ind w:left="4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66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08/12/2024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3.13</w:t>
            </w:r>
            <w:r>
              <w:rPr>
                <w:rFonts w:ascii="Times New Roman" w:cs="Times New Roman" w:eastAsia="Times New Roman" w:hAnsi="Times New Roman"/>
                <w:sz w:val="22"/>
                <w:szCs w:val="22"/>
                <w:color w:val="008000"/>
                <w:w w:val="92"/>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15,338,088</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66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08/13/2024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394,664</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3.2012</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14,943,424</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66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08/13/2024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3,736</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3.25</w:t>
            </w:r>
            <w:r>
              <w:rPr>
                <w:rFonts w:ascii="Times New Roman" w:cs="Times New Roman" w:eastAsia="Times New Roman" w:hAnsi="Times New Roman"/>
                <w:sz w:val="22"/>
                <w:szCs w:val="22"/>
                <w:color w:val="008000"/>
                <w:w w:val="92"/>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14,939,688</w:t>
            </w:r>
            <w:r>
              <w:rPr>
                <w:rFonts w:ascii="Times New Roman" w:cs="Times New Roman" w:eastAsia="Times New Roman" w:hAnsi="Times New Roman"/>
                <w:sz w:val="22"/>
                <w:szCs w:val="22"/>
                <w:color w:val="008000"/>
                <w:w w:val="98"/>
                <w:vertAlign w:val="superscript"/>
              </w:rPr>
              <w:t>(5)</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instruction adopted on March 6,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ADS sale price on the Nasdaq Stock Market LLC divided by eight (8).</w:t>
      </w:r>
    </w:p>
    <w:p>
      <w:pPr>
        <w:spacing w:after="0" w:line="50"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$3.125 to $3.24625 per Ordinary Share, inclusive (or $25.00 to $25.97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2,825,000 Ordinary Shares underlying Restricted Share Units, each of which represents a contingent right to receive one (1) Ordinary Share of the Issuer (which are represented by 353,125 ADSs); and (ii) 12,114,688 Ordinary Shares underlying 1,514,336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Andrew Fisher, Attorney-</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08/14/2024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Mark Hahn</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8502"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2024-08-14T15:48:36Z</dcterms:created>
  <dcterms:modified xsi:type="dcterms:W3CDTF">2024-08-14T15:48:36Z</dcterms:modified>
</cp:coreProperties>
</file>