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11/27/2024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jc w:val="center"/>
              <w:ind w:left="5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11/27/2024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23,240</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15,177,512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11/29/2024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98,888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5.006</w:t>
            </w:r>
            <w:r>
              <w:rPr>
                <w:rFonts w:ascii="Times New Roman" w:cs="Times New Roman" w:eastAsia="Times New Roman" w:hAnsi="Times New Roman"/>
                <w:sz w:val="22"/>
                <w:szCs w:val="22"/>
                <w:color w:val="008000"/>
                <w:w w:val="92"/>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15,078,624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12/02/2024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3,200</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15,075,424</w:t>
            </w:r>
            <w:r>
              <w:rPr>
                <w:rFonts w:ascii="Times New Roman" w:cs="Times New Roman" w:eastAsia="Times New Roman" w:hAnsi="Times New Roman"/>
                <w:sz w:val="22"/>
                <w:szCs w:val="22"/>
                <w:color w:val="008000"/>
                <w:w w:val="98"/>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8, 2024.</w:t>
      </w:r>
    </w:p>
    <w:p>
      <w:pPr>
        <w:spacing w:after="0" w:line="5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$5 to $5.0663 per Ordinary Share, inclusive (or $40.00 to $40.53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3,000,000 Ordinary Shares underlying Restricted Share Units, each of which represents a contingent right to receive one (1) Ordinary Share of the Issuer (which are represented by 375,000 ADSs); and (ii) 12,075,424 Ordinary Shares underlying 1,509,428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12/02/2024</w:t>
            </w:r>
          </w:p>
        </w:tc>
        <w:tc>
          <w:tcPr>
            <w:tcW w:w="0" w:type="dxa"/>
            <w:vAlign w:val="bottom"/>
          </w:tcPr>
          <w:p>
            <w:pPr>
              <w:spacing w:after="0"/>
              <w:rPr>
                <w:sz w:val="1"/>
                <w:szCs w:val="1"/>
                <w:color w:val="auto"/>
              </w:rPr>
            </w:pPr>
          </w:p>
        </w:tc>
      </w:tr>
      <w:tr>
        <w:trPr>
          <w:trHeight w:val="87"/>
        </w:trPr>
        <w:tc>
          <w:tcPr>
            <w:tcW w:w="20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Zaccardelli</w:t>
            </w:r>
          </w:p>
        </w:tc>
        <w:tc>
          <w:tcPr>
            <w:tcW w:w="1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2024-12-02T18:24:37Z</dcterms:created>
  <dcterms:modified xsi:type="dcterms:W3CDTF">2024-12-02T18:24:37Z</dcterms:modified>
</cp:coreProperties>
</file>