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87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Hahn Mark 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Verona Pharma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VRNA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12/04/2024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873"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50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LONDON</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X0</w:t>
            </w:r>
          </w:p>
        </w:tc>
        <w:tc>
          <w:tcPr>
            <w:tcW w:w="840" w:type="dxa"/>
            <w:vAlign w:val="bottom"/>
          </w:tcPr>
          <w:p>
            <w:pPr>
              <w:spacing w:after="0"/>
              <w:rPr>
                <w:sz w:val="10"/>
                <w:szCs w:val="10"/>
                <w:color w:val="auto"/>
              </w:rPr>
            </w:pPr>
          </w:p>
        </w:tc>
        <w:tc>
          <w:tcPr>
            <w:tcW w:w="14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SE1 2RE</w:t>
            </w: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gridSpan w:val="3"/>
          </w:tcPr>
          <w:p>
            <w:pPr>
              <w:spacing w:after="0"/>
              <w:rPr>
                <w:sz w:val="10"/>
                <w:szCs w:val="10"/>
                <w:color w:val="auto"/>
              </w:rPr>
            </w:pPr>
          </w:p>
        </w:tc>
        <w:tc>
          <w:tcPr>
            <w:tcW w:w="268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39"/>
              <w:spacing w:after="0"/>
              <w:rPr>
                <w:sz w:val="20"/>
                <w:szCs w:val="20"/>
                <w:color w:val="auto"/>
              </w:rPr>
            </w:pPr>
            <w:r>
              <w:rPr>
                <w:rFonts w:ascii="Times New Roman" w:cs="Times New Roman" w:eastAsia="Times New Roman" w:hAnsi="Times New Roman"/>
                <w:sz w:val="17"/>
                <w:szCs w:val="17"/>
                <w:color w:val="0000FF"/>
              </w:rPr>
              <w:t>12/04/2024</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58,184</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5.0013</w:t>
            </w:r>
            <w:r>
              <w:rPr>
                <w:rFonts w:ascii="Times New Roman" w:cs="Times New Roman" w:eastAsia="Times New Roman" w:hAnsi="Times New Roman"/>
                <w:sz w:val="22"/>
                <w:szCs w:val="22"/>
                <w:color w:val="008000"/>
                <w:vertAlign w:val="superscript"/>
              </w:rPr>
              <w:t>(3)</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14,117,512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39"/>
              <w:spacing w:after="0"/>
              <w:rPr>
                <w:sz w:val="20"/>
                <w:szCs w:val="20"/>
                <w:color w:val="auto"/>
              </w:rPr>
            </w:pPr>
            <w:r>
              <w:rPr>
                <w:rFonts w:ascii="Times New Roman" w:cs="Times New Roman" w:eastAsia="Times New Roman" w:hAnsi="Times New Roman"/>
                <w:sz w:val="17"/>
                <w:szCs w:val="17"/>
                <w:color w:val="0000FF"/>
              </w:rPr>
              <w:t>12/05/2024</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640,048</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5.0061</w:t>
            </w:r>
            <w:r>
              <w:rPr>
                <w:rFonts w:ascii="Times New Roman" w:cs="Times New Roman" w:eastAsia="Times New Roman" w:hAnsi="Times New Roman"/>
                <w:sz w:val="22"/>
                <w:szCs w:val="22"/>
                <w:color w:val="008000"/>
                <w:vertAlign w:val="superscript"/>
              </w:rPr>
              <w:t>(4)</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13,477,464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39"/>
              <w:spacing w:after="0"/>
              <w:rPr>
                <w:sz w:val="20"/>
                <w:szCs w:val="20"/>
                <w:color w:val="auto"/>
              </w:rPr>
            </w:pPr>
            <w:r>
              <w:rPr>
                <w:rFonts w:ascii="Times New Roman" w:cs="Times New Roman" w:eastAsia="Times New Roman" w:hAnsi="Times New Roman"/>
                <w:sz w:val="17"/>
                <w:szCs w:val="17"/>
                <w:color w:val="0000FF"/>
              </w:rPr>
              <w:t>12/06/2024</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183,728</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5.0091</w:t>
            </w:r>
            <w:r>
              <w:rPr>
                <w:rFonts w:ascii="Times New Roman" w:cs="Times New Roman" w:eastAsia="Times New Roman" w:hAnsi="Times New Roman"/>
                <w:sz w:val="22"/>
                <w:szCs w:val="22"/>
                <w:color w:val="008000"/>
                <w:vertAlign w:val="superscript"/>
              </w:rPr>
              <w:t>(5)</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13,293,736</w:t>
            </w:r>
            <w:r>
              <w:rPr>
                <w:rFonts w:ascii="Times New Roman" w:cs="Times New Roman" w:eastAsia="Times New Roman" w:hAnsi="Times New Roman"/>
                <w:sz w:val="22"/>
                <w:szCs w:val="22"/>
                <w:color w:val="008000"/>
                <w:w w:val="98"/>
                <w:vertAlign w:val="superscript"/>
              </w:rPr>
              <w:t>(6)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40" w:type="dxa"/>
            <w:vAlign w:val="bottom"/>
          </w:tcPr>
          <w:p>
            <w:pPr>
              <w:spacing w:after="0"/>
              <w:rPr>
                <w:sz w:val="14"/>
                <w:szCs w:val="14"/>
                <w:color w:val="auto"/>
              </w:rPr>
            </w:pP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Rule 10b5-1 instruction adopted on March 6, 2024.</w:t>
      </w:r>
    </w:p>
    <w:p>
      <w:pPr>
        <w:spacing w:after="0" w:line="50" w:lineRule="exact"/>
        <w:rPr>
          <w:rFonts w:ascii="Times New Roman" w:cs="Times New Roman" w:eastAsia="Times New Roman" w:hAnsi="Times New Roman"/>
          <w:sz w:val="13"/>
          <w:szCs w:val="13"/>
          <w:color w:val="008000"/>
        </w:rPr>
      </w:pPr>
    </w:p>
    <w:p>
      <w:pPr>
        <w:ind w:left="40" w:right="4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a weighted average price of the ADSs divided by eight (8). The securities were sold in multiple transactions at prices ranging from $5 to $5.005 per Ordinary Share, inclusive (or $40.00 to $40.04 per ADS, inclusive). The Reporting Person undertakes to provide to the Issuer, any securityholder of the Issuer, or the staff of the Securities and Exchange Commission, upon request, full information regarding the number of securities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4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a weighted average price of the ADSs divided by eight (8). The securities were sold in multiple transactions at prices ranging from $5 to $5.0313 per Ordinary Share, inclusive (or $40.00 to $40.25 per ADS, inclusive). The Reporting Person undertakes to provide to the Issuer, any securityholder of the Issuer, or the staff of the Securities and Exchange Commission, upon request, full information regarding the number of securities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4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a weighted average price of the ADSs divided by eight (8). The securities were sold in multiple transactions at prices ranging from $5 to $5.02 per Ordinary Share, inclusive (or $40.00 to $40.16 per ADS, inclusive). The Reporting Person undertakes to provide to the Issuer, any securityholder of the Issuer, or the staff of the Securities and Exchange Commission, upon request, full information regarding the number of securities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3,000,000 Ordinary Shares underlying Restricted Share Units, each of which represents a contingent right to receive one (1) Ordinary Share of the Issuer (which are represented by 375,000 ADSs); and (ii) 10,293,736 Ordinary Shares underlying 1,286,717 ADSs.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Andrew Fisher, Attorney-</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12/06/2024</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Mark Hahn</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8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08502"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2024-12-06T16:54:35Z</dcterms:created>
  <dcterms:modified xsi:type="dcterms:W3CDTF">2024-12-06T16:54:35Z</dcterms:modified>
</cp:coreProperties>
</file>