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Hahn Mark 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 MORE LONDON</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Verona Pharma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VRNA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09/11/2024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50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6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LONDON</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X0</w:t>
            </w:r>
          </w:p>
        </w:tc>
        <w:tc>
          <w:tcPr>
            <w:tcW w:w="840" w:type="dxa"/>
            <w:vAlign w:val="bottom"/>
          </w:tcPr>
          <w:p>
            <w:pPr>
              <w:spacing w:after="0"/>
              <w:rPr>
                <w:sz w:val="10"/>
                <w:szCs w:val="10"/>
                <w:color w:val="auto"/>
              </w:rPr>
            </w:pPr>
          </w:p>
        </w:tc>
        <w:tc>
          <w:tcPr>
            <w:tcW w:w="14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SE1 2RE</w:t>
            </w: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400" w:type="dxa"/>
            <w:vAlign w:val="bottom"/>
            <w:gridSpan w:val="3"/>
            <w:vMerge w:val="continue"/>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gridSpan w:val="3"/>
          </w:tcPr>
          <w:p>
            <w:pPr>
              <w:spacing w:after="0"/>
              <w:rPr>
                <w:sz w:val="10"/>
                <w:szCs w:val="10"/>
                <w:color w:val="auto"/>
              </w:rPr>
            </w:pPr>
          </w:p>
        </w:tc>
        <w:tc>
          <w:tcPr>
            <w:tcW w:w="2680" w:type="dxa"/>
            <w:vAlign w:val="bottom"/>
            <w:tcBorders>
              <w:bottom w:val="single" w:sz="8" w:color="2C2C2C"/>
            </w:tcBorders>
            <w:gridSpan w:val="6"/>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2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20"/>
                <w:szCs w:val="20"/>
                <w:color w:val="auto"/>
              </w:rPr>
            </w:pPr>
            <w:r>
              <w:rPr>
                <w:rFonts w:ascii="Arial" w:cs="Arial" w:eastAsia="Arial" w:hAnsi="Arial"/>
                <w:sz w:val="12"/>
                <w:szCs w:val="12"/>
                <w:b w:val="1"/>
                <w:bCs w:val="1"/>
                <w:color w:val="auto"/>
              </w:rPr>
              <w:t>3.</w:t>
            </w:r>
          </w:p>
        </w:tc>
        <w:tc>
          <w:tcPr>
            <w:tcW w:w="600" w:type="dxa"/>
            <w:vAlign w:val="bottom"/>
          </w:tcPr>
          <w:p>
            <w:pPr>
              <w:spacing w:after="0"/>
              <w:rPr>
                <w:sz w:val="15"/>
                <w:szCs w:val="15"/>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4"/>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09/11/2024</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8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600,000</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2020" w:type="dxa"/>
            <w:vAlign w:val="bottom"/>
            <w:tcBorders>
              <w:bottom w:val="single" w:sz="8" w:color="2C2C2C"/>
            </w:tcBorders>
            <w:gridSpan w:val="5"/>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3.7568</w:t>
            </w:r>
            <w:r>
              <w:rPr>
                <w:rFonts w:ascii="Times New Roman" w:cs="Times New Roman" w:eastAsia="Times New Roman" w:hAnsi="Times New Roman"/>
                <w:sz w:val="22"/>
                <w:szCs w:val="22"/>
                <w:color w:val="008000"/>
                <w:vertAlign w:val="superscript"/>
              </w:rPr>
              <w:t>(3)</w:t>
            </w:r>
            <w:r>
              <w:rPr>
                <w:rFonts w:ascii="Arial" w:cs="Arial" w:eastAsia="Arial" w:hAnsi="Arial"/>
                <w:sz w:val="17"/>
                <w:szCs w:val="17"/>
                <w:color w:val="auto"/>
              </w:rPr>
              <w:t xml:space="preserve">    </w:t>
            </w:r>
            <w:r>
              <w:rPr>
                <w:rFonts w:ascii="Times New Roman" w:cs="Times New Roman" w:eastAsia="Times New Roman" w:hAnsi="Times New Roman"/>
                <w:sz w:val="17"/>
                <w:szCs w:val="17"/>
                <w:color w:val="0000FF"/>
              </w:rPr>
              <w:t>14,339,688</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4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 w:type="dxa"/>
            <w:vAlign w:val="bottom"/>
          </w:tcPr>
          <w:p>
            <w:pPr>
              <w:spacing w:after="0"/>
              <w:rPr>
                <w:sz w:val="14"/>
                <w:szCs w:val="14"/>
                <w:color w:val="auto"/>
              </w:rPr>
            </w:pP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securities are represented by American Depositary Shares ("ADSs"), each of which represents eight (8) Ordinary Shares of the Issuer.</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this Form 4 was effected pursuant to a Rule 10b5-1 instruction adopted on March 6, 2024.</w:t>
      </w:r>
    </w:p>
    <w:p>
      <w:pPr>
        <w:spacing w:after="0" w:line="50" w:lineRule="exact"/>
        <w:rPr>
          <w:rFonts w:ascii="Times New Roman" w:cs="Times New Roman" w:eastAsia="Times New Roman" w:hAnsi="Times New Roman"/>
          <w:sz w:val="13"/>
          <w:szCs w:val="13"/>
          <w:color w:val="008000"/>
        </w:rPr>
      </w:pPr>
    </w:p>
    <w:p>
      <w:pPr>
        <w:ind w:left="40" w:right="3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a weighted average price of the ADSs divided by eight (8). The securities were sold in multiple transactions at prices ranging from $3.75 to $3.7888 per Ordinary Share, inclusive (or $30.00 to $30.31 per ADS, inclusive). The Reporting Person undertakes to provide to the Issuer, any securityholder of the Issuer, or the staff of the Securities and Exchange Commission, upon request, full information regarding the number of securities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(i) 2,825,000 Ordinary Shares underlying Restricted Share Units, each of which represents a contingent right to receive one (1) Ordinary Share of the Issuer (which are represented by 353,125 ADSs); and (ii) 11,514,688 Ordinary Shares underlying 1,439,336 ADSs.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Andrew Fisher, Attorney-</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09/13/2024</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Mark Hahn</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80" w:type="dxa"/>
            <w:vAlign w:val="bottom"/>
            <w:shd w:val="clear" w:color="auto" w:fill="000000"/>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08502"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2024-09-13T15:31:05Z</dcterms:created>
  <dcterms:modified xsi:type="dcterms:W3CDTF">2024-09-13T15:31:05Z</dcterms:modified>
</cp:coreProperties>
</file>