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26, 2017</w:t>
      </w:r>
    </w:p>
    <w:p>
      <w:pPr>
        <w:spacing w:after="0" w:line="4" w:lineRule="exact"/>
        <w:rPr>
          <w:sz w:val="24"/>
          <w:szCs w:val="24"/>
          <w:color w:val="auto"/>
        </w:rPr>
      </w:pPr>
    </w:p>
    <w:p>
      <w:pPr>
        <w:ind w:left="97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125730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VERONA PHARMA PLC</w:t>
      </w:r>
    </w:p>
    <w:p>
      <w:pPr>
        <w:spacing w:after="0" w:line="29"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(EXACT NAME OF REGISTRANT AS SPECIFIED IN ITS CHARTER)</w:t>
      </w:r>
    </w:p>
    <w:p>
      <w:pPr>
        <w:spacing w:after="0" w:line="66" w:lineRule="exact"/>
        <w:rPr>
          <w:sz w:val="24"/>
          <w:szCs w:val="24"/>
          <w:color w:val="auto"/>
        </w:rPr>
      </w:pPr>
    </w:p>
    <w:p>
      <w:pPr>
        <w:ind w:left="5260"/>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(Translation of Registrant’s Name into English)</w:t>
      </w:r>
    </w:p>
    <w:p>
      <w:pPr>
        <w:spacing w:after="0" w:line="58"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840" w:type="dxa"/>
            <w:vAlign w:val="bottom"/>
          </w:tcPr>
          <w:p>
            <w:pPr>
              <w:jc w:val="center"/>
              <w:ind w:right="1008"/>
              <w:spacing w:after="0"/>
              <w:rPr>
                <w:sz w:val="20"/>
                <w:szCs w:val="20"/>
                <w:color w:val="auto"/>
              </w:rPr>
            </w:pPr>
            <w:r>
              <w:rPr>
                <w:rFonts w:ascii="Arial" w:cs="Arial" w:eastAsia="Arial" w:hAnsi="Arial"/>
                <w:sz w:val="14"/>
                <w:szCs w:val="14"/>
                <w:b w:val="1"/>
                <w:bCs w:val="1"/>
                <w:color w:val="auto"/>
                <w:w w:val="96"/>
              </w:rPr>
              <w:t>United Kingdom</w:t>
            </w:r>
          </w:p>
        </w:tc>
        <w:tc>
          <w:tcPr>
            <w:tcW w:w="396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2834</w:t>
            </w:r>
          </w:p>
        </w:tc>
        <w:tc>
          <w:tcPr>
            <w:tcW w:w="2500" w:type="dxa"/>
            <w:vAlign w:val="bottom"/>
          </w:tcPr>
          <w:p>
            <w:pPr>
              <w:jc w:val="center"/>
              <w:ind w:left="1108"/>
              <w:spacing w:after="0"/>
              <w:rPr>
                <w:sz w:val="20"/>
                <w:szCs w:val="20"/>
                <w:color w:val="auto"/>
              </w:rPr>
            </w:pPr>
            <w:r>
              <w:rPr>
                <w:rFonts w:ascii="Arial" w:cs="Arial" w:eastAsia="Arial" w:hAnsi="Arial"/>
                <w:sz w:val="14"/>
                <w:szCs w:val="14"/>
                <w:b w:val="1"/>
                <w:bCs w:val="1"/>
                <w:color w:val="auto"/>
                <w:w w:val="93"/>
              </w:rPr>
              <w:t>Not Applicable</w:t>
            </w:r>
          </w:p>
        </w:tc>
      </w:tr>
      <w:tr>
        <w:trPr>
          <w:trHeight w:val="149"/>
        </w:trPr>
        <w:tc>
          <w:tcPr>
            <w:tcW w:w="2840" w:type="dxa"/>
            <w:vAlign w:val="bottom"/>
          </w:tcPr>
          <w:p>
            <w:pPr>
              <w:jc w:val="center"/>
              <w:ind w:right="1008"/>
              <w:spacing w:after="0" w:line="149" w:lineRule="exact"/>
              <w:rPr>
                <w:sz w:val="20"/>
                <w:szCs w:val="20"/>
                <w:color w:val="auto"/>
              </w:rPr>
            </w:pPr>
            <w:r>
              <w:rPr>
                <w:rFonts w:ascii="Arial" w:cs="Arial" w:eastAsia="Arial" w:hAnsi="Arial"/>
                <w:sz w:val="14"/>
                <w:szCs w:val="14"/>
                <w:color w:val="auto"/>
                <w:w w:val="93"/>
              </w:rPr>
              <w:t>(State or other Jurisdiction of</w:t>
            </w:r>
          </w:p>
        </w:tc>
        <w:tc>
          <w:tcPr>
            <w:tcW w:w="39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5"/>
              </w:rPr>
              <w:t>(Primary Standard Industrial</w:t>
            </w:r>
          </w:p>
        </w:tc>
        <w:tc>
          <w:tcPr>
            <w:tcW w:w="2500" w:type="dxa"/>
            <w:vAlign w:val="bottom"/>
          </w:tcPr>
          <w:p>
            <w:pPr>
              <w:jc w:val="center"/>
              <w:ind w:left="10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40" w:type="dxa"/>
            <w:vAlign w:val="bottom"/>
          </w:tcPr>
          <w:p>
            <w:pPr>
              <w:jc w:val="center"/>
              <w:ind w:right="1008"/>
              <w:spacing w:after="0"/>
              <w:rPr>
                <w:sz w:val="20"/>
                <w:szCs w:val="20"/>
                <w:color w:val="auto"/>
              </w:rPr>
            </w:pPr>
            <w:r>
              <w:rPr>
                <w:rFonts w:ascii="Arial" w:cs="Arial" w:eastAsia="Arial" w:hAnsi="Arial"/>
                <w:sz w:val="14"/>
                <w:szCs w:val="14"/>
                <w:color w:val="auto"/>
                <w:w w:val="94"/>
              </w:rPr>
              <w:t>Incorporation or Organization)</w:t>
            </w:r>
          </w:p>
        </w:tc>
        <w:tc>
          <w:tcPr>
            <w:tcW w:w="3960" w:type="dxa"/>
            <w:vAlign w:val="bottom"/>
          </w:tcPr>
          <w:p>
            <w:pPr>
              <w:jc w:val="center"/>
              <w:ind w:right="28"/>
              <w:spacing w:after="0"/>
              <w:rPr>
                <w:sz w:val="20"/>
                <w:szCs w:val="20"/>
                <w:color w:val="auto"/>
              </w:rPr>
            </w:pPr>
            <w:r>
              <w:rPr>
                <w:rFonts w:ascii="Arial" w:cs="Arial" w:eastAsia="Arial" w:hAnsi="Arial"/>
                <w:sz w:val="14"/>
                <w:szCs w:val="14"/>
                <w:color w:val="auto"/>
                <w:w w:val="95"/>
              </w:rPr>
              <w:t>Classification Code Number)</w:t>
            </w:r>
          </w:p>
        </w:tc>
        <w:tc>
          <w:tcPr>
            <w:tcW w:w="2500" w:type="dxa"/>
            <w:vAlign w:val="bottom"/>
          </w:tcPr>
          <w:p>
            <w:pPr>
              <w:jc w:val="center"/>
              <w:ind w:left="1108"/>
              <w:spacing w:after="0"/>
              <w:rPr>
                <w:sz w:val="20"/>
                <w:szCs w:val="20"/>
                <w:color w:val="auto"/>
              </w:rPr>
            </w:pPr>
            <w:r>
              <w:rPr>
                <w:rFonts w:ascii="Arial" w:cs="Arial" w:eastAsia="Arial" w:hAnsi="Arial"/>
                <w:sz w:val="14"/>
                <w:szCs w:val="14"/>
                <w:color w:val="auto"/>
                <w:w w:val="96"/>
              </w:rPr>
              <w:t>Identification Number)</w:t>
            </w:r>
          </w:p>
        </w:tc>
      </w:tr>
      <w:tr>
        <w:trPr>
          <w:trHeight w:val="205"/>
        </w:trPr>
        <w:tc>
          <w:tcPr>
            <w:tcW w:w="2840" w:type="dxa"/>
            <w:vAlign w:val="bottom"/>
          </w:tcPr>
          <w:p>
            <w:pPr>
              <w:spacing w:after="0"/>
              <w:rPr>
                <w:sz w:val="17"/>
                <w:szCs w:val="17"/>
                <w:color w:val="auto"/>
              </w:rPr>
            </w:pPr>
          </w:p>
        </w:tc>
        <w:tc>
          <w:tcPr>
            <w:tcW w:w="39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3 More London Riverside</w:t>
            </w:r>
          </w:p>
        </w:tc>
        <w:tc>
          <w:tcPr>
            <w:tcW w:w="2500" w:type="dxa"/>
            <w:vAlign w:val="bottom"/>
          </w:tcPr>
          <w:p>
            <w:pPr>
              <w:spacing w:after="0"/>
              <w:rPr>
                <w:sz w:val="17"/>
                <w:szCs w:val="17"/>
                <w:color w:val="auto"/>
              </w:rPr>
            </w:pPr>
          </w:p>
        </w:tc>
      </w:tr>
      <w:tr>
        <w:trPr>
          <w:trHeight w:val="149"/>
        </w:trPr>
        <w:tc>
          <w:tcPr>
            <w:tcW w:w="2840" w:type="dxa"/>
            <w:vAlign w:val="bottom"/>
          </w:tcPr>
          <w:p>
            <w:pPr>
              <w:spacing w:after="0"/>
              <w:rPr>
                <w:sz w:val="12"/>
                <w:szCs w:val="12"/>
                <w:color w:val="auto"/>
              </w:rPr>
            </w:pPr>
          </w:p>
        </w:tc>
        <w:tc>
          <w:tcPr>
            <w:tcW w:w="3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London SE1 2RE UK</w:t>
            </w:r>
          </w:p>
        </w:tc>
        <w:tc>
          <w:tcPr>
            <w:tcW w:w="2500" w:type="dxa"/>
            <w:vAlign w:val="bottom"/>
          </w:tcPr>
          <w:p>
            <w:pPr>
              <w:spacing w:after="0"/>
              <w:rPr>
                <w:sz w:val="12"/>
                <w:szCs w:val="12"/>
                <w:color w:val="auto"/>
              </w:rPr>
            </w:pPr>
          </w:p>
        </w:tc>
      </w:tr>
      <w:tr>
        <w:trPr>
          <w:trHeight w:val="165"/>
        </w:trPr>
        <w:tc>
          <w:tcPr>
            <w:tcW w:w="2840" w:type="dxa"/>
            <w:vAlign w:val="bottom"/>
          </w:tcPr>
          <w:p>
            <w:pPr>
              <w:spacing w:after="0"/>
              <w:rPr>
                <w:sz w:val="14"/>
                <w:szCs w:val="14"/>
                <w:color w:val="auto"/>
              </w:rPr>
            </w:pPr>
          </w:p>
        </w:tc>
        <w:tc>
          <w:tcPr>
            <w:tcW w:w="39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Tel: +44 203 283 4200</w:t>
            </w:r>
          </w:p>
        </w:tc>
        <w:tc>
          <w:tcPr>
            <w:tcW w:w="2500" w:type="dxa"/>
            <w:vAlign w:val="bottom"/>
          </w:tcPr>
          <w:p>
            <w:pPr>
              <w:spacing w:after="0"/>
              <w:rPr>
                <w:sz w:val="14"/>
                <w:szCs w:val="14"/>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National Corporate Research, Ltd.</w:t>
      </w:r>
    </w:p>
    <w:p>
      <w:pPr>
        <w:jc w:val="center"/>
        <w:spacing w:after="0" w:line="226" w:lineRule="auto"/>
        <w:rPr>
          <w:sz w:val="20"/>
          <w:szCs w:val="20"/>
          <w:color w:val="auto"/>
        </w:rPr>
      </w:pPr>
      <w:r>
        <w:rPr>
          <w:rFonts w:ascii="Arial" w:cs="Arial" w:eastAsia="Arial" w:hAnsi="Arial"/>
          <w:sz w:val="14"/>
          <w:szCs w:val="14"/>
          <w:b w:val="1"/>
          <w:bCs w:val="1"/>
          <w:color w:val="auto"/>
        </w:rPr>
        <w:t>10 East 40th Street, 10th Floor</w:t>
      </w:r>
    </w:p>
    <w:p>
      <w:pPr>
        <w:jc w:val="center"/>
        <w:spacing w:after="0" w:line="222" w:lineRule="auto"/>
        <w:rPr>
          <w:sz w:val="20"/>
          <w:szCs w:val="20"/>
          <w:color w:val="auto"/>
        </w:rPr>
      </w:pPr>
      <w:r>
        <w:rPr>
          <w:rFonts w:ascii="Arial" w:cs="Arial" w:eastAsia="Arial" w:hAnsi="Arial"/>
          <w:sz w:val="14"/>
          <w:szCs w:val="14"/>
          <w:b w:val="1"/>
          <w:bCs w:val="1"/>
          <w:color w:val="auto"/>
        </w:rPr>
        <w:t>New York, New York 10016</w:t>
      </w:r>
    </w:p>
    <w:p>
      <w:pPr>
        <w:jc w:val="center"/>
        <w:spacing w:after="0" w:line="221" w:lineRule="auto"/>
        <w:rPr>
          <w:sz w:val="20"/>
          <w:szCs w:val="20"/>
          <w:color w:val="auto"/>
        </w:rPr>
      </w:pPr>
      <w:r>
        <w:rPr>
          <w:rFonts w:ascii="Arial" w:cs="Arial" w:eastAsia="Arial" w:hAnsi="Arial"/>
          <w:sz w:val="14"/>
          <w:szCs w:val="14"/>
          <w:b w:val="1"/>
          <w:bCs w:val="1"/>
          <w:color w:val="auto"/>
        </w:rPr>
        <w:t>+1 800 221-0102</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of all communications, including communications sent to agent for service, should be sent to:</w:t>
      </w:r>
    </w:p>
    <w:p>
      <w:pPr>
        <w:spacing w:after="0" w:line="70"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2340" w:type="dxa"/>
            <w:vAlign w:val="bottom"/>
          </w:tcPr>
          <w:p>
            <w:pPr>
              <w:jc w:val="center"/>
              <w:ind w:right="508"/>
              <w:spacing w:after="0"/>
              <w:rPr>
                <w:sz w:val="20"/>
                <w:szCs w:val="20"/>
                <w:color w:val="auto"/>
              </w:rPr>
            </w:pPr>
            <w:r>
              <w:rPr>
                <w:rFonts w:ascii="Arial" w:cs="Arial" w:eastAsia="Arial" w:hAnsi="Arial"/>
                <w:sz w:val="14"/>
                <w:szCs w:val="14"/>
                <w:b w:val="1"/>
                <w:bCs w:val="1"/>
                <w:color w:val="auto"/>
                <w:w w:val="95"/>
              </w:rPr>
              <w:t>Peter N. Handrinos</w:t>
            </w:r>
          </w:p>
        </w:tc>
        <w:tc>
          <w:tcPr>
            <w:tcW w:w="28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Claire A. Keast-Butler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6"/>
              </w:rPr>
              <w:t>Jonathan Parry</w:t>
            </w:r>
          </w:p>
        </w:tc>
        <w:tc>
          <w:tcPr>
            <w:tcW w:w="2500" w:type="dxa"/>
            <w:vAlign w:val="bottom"/>
          </w:tcPr>
          <w:p>
            <w:pPr>
              <w:jc w:val="center"/>
              <w:ind w:left="648"/>
              <w:spacing w:after="0"/>
              <w:rPr>
                <w:sz w:val="20"/>
                <w:szCs w:val="20"/>
                <w:color w:val="auto"/>
              </w:rPr>
            </w:pPr>
            <w:r>
              <w:rPr>
                <w:rFonts w:ascii="Arial" w:cs="Arial" w:eastAsia="Arial" w:hAnsi="Arial"/>
                <w:sz w:val="14"/>
                <w:szCs w:val="14"/>
                <w:b w:val="1"/>
                <w:bCs w:val="1"/>
                <w:color w:val="auto"/>
                <w:w w:val="98"/>
              </w:rPr>
              <w:t>Divakar Gupta</w:t>
            </w:r>
          </w:p>
        </w:tc>
      </w:tr>
      <w:tr>
        <w:trPr>
          <w:trHeight w:val="149"/>
        </w:trPr>
        <w:tc>
          <w:tcPr>
            <w:tcW w:w="234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5"/>
              </w:rPr>
              <w:t>Nathan Ajiashvili</w:t>
            </w:r>
          </w:p>
        </w:tc>
        <w:tc>
          <w:tcPr>
            <w:tcW w:w="2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White &amp; Case LLP</w:t>
            </w:r>
          </w:p>
        </w:tc>
        <w:tc>
          <w:tcPr>
            <w:tcW w:w="250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4"/>
              </w:rPr>
              <w:t>Brent B. Siler</w:t>
            </w:r>
          </w:p>
        </w:tc>
      </w:tr>
      <w:tr>
        <w:trPr>
          <w:trHeight w:val="149"/>
        </w:trPr>
        <w:tc>
          <w:tcPr>
            <w:tcW w:w="234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2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99 Bishopsgate</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5 Old Broad Street</w:t>
            </w:r>
          </w:p>
        </w:tc>
        <w:tc>
          <w:tcPr>
            <w:tcW w:w="250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5"/>
              </w:rPr>
              <w:t>Charles S. Kim</w:t>
            </w:r>
          </w:p>
        </w:tc>
      </w:tr>
      <w:tr>
        <w:trPr>
          <w:trHeight w:val="149"/>
        </w:trPr>
        <w:tc>
          <w:tcPr>
            <w:tcW w:w="234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2"/>
              </w:rPr>
              <w:t>200 Clarendon Street</w:t>
            </w:r>
          </w:p>
        </w:tc>
        <w:tc>
          <w:tcPr>
            <w:tcW w:w="2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8"/>
              </w:rPr>
              <w:t>London EC2M 3XF</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London EC2N 1DW</w:t>
            </w:r>
          </w:p>
        </w:tc>
        <w:tc>
          <w:tcPr>
            <w:tcW w:w="250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34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89"/>
              </w:rPr>
              <w:t>Boston, Massachusetts 02116</w:t>
            </w:r>
          </w:p>
        </w:tc>
        <w:tc>
          <w:tcPr>
            <w:tcW w:w="2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United Kingdom</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United Kingdom</w:t>
            </w:r>
          </w:p>
        </w:tc>
        <w:tc>
          <w:tcPr>
            <w:tcW w:w="250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1"/>
              </w:rPr>
              <w:t>1114 Avenue of the Americas</w:t>
            </w:r>
          </w:p>
        </w:tc>
      </w:tr>
      <w:tr>
        <w:trPr>
          <w:trHeight w:val="149"/>
        </w:trPr>
        <w:tc>
          <w:tcPr>
            <w:tcW w:w="234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2"/>
              </w:rPr>
              <w:t>+1 617 948-6000</w:t>
            </w:r>
          </w:p>
        </w:tc>
        <w:tc>
          <w:tcPr>
            <w:tcW w:w="2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+44 20 7710-1000</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+44 20 7532-1000</w:t>
            </w:r>
          </w:p>
        </w:tc>
        <w:tc>
          <w:tcPr>
            <w:tcW w:w="250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5"/>
              </w:rPr>
              <w:t>New York, New York 10036</w:t>
            </w:r>
          </w:p>
        </w:tc>
      </w:tr>
      <w:tr>
        <w:trPr>
          <w:trHeight w:val="186"/>
        </w:trPr>
        <w:tc>
          <w:tcPr>
            <w:tcW w:w="2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500" w:type="dxa"/>
            <w:vAlign w:val="bottom"/>
          </w:tcPr>
          <w:p>
            <w:pPr>
              <w:jc w:val="center"/>
              <w:ind w:left="648"/>
              <w:spacing w:after="0"/>
              <w:rPr>
                <w:sz w:val="20"/>
                <w:szCs w:val="20"/>
                <w:color w:val="auto"/>
              </w:rPr>
            </w:pPr>
            <w:r>
              <w:rPr>
                <w:rFonts w:ascii="Arial" w:cs="Arial" w:eastAsia="Arial" w:hAnsi="Arial"/>
                <w:sz w:val="14"/>
                <w:szCs w:val="14"/>
                <w:b w:val="1"/>
                <w:bCs w:val="1"/>
                <w:color w:val="auto"/>
                <w:w w:val="92"/>
              </w:rPr>
              <w:t>+1 212 479-6000</w:t>
            </w: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Approximate date of commencement of proposed sale to the public:</w:t>
      </w:r>
    </w:p>
    <w:p>
      <w:pPr>
        <w:ind w:left="3440"/>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70"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94" w:lineRule="exact"/>
        <w:rPr>
          <w:sz w:val="24"/>
          <w:szCs w:val="24"/>
          <w:color w:val="auto"/>
        </w:rPr>
      </w:pPr>
    </w:p>
    <w:p>
      <w:pPr>
        <w:ind w:right="4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x 333-217124</w:t>
      </w:r>
    </w:p>
    <w:p>
      <w:pPr>
        <w:spacing w:after="0" w:line="52"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320"/>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82" w:lineRule="exact"/>
        <w:rPr>
          <w:sz w:val="24"/>
          <w:szCs w:val="24"/>
          <w:color w:val="auto"/>
        </w:rPr>
      </w:pPr>
    </w:p>
    <w:p>
      <w:pPr>
        <w:ind w:left="9700"/>
        <w:spacing w:after="0"/>
        <w:rPr>
          <w:sz w:val="20"/>
          <w:szCs w:val="20"/>
          <w:color w:val="auto"/>
        </w:rPr>
      </w:pPr>
      <w:r>
        <w:rPr>
          <w:rFonts w:ascii="Arial" w:cs="Arial" w:eastAsia="Arial" w:hAnsi="Arial"/>
          <w:sz w:val="13"/>
          <w:szCs w:val="13"/>
          <w:color w:val="auto"/>
        </w:rPr>
        <w:t>Emerging growth company x</w:t>
      </w:r>
    </w:p>
    <w:p>
      <w:pPr>
        <w:spacing w:after="0" w:line="94"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96520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880" w:type="dxa"/>
            <w:vAlign w:val="bottom"/>
            <w:tcBorders>
              <w:top w:val="single" w:sz="8" w:color="auto"/>
              <w:bottom w:val="single" w:sz="8" w:color="auto"/>
            </w:tcBorders>
          </w:tcPr>
          <w:p>
            <w:pPr>
              <w:spacing w:after="0"/>
              <w:rPr>
                <w:sz w:val="3"/>
                <w:szCs w:val="3"/>
                <w:color w:val="auto"/>
              </w:rPr>
            </w:pPr>
          </w:p>
        </w:tc>
        <w:tc>
          <w:tcPr>
            <w:tcW w:w="33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r>
      <w:tr>
        <w:trPr>
          <w:trHeight w:val="88"/>
        </w:trPr>
        <w:tc>
          <w:tcPr>
            <w:tcW w:w="2880" w:type="dxa"/>
            <w:vAlign w:val="bottom"/>
          </w:tcPr>
          <w:p>
            <w:pPr>
              <w:spacing w:after="0"/>
              <w:rPr>
                <w:sz w:val="7"/>
                <w:szCs w:val="7"/>
                <w:color w:val="auto"/>
              </w:rPr>
            </w:pPr>
          </w:p>
        </w:tc>
        <w:tc>
          <w:tcPr>
            <w:tcW w:w="332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Borders>
              <w:right w:val="single" w:sz="8" w:color="auto"/>
            </w:tcBorders>
          </w:tcPr>
          <w:p>
            <w:pPr>
              <w:jc w:val="center"/>
              <w:ind w:right="323"/>
              <w:spacing w:after="0" w:line="89" w:lineRule="exact"/>
              <w:rPr>
                <w:sz w:val="20"/>
                <w:szCs w:val="20"/>
                <w:color w:val="auto"/>
              </w:rPr>
            </w:pPr>
            <w:r>
              <w:rPr>
                <w:rFonts w:ascii="Arial" w:cs="Arial" w:eastAsia="Arial" w:hAnsi="Arial"/>
                <w:sz w:val="10"/>
                <w:szCs w:val="10"/>
                <w:b w:val="1"/>
                <w:bCs w:val="1"/>
                <w:color w:val="auto"/>
                <w:w w:val="98"/>
              </w:rPr>
              <w:t>Proposed Maximum</w:t>
            </w:r>
          </w:p>
        </w:tc>
        <w:tc>
          <w:tcPr>
            <w:tcW w:w="720" w:type="dxa"/>
            <w:vAlign w:val="bottom"/>
          </w:tcPr>
          <w:p>
            <w:pPr>
              <w:spacing w:after="0"/>
              <w:rPr>
                <w:sz w:val="7"/>
                <w:szCs w:val="7"/>
                <w:color w:val="auto"/>
              </w:rPr>
            </w:pPr>
          </w:p>
        </w:tc>
        <w:tc>
          <w:tcPr>
            <w:tcW w:w="1920" w:type="dxa"/>
            <w:vAlign w:val="bottom"/>
          </w:tcPr>
          <w:p>
            <w:pPr>
              <w:jc w:val="center"/>
              <w:ind w:right="503"/>
              <w:spacing w:after="0" w:line="89" w:lineRule="exact"/>
              <w:rPr>
                <w:sz w:val="20"/>
                <w:szCs w:val="20"/>
                <w:color w:val="auto"/>
              </w:rPr>
            </w:pPr>
            <w:r>
              <w:rPr>
                <w:rFonts w:ascii="Arial" w:cs="Arial" w:eastAsia="Arial" w:hAnsi="Arial"/>
                <w:sz w:val="10"/>
                <w:szCs w:val="10"/>
                <w:b w:val="1"/>
                <w:bCs w:val="1"/>
                <w:color w:val="auto"/>
                <w:w w:val="95"/>
              </w:rPr>
              <w:t>Amount of</w:t>
            </w:r>
          </w:p>
        </w:tc>
      </w:tr>
      <w:tr>
        <w:trPr>
          <w:trHeight w:val="122"/>
        </w:trPr>
        <w:tc>
          <w:tcPr>
            <w:tcW w:w="620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1"/>
                <w:szCs w:val="11"/>
                <w:b w:val="1"/>
                <w:bCs w:val="1"/>
                <w:color w:val="auto"/>
              </w:rPr>
              <w:t>Title of Each Class of</w:t>
            </w:r>
          </w:p>
        </w:tc>
        <w:tc>
          <w:tcPr>
            <w:tcW w:w="620" w:type="dxa"/>
            <w:vAlign w:val="bottom"/>
          </w:tcPr>
          <w:p>
            <w:pPr>
              <w:spacing w:after="0"/>
              <w:rPr>
                <w:sz w:val="10"/>
                <w:szCs w:val="10"/>
                <w:color w:val="auto"/>
              </w:rPr>
            </w:pPr>
          </w:p>
        </w:tc>
        <w:tc>
          <w:tcPr>
            <w:tcW w:w="1960" w:type="dxa"/>
            <w:vAlign w:val="bottom"/>
            <w:tcBorders>
              <w:right w:val="single" w:sz="8" w:color="auto"/>
            </w:tcBorders>
          </w:tcPr>
          <w:p>
            <w:pPr>
              <w:jc w:val="center"/>
              <w:ind w:right="303"/>
              <w:spacing w:after="0" w:line="122" w:lineRule="exact"/>
              <w:rPr>
                <w:sz w:val="20"/>
                <w:szCs w:val="20"/>
                <w:color w:val="auto"/>
              </w:rPr>
            </w:pPr>
            <w:r>
              <w:rPr>
                <w:rFonts w:ascii="Arial" w:cs="Arial" w:eastAsia="Arial" w:hAnsi="Arial"/>
                <w:sz w:val="11"/>
                <w:szCs w:val="11"/>
                <w:b w:val="1"/>
                <w:bCs w:val="1"/>
                <w:color w:val="auto"/>
                <w:w w:val="88"/>
              </w:rPr>
              <w:t>Aggregate</w:t>
            </w:r>
          </w:p>
        </w:tc>
        <w:tc>
          <w:tcPr>
            <w:tcW w:w="720" w:type="dxa"/>
            <w:vAlign w:val="bottom"/>
          </w:tcPr>
          <w:p>
            <w:pPr>
              <w:spacing w:after="0"/>
              <w:rPr>
                <w:sz w:val="10"/>
                <w:szCs w:val="10"/>
                <w:color w:val="auto"/>
              </w:rPr>
            </w:pPr>
          </w:p>
        </w:tc>
        <w:tc>
          <w:tcPr>
            <w:tcW w:w="1920" w:type="dxa"/>
            <w:vAlign w:val="bottom"/>
          </w:tcPr>
          <w:p>
            <w:pPr>
              <w:jc w:val="center"/>
              <w:ind w:right="503"/>
              <w:spacing w:after="0" w:line="122" w:lineRule="exact"/>
              <w:rPr>
                <w:sz w:val="20"/>
                <w:szCs w:val="20"/>
                <w:color w:val="auto"/>
              </w:rPr>
            </w:pPr>
            <w:r>
              <w:rPr>
                <w:rFonts w:ascii="Arial" w:cs="Arial" w:eastAsia="Arial" w:hAnsi="Arial"/>
                <w:sz w:val="11"/>
                <w:szCs w:val="11"/>
                <w:b w:val="1"/>
                <w:bCs w:val="1"/>
                <w:color w:val="auto"/>
                <w:w w:val="87"/>
              </w:rPr>
              <w:t>Registration</w:t>
            </w:r>
          </w:p>
        </w:tc>
      </w:tr>
      <w:tr>
        <w:trPr>
          <w:trHeight w:val="135"/>
        </w:trPr>
        <w:tc>
          <w:tcPr>
            <w:tcW w:w="6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1"/>
                <w:szCs w:val="11"/>
                <w:b w:val="1"/>
                <w:bCs w:val="1"/>
                <w:color w:val="auto"/>
              </w:rPr>
              <w:t>Securities to be Registered</w:t>
            </w:r>
          </w:p>
        </w:tc>
        <w:tc>
          <w:tcPr>
            <w:tcW w:w="62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jc w:val="center"/>
              <w:ind w:right="303"/>
              <w:spacing w:after="0"/>
              <w:rPr>
                <w:sz w:val="20"/>
                <w:szCs w:val="20"/>
                <w:color w:val="auto"/>
              </w:rPr>
            </w:pPr>
            <w:r>
              <w:rPr>
                <w:rFonts w:ascii="Arial" w:cs="Arial" w:eastAsia="Arial" w:hAnsi="Arial"/>
                <w:sz w:val="11"/>
                <w:szCs w:val="11"/>
                <w:b w:val="1"/>
                <w:bCs w:val="1"/>
                <w:color w:val="auto"/>
                <w:w w:val="92"/>
              </w:rPr>
              <w:t>Offering Price (1)(2)(3)</w:t>
            </w:r>
          </w:p>
        </w:tc>
        <w:tc>
          <w:tcPr>
            <w:tcW w:w="7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jc w:val="center"/>
              <w:ind w:right="503"/>
              <w:spacing w:after="0"/>
              <w:rPr>
                <w:sz w:val="20"/>
                <w:szCs w:val="20"/>
                <w:color w:val="auto"/>
              </w:rPr>
            </w:pPr>
            <w:r>
              <w:rPr>
                <w:rFonts w:ascii="Arial" w:cs="Arial" w:eastAsia="Arial" w:hAnsi="Arial"/>
                <w:sz w:val="11"/>
                <w:szCs w:val="11"/>
                <w:b w:val="1"/>
                <w:bCs w:val="1"/>
                <w:color w:val="auto"/>
                <w:w w:val="84"/>
              </w:rPr>
              <w:t>Fee</w:t>
            </w:r>
          </w:p>
        </w:tc>
      </w:tr>
      <w:tr>
        <w:trPr>
          <w:trHeight w:val="142"/>
        </w:trPr>
        <w:tc>
          <w:tcPr>
            <w:tcW w:w="62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Ordinary shares, nominal value £0.05 per share(4)</w:t>
            </w:r>
          </w:p>
        </w:tc>
        <w:tc>
          <w:tcPr>
            <w:tcW w:w="6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1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5,431,899</w:t>
            </w:r>
          </w:p>
        </w:tc>
        <w:tc>
          <w:tcPr>
            <w:tcW w:w="7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color w:val="auto"/>
              </w:rPr>
              <w:t>630</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56"/>
        </w:trPr>
        <w:tc>
          <w:tcPr>
            <w:tcW w:w="2880" w:type="dxa"/>
            <w:vAlign w:val="bottom"/>
            <w:tcBorders>
              <w:bottom w:val="single" w:sz="8" w:color="808080"/>
            </w:tcBorders>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89" w:lineRule="exact"/>
        <w:rPr>
          <w:sz w:val="24"/>
          <w:szCs w:val="24"/>
          <w:color w:val="auto"/>
        </w:rPr>
      </w:pPr>
    </w:p>
    <w:p>
      <w:pPr>
        <w:ind w:left="420" w:right="260" w:hanging="412"/>
        <w:spacing w:after="0" w:line="227"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462(b) promulgated under the Securities Act of 1933, as amended, an additional amount of securities having a proposed maximum offering price of no more than 20% of the maximum aggregate offering price of the securities eligible to be sold under the related Registration Statement on Form F-1, as amended (File No. 333-217124), is hereby registered.</w:t>
      </w:r>
    </w:p>
    <w:p>
      <w:pPr>
        <w:ind w:left="420" w:hanging="412"/>
        <w:spacing w:after="0" w:line="221"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additional ordinary shares represented by American Depositary Shares, or ADSs, which the underwriters have the option to purchase.</w:t>
      </w:r>
    </w:p>
    <w:p>
      <w:pPr>
        <w:ind w:left="420" w:right="20" w:hanging="412"/>
        <w:spacing w:after="0" w:line="221"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Based on an initial public offering price of $13.50 per ADS in a public offering in the United States, or the U.S. offering, and an offering price of £1.32 per ordinary share in a private placement in the United Kingdom and other countries outside of the United States and Canada, which is equivalent to a price per share of $1.69 based on an exchange rate of £1.00 to $1.2783 on April 21, 2017.</w:t>
      </w:r>
    </w:p>
    <w:p>
      <w:pPr>
        <w:ind w:left="420" w:right="80" w:hanging="412"/>
        <w:spacing w:after="0" w:line="237"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the U.S. offering, all ordinary shares are in the form of ADSs, with each ADS representing eight ordinary shares. ADSs issuable upon deposit of the ordinary shares registered hereby have been registered pursuant to a separate Registration Statement on Form F-6.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111125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4" w:lineRule="exact"/>
        <w:rPr>
          <w:sz w:val="24"/>
          <w:szCs w:val="24"/>
          <w:color w:val="auto"/>
        </w:rPr>
      </w:pPr>
    </w:p>
    <w:p>
      <w:pPr>
        <w:ind w:left="780" w:right="460" w:hanging="772"/>
        <w:spacing w:after="0" w:line="253" w:lineRule="auto"/>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 AND INCORPORATION OF CERTAIN INFORMATION BY REFERENCE</w:t>
      </w:r>
    </w:p>
    <w:p>
      <w:pPr>
        <w:spacing w:after="0" w:line="229" w:lineRule="exact"/>
        <w:rPr>
          <w:sz w:val="24"/>
          <w:szCs w:val="24"/>
          <w:color w:val="auto"/>
        </w:rPr>
      </w:pPr>
    </w:p>
    <w:p>
      <w:pPr>
        <w:ind w:right="400" w:firstLine="648"/>
        <w:spacing w:after="0" w:line="342" w:lineRule="auto"/>
        <w:rPr>
          <w:sz w:val="20"/>
          <w:szCs w:val="20"/>
          <w:color w:val="auto"/>
        </w:rPr>
      </w:pPr>
      <w:r>
        <w:rPr>
          <w:rFonts w:ascii="Arial" w:cs="Arial" w:eastAsia="Arial" w:hAnsi="Arial"/>
          <w:sz w:val="16"/>
          <w:szCs w:val="16"/>
          <w:color w:val="auto"/>
        </w:rPr>
        <w:t>This Registration Statement is being filed with the Securities and Exchange Commission (the “Commission”) pursuant to Rule 462(b) under the Securities Act of 1933, as amended (the “Act”). The contents of the Registration Statement on Form- F-1, as amended (File No. 333-217124) by Verona</w:t>
      </w:r>
    </w:p>
    <w:p>
      <w:pPr>
        <w:sectPr>
          <w:pgSz w:w="11900" w:h="16935" w:orient="portrait"/>
          <w:cols w:equalWidth="0" w:num="1">
            <w:col w:w="11420"/>
          </w:cols>
          <w:pgMar w:left="240" w:top="292" w:right="239" w:bottom="0" w:gutter="0" w:footer="0" w:header="0"/>
        </w:sectPr>
      </w:pPr>
    </w:p>
    <w:bookmarkStart w:id="1" w:name="page2"/>
    <w:bookmarkEnd w:id="1"/>
    <w:p>
      <w:pPr>
        <w:ind w:right="60"/>
        <w:spacing w:after="0" w:line="277" w:lineRule="auto"/>
        <w:rPr>
          <w:sz w:val="20"/>
          <w:szCs w:val="20"/>
          <w:color w:val="auto"/>
        </w:rPr>
      </w:pPr>
      <w:r>
        <w:rPr>
          <w:rFonts w:ascii="Arial" w:cs="Arial" w:eastAsia="Arial" w:hAnsi="Arial"/>
          <w:sz w:val="18"/>
          <w:szCs w:val="18"/>
          <w:color w:val="auto"/>
        </w:rPr>
        <w:t>Pharma plc filed with the Commission pursuant to the Act, which was declared effective by the Commission on April 26, 2017, including the exhibits thereto, are hereby incorporated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London, the United Kingdom on April 26, 2017.</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VERONA PHARMA PLC</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Jan-Anders Karlsson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Jan-Anders Karlsson,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26, 2017 in the capacities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14"/>
                <w:szCs w:val="14"/>
                <w:color w:val="auto"/>
              </w:rPr>
            </w:pPr>
          </w:p>
        </w:tc>
        <w:tc>
          <w:tcPr>
            <w:tcW w:w="5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r>
      <w:tr>
        <w:trPr>
          <w:trHeight w:val="426"/>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11"/>
              <w:spacing w:after="0"/>
              <w:rPr>
                <w:sz w:val="20"/>
                <w:szCs w:val="20"/>
                <w:color w:val="auto"/>
              </w:rPr>
            </w:pPr>
            <w:r>
              <w:rPr>
                <w:rFonts w:ascii="Arial" w:cs="Arial" w:eastAsia="Arial" w:hAnsi="Arial"/>
                <w:sz w:val="18"/>
                <w:szCs w:val="18"/>
                <w:color w:val="auto"/>
                <w:w w:val="89"/>
              </w:rPr>
              <w:t>/s/ Jan-Anders Karlsson</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Member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11"/>
              <w:spacing w:after="0"/>
              <w:rPr>
                <w:sz w:val="20"/>
                <w:szCs w:val="20"/>
                <w:color w:val="auto"/>
              </w:rPr>
            </w:pPr>
            <w:r>
              <w:rPr>
                <w:rFonts w:ascii="Arial" w:cs="Arial" w:eastAsia="Arial" w:hAnsi="Arial"/>
                <w:sz w:val="18"/>
                <w:szCs w:val="18"/>
                <w:color w:val="auto"/>
                <w:w w:val="90"/>
              </w:rPr>
              <w:t>Jan-Anders Karlsson, Ph.D.</w:t>
            </w:r>
          </w:p>
        </w:tc>
        <w:tc>
          <w:tcPr>
            <w:tcW w:w="220" w:type="dxa"/>
            <w:vAlign w:val="bottom"/>
          </w:tcPr>
          <w:p>
            <w:pPr>
              <w:spacing w:after="0"/>
              <w:rPr>
                <w:sz w:val="19"/>
                <w:szCs w:val="19"/>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w w:val="90"/>
              </w:rPr>
              <w:t>/s/ Piers Morgan</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31"/>
              <w:spacing w:after="0"/>
              <w:rPr>
                <w:sz w:val="20"/>
                <w:szCs w:val="20"/>
                <w:color w:val="auto"/>
              </w:rPr>
            </w:pPr>
            <w:r>
              <w:rPr>
                <w:rFonts w:ascii="Arial" w:cs="Arial" w:eastAsia="Arial" w:hAnsi="Arial"/>
                <w:sz w:val="18"/>
                <w:szCs w:val="18"/>
                <w:color w:val="auto"/>
                <w:w w:val="91"/>
              </w:rPr>
              <w:t>Piers Morgan</w:t>
            </w:r>
          </w:p>
        </w:tc>
        <w:tc>
          <w:tcPr>
            <w:tcW w:w="220" w:type="dxa"/>
            <w:vAlign w:val="bottom"/>
          </w:tcPr>
          <w:p>
            <w:pPr>
              <w:spacing w:after="0"/>
              <w:rPr>
                <w:sz w:val="19"/>
                <w:szCs w:val="19"/>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11"/>
              <w:spacing w:after="0"/>
              <w:rPr>
                <w:sz w:val="20"/>
                <w:szCs w:val="20"/>
                <w:color w:val="auto"/>
              </w:rPr>
            </w:pPr>
            <w:r>
              <w:rPr>
                <w:rFonts w:ascii="Arial" w:cs="Arial" w:eastAsia="Arial" w:hAnsi="Arial"/>
                <w:sz w:val="18"/>
                <w:szCs w:val="18"/>
                <w:color w:val="auto"/>
                <w:w w:val="92"/>
              </w:rPr>
              <w:t>David Ebsworth, Ph.D.</w:t>
            </w:r>
          </w:p>
        </w:tc>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31"/>
              <w:spacing w:after="0"/>
              <w:rPr>
                <w:sz w:val="20"/>
                <w:szCs w:val="20"/>
                <w:color w:val="auto"/>
              </w:rPr>
            </w:pPr>
            <w:r>
              <w:rPr>
                <w:rFonts w:ascii="Arial" w:cs="Arial" w:eastAsia="Arial" w:hAnsi="Arial"/>
                <w:sz w:val="18"/>
                <w:szCs w:val="18"/>
                <w:color w:val="auto"/>
                <w:w w:val="92"/>
              </w:rPr>
              <w:t>Ken Cunningham, M.D.</w:t>
            </w:r>
          </w:p>
        </w:tc>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31"/>
              <w:spacing w:after="0"/>
              <w:rPr>
                <w:sz w:val="20"/>
                <w:szCs w:val="20"/>
                <w:color w:val="auto"/>
              </w:rPr>
            </w:pPr>
            <w:r>
              <w:rPr>
                <w:rFonts w:ascii="Arial" w:cs="Arial" w:eastAsia="Arial" w:hAnsi="Arial"/>
                <w:sz w:val="18"/>
                <w:szCs w:val="18"/>
                <w:color w:val="auto"/>
                <w:w w:val="91"/>
              </w:rPr>
              <w:t>Rishi Gupta</w:t>
            </w:r>
          </w:p>
        </w:tc>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31"/>
              <w:spacing w:after="0"/>
              <w:rPr>
                <w:sz w:val="20"/>
                <w:szCs w:val="20"/>
                <w:color w:val="auto"/>
              </w:rPr>
            </w:pPr>
            <w:r>
              <w:rPr>
                <w:rFonts w:ascii="Arial" w:cs="Arial" w:eastAsia="Arial" w:hAnsi="Arial"/>
                <w:sz w:val="18"/>
                <w:szCs w:val="18"/>
                <w:color w:val="auto"/>
                <w:w w:val="89"/>
              </w:rPr>
              <w:t>Mahendra G. Shah, Ph.D.</w:t>
            </w:r>
          </w:p>
        </w:tc>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11"/>
              <w:spacing w:after="0"/>
              <w:rPr>
                <w:sz w:val="20"/>
                <w:szCs w:val="20"/>
                <w:color w:val="auto"/>
              </w:rPr>
            </w:pPr>
            <w:r>
              <w:rPr>
                <w:rFonts w:ascii="Arial" w:cs="Arial" w:eastAsia="Arial" w:hAnsi="Arial"/>
                <w:sz w:val="18"/>
                <w:szCs w:val="18"/>
                <w:color w:val="auto"/>
                <w:w w:val="93"/>
              </w:rPr>
              <w:t>Andrew Sinclair, Ph.D.</w:t>
            </w:r>
          </w:p>
        </w:tc>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31"/>
              <w:spacing w:after="0"/>
              <w:rPr>
                <w:sz w:val="20"/>
                <w:szCs w:val="20"/>
                <w:color w:val="auto"/>
              </w:rPr>
            </w:pPr>
            <w:r>
              <w:rPr>
                <w:rFonts w:ascii="Arial" w:cs="Arial" w:eastAsia="Arial" w:hAnsi="Arial"/>
                <w:sz w:val="18"/>
                <w:szCs w:val="18"/>
                <w:color w:val="auto"/>
                <w:w w:val="90"/>
              </w:rPr>
              <w:t>Vikas Sinha</w:t>
            </w:r>
          </w:p>
        </w:tc>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5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980" w:type="dxa"/>
            <w:vAlign w:val="bottom"/>
          </w:tcPr>
          <w:p>
            <w:pPr>
              <w:jc w:val="center"/>
              <w:spacing w:after="0"/>
              <w:rPr>
                <w:sz w:val="20"/>
                <w:szCs w:val="20"/>
                <w:color w:val="auto"/>
              </w:rPr>
            </w:pPr>
            <w:r>
              <w:rPr>
                <w:rFonts w:ascii="Arial" w:cs="Arial" w:eastAsia="Arial" w:hAnsi="Arial"/>
                <w:sz w:val="18"/>
                <w:szCs w:val="18"/>
                <w:color w:val="auto"/>
                <w:w w:val="91"/>
              </w:rPr>
              <w:t>Member of the Board</w:t>
            </w:r>
          </w:p>
        </w:tc>
        <w:tc>
          <w:tcPr>
            <w:tcW w:w="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00" w:type="dxa"/>
            <w:vAlign w:val="bottom"/>
          </w:tcPr>
          <w:p>
            <w:pPr>
              <w:jc w:val="center"/>
              <w:ind w:right="511"/>
              <w:spacing w:after="0"/>
              <w:rPr>
                <w:sz w:val="20"/>
                <w:szCs w:val="20"/>
                <w:color w:val="auto"/>
              </w:rPr>
            </w:pPr>
            <w:r>
              <w:rPr>
                <w:rFonts w:ascii="Arial" w:cs="Arial" w:eastAsia="Arial" w:hAnsi="Arial"/>
                <w:sz w:val="18"/>
                <w:szCs w:val="18"/>
                <w:color w:val="auto"/>
                <w:w w:val="94"/>
              </w:rPr>
              <w:t>Anders Ullman, M.D., Ph.D.</w:t>
            </w:r>
          </w:p>
        </w:tc>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Jan-Anders Karlsson</w:t>
            </w:r>
          </w:p>
        </w:tc>
        <w:tc>
          <w:tcPr>
            <w:tcW w:w="2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20" w:type="dxa"/>
            <w:vAlign w:val="bottom"/>
          </w:tcPr>
          <w:p>
            <w:pPr>
              <w:spacing w:after="0"/>
              <w:rPr>
                <w:sz w:val="16"/>
                <w:szCs w:val="16"/>
                <w:color w:val="auto"/>
              </w:rPr>
            </w:pPr>
          </w:p>
        </w:tc>
        <w:tc>
          <w:tcPr>
            <w:tcW w:w="4600" w:type="dxa"/>
            <w:vAlign w:val="bottom"/>
          </w:tcPr>
          <w:p>
            <w:pPr>
              <w:jc w:val="center"/>
              <w:spacing w:after="0" w:line="195" w:lineRule="exact"/>
              <w:rPr>
                <w:sz w:val="20"/>
                <w:szCs w:val="20"/>
                <w:color w:val="auto"/>
              </w:rPr>
            </w:pPr>
            <w:r>
              <w:rPr>
                <w:rFonts w:ascii="Arial" w:cs="Arial" w:eastAsia="Arial" w:hAnsi="Arial"/>
                <w:sz w:val="18"/>
                <w:szCs w:val="18"/>
                <w:color w:val="auto"/>
                <w:w w:val="89"/>
              </w:rPr>
              <w:t>Jan-Anders Karlsson, Ph.D.,</w:t>
            </w:r>
          </w:p>
        </w:tc>
        <w:tc>
          <w:tcPr>
            <w:tcW w:w="2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i w:val="1"/>
                <w:iCs w:val="1"/>
                <w:color w:val="auto"/>
                <w:w w:val="95"/>
              </w:rPr>
              <w:t>Attorney-in-fact</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II-1</w:t>
            </w:r>
          </w:p>
        </w:tc>
        <w:tc>
          <w:tcPr>
            <w:tcW w:w="40" w:type="dxa"/>
            <w:vAlign w:val="bottom"/>
          </w:tcPr>
          <w:p>
            <w:pPr>
              <w:spacing w:after="0"/>
              <w:rPr>
                <w:sz w:val="24"/>
                <w:szCs w:val="24"/>
                <w:color w:val="auto"/>
              </w:rPr>
            </w:pPr>
          </w:p>
        </w:tc>
      </w:tr>
      <w:tr>
        <w:trPr>
          <w:trHeight w:val="132"/>
        </w:trPr>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Verona Pharma plc has signed this registration statement on April 26, 2017.</w:t>
      </w:r>
    </w:p>
    <w:p>
      <w:pPr>
        <w:spacing w:after="0" w:line="387"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40" w:type="dxa"/>
            <w:vAlign w:val="bottom"/>
            <w:gridSpan w:val="3"/>
          </w:tcPr>
          <w:p>
            <w:pPr>
              <w:spacing w:after="0"/>
              <w:rPr>
                <w:sz w:val="20"/>
                <w:szCs w:val="20"/>
                <w:color w:val="auto"/>
              </w:rPr>
            </w:pPr>
            <w:r>
              <w:rPr>
                <w:rFonts w:ascii="Arial" w:cs="Arial" w:eastAsia="Arial" w:hAnsi="Arial"/>
                <w:sz w:val="18"/>
                <w:szCs w:val="18"/>
                <w:color w:val="auto"/>
              </w:rPr>
              <w:t>By:   /s/ Colleen A. Devries</w:t>
            </w:r>
          </w:p>
        </w:tc>
      </w:tr>
      <w:tr>
        <w:trPr>
          <w:trHeight w:val="195"/>
        </w:trPr>
        <w:tc>
          <w:tcPr>
            <w:tcW w:w="5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Colleen A. DeVries</w:t>
            </w: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SVP on behalf of National Corporate Research, Ltd.</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60"/>
          </w:cols>
          <w:pgMar w:left="240" w:top="125" w:right="1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7"/>
                <w:szCs w:val="17"/>
                <w:color w:val="auto"/>
                <w:w w:val="86"/>
              </w:rPr>
              <w:t>5.1</w:t>
            </w:r>
            <w:r>
              <w:rPr>
                <w:rFonts w:ascii="Arial" w:cs="Arial" w:eastAsia="Arial" w:hAnsi="Arial"/>
                <w:sz w:val="22"/>
                <w:szCs w:val="22"/>
                <w:color w:val="auto"/>
                <w:w w:val="86"/>
                <w:vertAlign w:val="superscript"/>
              </w:rPr>
              <w:t>(1)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Opinion of Latham &amp; Watkins LLP, counsel to the Registrant, as to the validity of the ordinary shares</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line="216" w:lineRule="exact"/>
              <w:rPr>
                <w:sz w:val="20"/>
                <w:szCs w:val="20"/>
                <w:color w:val="auto"/>
              </w:rPr>
            </w:pPr>
            <w:r>
              <w:rPr>
                <w:rFonts w:ascii="Arial" w:cs="Arial" w:eastAsia="Arial" w:hAnsi="Arial"/>
                <w:sz w:val="18"/>
                <w:szCs w:val="18"/>
                <w:color w:val="auto"/>
                <w:w w:val="85"/>
              </w:rPr>
              <w:t>23.2</w:t>
            </w:r>
            <w:r>
              <w:rPr>
                <w:rFonts w:ascii="Arial" w:cs="Arial" w:eastAsia="Arial" w:hAnsi="Arial"/>
                <w:sz w:val="23"/>
                <w:szCs w:val="23"/>
                <w:color w:val="auto"/>
                <w:w w:val="85"/>
                <w:vertAlign w:val="superscript"/>
              </w:rPr>
              <w:t>(2)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Latham &amp; Watkins LLP, counsel of the Registrant (included in Exhibit 5.1)</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line="216" w:lineRule="exact"/>
              <w:rPr>
                <w:sz w:val="20"/>
                <w:szCs w:val="20"/>
                <w:color w:val="auto"/>
              </w:rPr>
            </w:pPr>
            <w:r>
              <w:rPr>
                <w:rFonts w:ascii="Arial" w:cs="Arial" w:eastAsia="Arial" w:hAnsi="Arial"/>
                <w:sz w:val="18"/>
                <w:szCs w:val="18"/>
                <w:color w:val="auto"/>
                <w:w w:val="85"/>
              </w:rPr>
              <w:t>24.1</w:t>
            </w:r>
            <w:r>
              <w:rPr>
                <w:rFonts w:ascii="Arial" w:cs="Arial" w:eastAsia="Arial" w:hAnsi="Arial"/>
                <w:sz w:val="23"/>
                <w:szCs w:val="23"/>
                <w:color w:val="auto"/>
                <w:w w:val="85"/>
                <w:vertAlign w:val="superscript"/>
              </w:rPr>
              <w:t>(3)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1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5"/>
              </w:rPr>
              <w:t>24.2</w:t>
            </w:r>
            <w:r>
              <w:rPr>
                <w:rFonts w:ascii="Arial" w:cs="Arial" w:eastAsia="Arial" w:hAnsi="Arial"/>
                <w:sz w:val="23"/>
                <w:szCs w:val="23"/>
                <w:color w:val="auto"/>
                <w:w w:val="85"/>
                <w:vertAlign w:val="superscript"/>
              </w:rPr>
              <w:t>(4)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Power of Attorney of Mahendra G. Shah,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left="660" w:right="160" w:hanging="652"/>
        <w:spacing w:after="0" w:line="258"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5.1 to the Registrant’s Registration Statement on Form F-1, as amended (File No. 333-217124), filed with the Securities and Exchange Commission on April 26, 2017 and incorporated by reference herein.</w:t>
      </w:r>
    </w:p>
    <w:p>
      <w:pPr>
        <w:spacing w:after="0" w:line="1" w:lineRule="exact"/>
        <w:rPr>
          <w:rFonts w:ascii="Arial" w:cs="Arial" w:eastAsia="Arial" w:hAnsi="Arial"/>
          <w:sz w:val="18"/>
          <w:szCs w:val="18"/>
          <w:color w:val="auto"/>
        </w:rPr>
      </w:pPr>
    </w:p>
    <w:p>
      <w:pPr>
        <w:ind w:left="660" w:right="220" w:hanging="652"/>
        <w:spacing w:after="0" w:line="250"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23.2 to the Registrant’s Registration Statement on Form F-1, as amended (File No. 333-217124), initially filed with the Securities and Exchange Commission on April 3, 2017 and incorporated by reference herein.</w:t>
      </w:r>
    </w:p>
    <w:p>
      <w:pPr>
        <w:ind w:left="660" w:right="380" w:hanging="652"/>
        <w:spacing w:after="0" w:line="250"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on the signature page to the Registrant’s Registration Statement on Form F-1, as amended (File No. 333-217124), filed with the Securities and Exchange Commission on April 3, 2017 and incorporated by reference herein.</w:t>
      </w:r>
    </w:p>
    <w:p>
      <w:pPr>
        <w:ind w:left="660" w:right="380" w:hanging="652"/>
        <w:spacing w:after="0" w:line="261"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on the signature page to the Registrant’s Registration Statement on Form F-1, as amended (File No. 333-217124), filed with the Securities and Exchange Commission on April 18, 2017 and incorporated by reference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F-1 filed pursuant to Rule 462(b) of the Securities Act of 1933, as amended, of our report dated March 2, 2017 relating to the financial statements of Verona Pharma plc, which appears in Amendment No. 1 to the Registration Statement on Form F-1 (No. 333-217124). We also consent to the reference to us under the heading “Experts” in Amendment No. 1 to the Registration Statement on Form F-1 (No. 333-217124).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2019-12-08T04:51:36Z</dcterms:created>
  <dcterms:modified xsi:type="dcterms:W3CDTF">2019-12-08T04:51:36Z</dcterms:modified>
</cp:coreProperties>
</file>