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3" w:lineRule="exact"/>
        <w:rPr>
          <w:sz w:val="24"/>
          <w:szCs w:val="24"/>
          <w:color w:val="auto"/>
        </w:rPr>
      </w:pPr>
    </w:p>
    <w:p>
      <w:pPr>
        <w:ind w:left="1660" w:hanging="316"/>
        <w:spacing w:after="0"/>
        <w:tabs>
          <w:tab w:leader="none" w:pos="16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7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001-38067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5"/>
                <w:szCs w:val="15"/>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4"/>
                <w:szCs w:val="14"/>
                <w:b w:val="1"/>
                <w:bCs w:val="1"/>
                <w:color w:val="auto"/>
              </w:rPr>
              <w:t>98-1489389</w:t>
            </w:r>
          </w:p>
        </w:tc>
      </w:tr>
      <w:tr>
        <w:trPr>
          <w:trHeight w:val="151"/>
        </w:trPr>
        <w:tc>
          <w:tcPr>
            <w:tcW w:w="7420" w:type="dxa"/>
            <w:vAlign w:val="bottom"/>
            <w:gridSpan w:val="2"/>
          </w:tcPr>
          <w:p>
            <w:pPr>
              <w:jc w:val="center"/>
              <w:ind w:right="2155"/>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40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72"/>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04"/>
        </w:trPr>
        <w:tc>
          <w:tcPr>
            <w:tcW w:w="3780" w:type="dxa"/>
            <w:vAlign w:val="bottom"/>
          </w:tcPr>
          <w:p>
            <w:pPr>
              <w:spacing w:after="0"/>
              <w:rPr>
                <w:sz w:val="17"/>
                <w:szCs w:val="17"/>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+44 203 283 4200</w:t>
            </w:r>
          </w:p>
        </w:tc>
        <w:tc>
          <w:tcPr>
            <w:tcW w:w="3840" w:type="dxa"/>
            <w:vAlign w:val="bottom"/>
          </w:tcPr>
          <w:p>
            <w:pPr>
              <w:spacing w:after="0"/>
              <w:rPr>
                <w:sz w:val="17"/>
                <w:szCs w:val="17"/>
                <w:color w:val="auto"/>
              </w:rPr>
            </w:pPr>
          </w:p>
        </w:tc>
      </w:tr>
      <w:tr>
        <w:trPr>
          <w:trHeight w:val="186"/>
        </w:trPr>
        <w:tc>
          <w:tcPr>
            <w:tcW w:w="3780" w:type="dxa"/>
            <w:vAlign w:val="bottom"/>
          </w:tcPr>
          <w:p>
            <w:pPr>
              <w:spacing w:after="0"/>
              <w:rPr>
                <w:sz w:val="16"/>
                <w:szCs w:val="16"/>
                <w:color w:val="auto"/>
              </w:rPr>
            </w:pPr>
          </w:p>
        </w:tc>
        <w:tc>
          <w:tcPr>
            <w:tcW w:w="364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40" w:type="dxa"/>
            <w:vAlign w:val="bottom"/>
            <w:tcBorders>
              <w:bottom w:val="single" w:sz="8" w:color="auto"/>
            </w:tcBorders>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Times New Roman" w:cs="Times New Roman" w:eastAsia="Times New Roman" w:hAnsi="Times New Roman"/>
                <w:sz w:val="11"/>
                <w:szCs w:val="11"/>
                <w:color w:val="auto"/>
              </w:rPr>
              <w:t>Ordinary shares, nominal value £0.05 per share*</w:t>
            </w:r>
          </w:p>
        </w:tc>
        <w:tc>
          <w:tcPr>
            <w:tcW w:w="3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VRNA</w:t>
            </w:r>
          </w:p>
        </w:tc>
        <w:tc>
          <w:tcPr>
            <w:tcW w:w="3840" w:type="dxa"/>
            <w:vAlign w:val="bottom"/>
          </w:tcPr>
          <w:p>
            <w:pPr>
              <w:jc w:val="center"/>
              <w:ind w:right="1056"/>
              <w:spacing w:after="0"/>
              <w:rPr>
                <w:sz w:val="20"/>
                <w:szCs w:val="20"/>
                <w:color w:val="auto"/>
              </w:rPr>
            </w:pPr>
            <w:r>
              <w:rPr>
                <w:rFonts w:ascii="Times New Roman" w:cs="Times New Roman" w:eastAsia="Times New Roman" w:hAnsi="Times New Roman"/>
                <w:sz w:val="11"/>
                <w:szCs w:val="11"/>
                <w:color w:val="auto"/>
              </w:rPr>
              <w:t>The Nasdaq Stock Market LLC (Nasdaq Global Market)</w:t>
            </w:r>
          </w:p>
        </w:tc>
      </w:tr>
    </w:tbl>
    <w:p>
      <w:pPr>
        <w:spacing w:after="0" w:line="161" w:lineRule="exact"/>
        <w:rPr>
          <w:sz w:val="24"/>
          <w:szCs w:val="24"/>
          <w:color w:val="auto"/>
        </w:rPr>
      </w:pPr>
    </w:p>
    <w:p>
      <w:pPr>
        <w:ind w:right="440" w:firstLine="5"/>
        <w:spacing w:after="0" w:line="270" w:lineRule="auto"/>
        <w:tabs>
          <w:tab w:leader="none" w:pos="8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151" w:lineRule="exact"/>
        <w:rPr>
          <w:sz w:val="24"/>
          <w:szCs w:val="24"/>
          <w:color w:val="auto"/>
        </w:rPr>
      </w:pPr>
    </w:p>
    <w:p>
      <w:pPr>
        <w:ind w:right="38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3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vMerge w:val="restart"/>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85"/>
        </w:trPr>
        <w:tc>
          <w:tcPr>
            <w:tcW w:w="308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Small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59"/>
        </w:trPr>
        <w:tc>
          <w:tcPr>
            <w:tcW w:w="308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3600" w:type="dxa"/>
            <w:vAlign w:val="bottom"/>
            <w:vMerge w:val="continue"/>
          </w:tcPr>
          <w:p>
            <w:pPr>
              <w:spacing w:after="0"/>
              <w:rPr>
                <w:sz w:val="5"/>
                <w:szCs w:val="5"/>
                <w:color w:val="auto"/>
              </w:rPr>
            </w:pPr>
          </w:p>
        </w:tc>
        <w:tc>
          <w:tcPr>
            <w:tcW w:w="1800" w:type="dxa"/>
            <w:vAlign w:val="bottom"/>
            <w:vMerge w:val="restart"/>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9" w:lineRule="exact"/>
        <w:rPr>
          <w:sz w:val="24"/>
          <w:szCs w:val="24"/>
          <w:color w:val="auto"/>
        </w:rPr>
      </w:pPr>
    </w:p>
    <w:p>
      <w:pPr>
        <w:ind w:right="2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8"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was approximately $1.5 billion as of June 30, 2023,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5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February 23, 2024, the registrant had 646,524,958 ordinary shares, nominal value £0.05 per share, outstanding, which if all held in ADS form, would be represented by 80,815,620 American Depositary Shares, each representing eight (8) ordinary shares.</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6" w:lineRule="exact"/>
        <w:rPr>
          <w:sz w:val="24"/>
          <w:szCs w:val="24"/>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that the registrant intends to file with the Securities and Exchange Commission pursuant to Regulation 14A in connection with the registrant’s 2024 Annual Meeting of Shareholders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721995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TRADEMARKS, TRADENAMES AND SERVICE MARKS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and the expected regulations applicable to ensifentrine,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the 2023 Term Loan and from cash receipts from U.K. tax credits, and the sufficiency of our cash and cash equivalents to fund operations, are forward-looking statements.</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1022985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 Item 1A. “Risk Factors” in this Annual Report. You should carefully consider these risks and uncertainties when investing in our ADSs. The principal risks and uncertainties affecting our business include the following:</w:t>
      </w:r>
    </w:p>
    <w:p>
      <w:pPr>
        <w:spacing w:after="0" w:line="50"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have never generated any product revenue;</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additional funding to complete development of and commercialize ensifentrine and any future product candidates, if approved, or develop and commercialize other formulations or target indications of ensifentrine, if approved;</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advances under the $400.0 million 2023 Term Loan are contingent upon achievement of certain clinical and regulatory milestones and other specified conditions. If we fail to meet those conditions, we will need to find alternative sources of funding;</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solely on the success of ensifentrine, our only product candidate under development;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additional costs or experience delays in completing, or ultimately be unable to complete, the development and commercialization of our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Ensifentrine may have serious adverse, undesirable or unacceptable side effects which may delay or prevent marketing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enroll patients in our clinical trials for other indications, or enrollment is slower than anticipated, our research and development efforts could be adversely affected;</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exposed to costly and damaging liability claims, either when testing ensifentrine in the clinic or at the commercial stage, and our product liability insurance may not cover all damages from such claims;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 processes are lengthy, time consuming and inherently unpredictable, and if we are ultimately unable to obtain regulatory approval for ensifentrine, our business will be substantially harmed;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Enacted and future legislation may increase the difficulty and cost for us to obtain marketing approval of and commercialize ensifentrine and may affect the prices we may set;</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and rapidly changing industry, which may result in others discovering, developing or commercializing competing products before or more successfully than we do;</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including independent clinical investigators and clinical research organizations, to conduct our pre-clinical studies and clinical trials;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enter into new strategic relationships for ensifentrine, our business, research and development and commercialization prospects could be adversely affected;</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party manufacturers and suppliers for production of the active pharmaceutical ingredient ensifentrine and formulated drug products derived therefrom. Our dependence on these third parties may impair the advancement of our research and development programs and the development of ensifentrine;</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for the sales, marketing, reimbursement and distribution of our drug products, and a failure by these third parties to adequately perform would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722630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3" w:name="page4"/>
    <w:bookmarkEnd w:id="3"/>
    <w:p>
      <w:pPr>
        <w:ind w:left="255" w:hanging="255"/>
        <w:spacing w:after="0" w:line="271" w:lineRule="auto"/>
        <w:tabs>
          <w:tab w:leader="none" w:pos="2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manufacturers’, suppliers’ and other critical third parties’ cybersecurity risk management program and processes may not be effective in protecting our systems, networks and Confidential Information;</w:t>
      </w:r>
    </w:p>
    <w:p>
      <w:pPr>
        <w:spacing w:after="0" w:line="2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patents and other intellectual property rights to protect ensifentrine, the enforcement, defense and maintenance of which may be challenging and costly;</w:t>
      </w:r>
    </w:p>
    <w:p>
      <w:pPr>
        <w:spacing w:after="0" w:line="83" w:lineRule="exact"/>
        <w:rPr>
          <w:rFonts w:ascii="Times New Roman" w:cs="Times New Roman" w:eastAsia="Times New Roman" w:hAnsi="Times New Roman"/>
          <w:sz w:val="14"/>
          <w:szCs w:val="14"/>
          <w:color w:val="auto"/>
        </w:rPr>
      </w:pPr>
    </w:p>
    <w:p>
      <w:pPr>
        <w:ind w:left="255" w:hanging="255"/>
        <w:spacing w:after="0" w:line="271" w:lineRule="auto"/>
        <w:tabs>
          <w:tab w:leader="none" w:pos="2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29" w:lineRule="exact"/>
        <w:rPr>
          <w:rFonts w:ascii="Times New Roman" w:cs="Times New Roman" w:eastAsia="Times New Roman" w:hAnsi="Times New Roman"/>
          <w:sz w:val="14"/>
          <w:szCs w:val="14"/>
          <w:color w:val="auto"/>
        </w:rPr>
      </w:pPr>
    </w:p>
    <w:p>
      <w:pPr>
        <w:ind w:left="255" w:hanging="255"/>
        <w:spacing w:after="0" w:line="271" w:lineRule="auto"/>
        <w:tabs>
          <w:tab w:leader="none" w:pos="2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39"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and ability to compete depends on our ability to retain our key personnel and recruit additional qualified personnel;</w:t>
      </w:r>
    </w:p>
    <w:p>
      <w:pPr>
        <w:spacing w:after="0" w:line="72"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regulatory and sales and marketing capabilities, and as a result, we may encounter difficulties in managing our growth, which could disrupt our operations;</w:t>
      </w:r>
    </w:p>
    <w:p>
      <w:pPr>
        <w:spacing w:after="0" w:line="83" w:lineRule="exact"/>
        <w:rPr>
          <w:rFonts w:ascii="Times New Roman" w:cs="Times New Roman" w:eastAsia="Times New Roman" w:hAnsi="Times New Roman"/>
          <w:sz w:val="14"/>
          <w:szCs w:val="14"/>
          <w:color w:val="auto"/>
        </w:rPr>
      </w:pPr>
    </w:p>
    <w:p>
      <w:pPr>
        <w:ind w:left="255" w:hanging="255"/>
        <w:spacing w:after="0"/>
        <w:tabs>
          <w:tab w:leader="none" w:pos="2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American Depositary Shares may be volatile and may fluctuate due to factors beyond our control; and</w:t>
      </w:r>
    </w:p>
    <w:p>
      <w:pPr>
        <w:spacing w:after="0" w:line="83" w:lineRule="exact"/>
        <w:rPr>
          <w:rFonts w:ascii="Times New Roman" w:cs="Times New Roman" w:eastAsia="Times New Roman" w:hAnsi="Times New Roman"/>
          <w:sz w:val="14"/>
          <w:szCs w:val="14"/>
          <w:color w:val="auto"/>
        </w:rPr>
      </w:pPr>
    </w:p>
    <w:p>
      <w:pPr>
        <w:ind w:left="255" w:hanging="255"/>
        <w:spacing w:after="0" w:line="255" w:lineRule="auto"/>
        <w:tabs>
          <w:tab w:leader="none" w:pos="2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735965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121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36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Table of Contents</w:t>
            </w:r>
          </w:p>
        </w:tc>
        <w:tc>
          <w:tcPr>
            <w:tcW w:w="108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20" w:type="dxa"/>
            <w:vAlign w:val="bottom"/>
            <w:shd w:val="clear" w:color="auto" w:fill="CCEEFF"/>
          </w:tcPr>
          <w:p>
            <w:pPr>
              <w:spacing w:after="0"/>
              <w:rPr>
                <w:sz w:val="13"/>
                <w:szCs w:val="13"/>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1A.</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1B.</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1C.</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Cybersecurity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Properties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Legal Proceedings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II</w:t>
            </w: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5.</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6.</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[Reserved]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7.</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7A.</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80" w:type="dxa"/>
            <w:vAlign w:val="bottom"/>
            <w:shd w:val="clear" w:color="auto" w:fill="CCEEFF"/>
          </w:tcPr>
          <w:p>
            <w:pPr>
              <w:spacing w:after="0"/>
              <w:rPr>
                <w:sz w:val="20"/>
                <w:szCs w:val="20"/>
                <w:color w:val="auto"/>
              </w:rPr>
            </w:pP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8.</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90</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9.</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90</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9A.</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91</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9B.</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9C.</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Disclosures Regarding Foreign Jurisdictions that Prevent Inspections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III</w:t>
            </w: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10.</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11.</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Executive Compensation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12.</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13.</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6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14.</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IV</w:t>
            </w: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15.</w:t>
            </w:r>
          </w:p>
        </w:tc>
        <w:tc>
          <w:tcPr>
            <w:tcW w:w="9160" w:type="dxa"/>
            <w:vAlign w:val="bottom"/>
            <w:gridSpan w:val="24"/>
          </w:tcPr>
          <w:p>
            <w:pPr>
              <w:ind w:left="420"/>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r>
      <w:tr>
        <w:trPr>
          <w:trHeight w:val="97"/>
        </w:trPr>
        <w:tc>
          <w:tcPr>
            <w:tcW w:w="20" w:type="dxa"/>
            <w:vAlign w:val="bottom"/>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16.</w:t>
            </w:r>
          </w:p>
        </w:tc>
        <w:tc>
          <w:tcPr>
            <w:tcW w:w="9160" w:type="dxa"/>
            <w:vAlign w:val="bottom"/>
            <w:gridSpan w:val="24"/>
            <w:shd w:val="clear" w:color="auto" w:fill="CCEEFF"/>
          </w:tcPr>
          <w:p>
            <w:pPr>
              <w:ind w:left="420"/>
              <w:spacing w:after="0"/>
              <w:rPr>
                <w:sz w:val="20"/>
                <w:szCs w:val="20"/>
                <w:color w:val="auto"/>
              </w:rPr>
            </w:pPr>
            <w:r>
              <w:rPr>
                <w:rFonts w:ascii="Times New Roman" w:cs="Times New Roman" w:eastAsia="Times New Roman" w:hAnsi="Times New Roman"/>
                <w:sz w:val="14"/>
                <w:szCs w:val="14"/>
                <w:color w:val="0000FF"/>
              </w:rPr>
              <w:t>Form 10-K Summary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95</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w:t>
            </w:r>
          </w:p>
        </w:tc>
      </w:tr>
      <w:tr>
        <w:trPr>
          <w:trHeight w:val="1360"/>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5" w:name="page6"/>
    <w:bookmarkEnd w:id="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developing and commercializing innovative therapeutics for the chronic treatment of respiratory diseases with significant unmet medical needs. Our product candidate, ensifentrine, is an investigational, first-in-class, inhaled, selective, dual inhibitor of the enzymes phosphodiesterase 3 and 4 (“PDE3” and “PDE4”), combining bronchodilator and non-steroidal anti-inflammatory activities in one molecule.</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Initially, we are developing inhaled ensifentrine for the maintenance treatment of chronic obstructive pulmonary disease (“COPD”), a common, chronic, progressive, and life-threatening respiratory disease without a cure. If approved, ensifentrine is expected to be the first inhaled therapeutic with a novel mode of action for the maintenance treatment of COPD in over 20 years.</w:t>
      </w:r>
    </w:p>
    <w:p>
      <w:pPr>
        <w:spacing w:after="0" w:line="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August 2023, the U.S. Food and Drug Administration (“FDA”) accepted for review our New Drug Application (“NDA”) seeking approval of ensifentrine for the maintenance treatment of COPD and assigned a Prescription Drug User Fee Act (“PDUFA”) target action date of June 26, 2024. The FDA stated it is not currently planning to hold an advisory committee meeting to discuss the application.</w:t>
      </w:r>
    </w:p>
    <w:p>
      <w:pPr>
        <w:spacing w:after="0" w:line="2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Based on the results from our successful Phase 3 ENHANCE (“Ensifentrine as a Novel inHAled Nebulized COPD thErapy”) program, we believe ensifentrine, if approved, has the potential to change the treatment paradigm for COPD. Ensifentrine met the primary endpoint in both the ENHANCE-1 and ENHANCE-2 trials demonstrating statistically significant and clinically meaningful improvements in measures of lung function. In key secondary endpoints, ensifentrine demonstrated early and sustained improvements in symptoms and quality of life. In addition, other endpoint data demonstrated that ensifentrine substantially reduced the rate and risk of COPD exacerbations in ENHANCE-1 and ENHANCE-2. Ensifentrine was well tolerated in both trials.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 we presented additional analyses of data from the ENHANCE trials at international scientific conferences and the data were published in peer reviewed publications:</w:t>
      </w:r>
    </w:p>
    <w:p>
      <w:pPr>
        <w:spacing w:after="0" w:line="83" w:lineRule="exact"/>
        <w:rPr>
          <w:sz w:val="20"/>
          <w:szCs w:val="20"/>
          <w:color w:val="auto"/>
        </w:rPr>
      </w:pPr>
    </w:p>
    <w:p>
      <w:pPr>
        <w:jc w:val="both"/>
        <w:ind w:left="260" w:hanging="255"/>
        <w:spacing w:after="0" w:line="238"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2023, we presented 12 abstracts and a symposium on expanded pre-specified and post hoc analyses of the ENHANCE trials including subgroup and pooled data covering exacerbations, use of rescue medication and healthcare utilization, at the American Thoracic Society International Conference ("ATS") 2023. An overview of the ENHANCE trial results was presented as part of the Clinical Trial Symposium reserved for highlighting new innovative medicines. In summary, ensifentrine demonstrated highly consistent results across all the clinically relevant subgroups and pooled analyses assessed including improvements in lung function and reductions in exacerbation rate and risk. Other key analyses demonstrated improvements with ensifentrine in symptoms and quality of life measures, including SGRQ* subdomains, as well as reductions in the use of rescue medication and healthcare utilization. Furthermore, ensifentrine was shown to be well tolerated in an expanded safety analysis.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 George’s Respiratory Questionnaire is a validated patient reported outcome tool</w:t>
      </w:r>
    </w:p>
    <w:p>
      <w:pPr>
        <w:spacing w:after="0" w:line="72"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abstracts were published on the ATS website and in the American Journal of Respiratory and Critical Care Medicine ("AJRCCM");</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ENHANCE results were published in AJRCCM;</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we presented an analysis of the ENHANCE-1 24-week exacerbation data at ERS International Congress 2023, which demonstrated treatment with ensifentrine substantially decreased the rate and risk of moderate and severe COPD exacerbations. The abstract was published in the European Respiratory Journal; and</w:t>
      </w:r>
    </w:p>
    <w:p>
      <w:pPr>
        <w:spacing w:after="0" w:line="50"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2023, we gave 4 presentations on pooled and subgroup post-hoc analyses from ENHANCE-1 and ENHANCE-2 covering data related to exacerbations, lung function, symptoms and quality of life endpoints and use of daily rescue medication, at CHEST Annual Meeting 2023. The data demonstrated treatment with ensifentrine substantially reduced the rate and risk of COPD exacerbations regardless of recent exacerbation history and was well tolerated. In addition, subgroup analyses showed treatment with ensifentrine resulted in improvements in lung function, symptoms, and quality of life measures, reductions in the rate and risk of exacerbations regardless of background therapy as well as reductions in daily rescue medication use. The data were published in the CHEST Annual Meeting online supplement. Also, at CHEST, we launched a disease awareness campaign highlighting how many COPD patients struggle to talk about their condition.</w:t>
      </w:r>
    </w:p>
    <w:p>
      <w:pPr>
        <w:spacing w:after="0" w:line="6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While we remain focused on the U.S. commercialization of ensifentrine, we are developing a fixed-dose combination formulation with ensifentrine and glycopyrrolate, a long-acting muscarinic antagonist (“LAMA”), for the maintenance treatment of patients with COPD via delivery in a nebulizer. Following development activities to confirm a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14"/>
          <w:szCs w:val="14"/>
          <w:color w:val="auto"/>
        </w:rPr>
        <w:t>formulation, in the second half of 2024, we plan to submit an Investigational New Drug application (“IND”) to the FDA and, subject to clearance, initiate a Phase 2 clinical trial assessing the safety and efficacy of the fixed-dose combination formulation in COPD patients.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Also in the second half of 2024, we plan to commence a Phase 2 clinical trial to assess the efficacy and safety of nebulized ensifentrine in patients with non-cystic fibrosis bronchiectasis (“NCFBE”), subject to clearance by the FDA</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 Ensifentrine has shown positive Phase 2 data in COPD trials when delivered by each of these formulations.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believe the development of ensifentrine in cystic fibrosis and asthma as well as the additional formulations of ensifentrine provides pipeline expansion and lifecycle opportunities as well as potential for collaborations outside the US.</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approved, we intend to commercialize inhaled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 In 2023, Nuance enrolled the first subject in its pivotal Phase 3 trial evaluating ensifentrine for the maintenance treatment of COPD in China.</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COPD and current treatments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COPD is a common, progressive, life-threatening respiratory disease without a cure. It causes loss of lung function, leading to debilitating breathlessness, hospitalizations, and death. COPD has a major impact on everyday life. Patients struggle with basic activities such as getting out of bed, showering, eating, and walking. Worldwide, COPD affects approximately 392 million people and is the third leading cause of death, according to the Global Initiative for Chronic Obstructive Lung Disease.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goal of COPD pharmacological therapy is to improve patients’ quality of life by reducing symptoms, decreasing the quantity and severity of exacerbations (often an escalation of symptoms) and to improve patients’ ability to function.</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For approximately 40 years, the treatment of COPD has been dominated by three classes of inhaled therapies approved for use by the FDA and the European Commission based on the European Medicines Agency’s (“EMA”) opinion: anti-muscarinics, beta-agonists and inhaled corticosteroids (“ICSs”). COPD patients are frequently treated with bronchodilators, including LAMAs and long-acting beta-agonists (“LABAs”), to relieve airway constriction and make it easier to breathe. In addition, patients at risk for exacerbations may be prescribed ICSs to prevent them.</w:t>
      </w:r>
    </w:p>
    <w:p>
      <w:pPr>
        <w:spacing w:after="0" w:line="5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Certain COPD patients are treated with the oral PDE4 inhibitor, roflumilast (Daliresp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Approximately 8.6 million COPD patients in the U.S. receive LAMA, LABA, or ICS treatments alone or in combination regardless of COPD severity. Despite these medications and the earlier use of dual (LAMA / LABA) and triple (LAMA / LABA / ICS) therapies, many patients continue to suffer debilitating symptoms. According to a December 2022 study by Phreesia, 49% of patients continue to have symptoms more than 24 days a month. This burden leaves a significant opportunity for new inhaled therapies that offer additional benefit added to the three main classes of treatment. New treatment options are urgently needed to help improve lung function and symptoms, reduce exacerbations and improve overall quality of life in these patients.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Ensifentrine</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Ensifentrine is an investigational, first-in-class, inhaled, small molecule and selective, dual PDE3 and PDE4 inhibitor. This dual inhibition enables it to act as a bronchodilator and a non-steroidal anti-inflammatory agent in a single compound. Importantly, ensifentrine’s therapeutic profile differentiates it from existing classes of bronchodilator and anti-inflammatory treatments. We are not aware of any other single compound in clinical development in the U.S. or Europe or approved by the FDA nor the European Commission for the treatment of respiratory diseases that acts both as a bronchodilator and anti-inflammatory agent. If successfully developed and approved, inhaled ensifentrine has the potential to be the first novel class of therapeutic in COPD in over 20 years and to become the only bronchodilator option that could be added to existing classes of inhaled therapies including LAMA, LABA and 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Safety profile</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Ensifentrine has been well tolerated in clinical trials involving approximately 3,000 subjects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Differentiated profile</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By selectively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has also been shown to stimulate the cystic fibrosis transmembrane conductance regulator (“CFTR”), which is an ion channel in the epithelial cells lining the airways. Mutations in the CFTR protein result in poorly or non-functioning ion channels, which cause CF. CFTR dysfunction is also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Dual inhibition of PDE3 and PDE4 has shown enhanced or synergistic effects compared with inhibition of either PDE alone on contraction of airway smooth muscle and suppression of inflammatory mediator release in several preclinical studies. We believe these enhanced effects may increase the utility of ensifentrine in the treatment of respiratory diseases including COPD, NCFBE, asthma and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163195</wp:posOffset>
            </wp:positionV>
            <wp:extent cx="4911725" cy="2600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1725" cy="260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ensifentrine has the potential to address the large unmet need in treating COPD with its improvements in lung function, COPD symptoms and quality of life.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of ensifentrine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development of ensifentrine in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Phase 3 ENHANCE program</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Ensifentrine has successfully met the primary endpoints in two randomized, double-blind, placebo-controlled Phase 3 trials, ENHANCE-1 and ENHANCE-2,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in both trials. Ensifentrine was well tolerated in both trials.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ENHANCE trials were designed to evaluate ensifentrine as monotherapy and added onto a single bronchodilator with approximately 50% of subjects receiving either a LAMA or a LABA.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approximately 20% of subjects received ICSs with their concomitant LAMA or LABA.</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48260</wp:posOffset>
            </wp:positionV>
            <wp:extent cx="4716145" cy="323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6145"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demographics and disease characteristics were well balanced between treatment groups in both trials.</w:t>
      </w:r>
    </w:p>
    <w:p>
      <w:pPr>
        <w:spacing w:after="0" w:line="83" w:lineRule="exact"/>
        <w:rPr>
          <w:sz w:val="20"/>
          <w:szCs w:val="20"/>
          <w:color w:val="auto"/>
        </w:rPr>
      </w:pPr>
    </w:p>
    <w:p>
      <w:pPr>
        <w:ind w:left="260" w:hanging="255"/>
        <w:spacing w:after="0" w:line="255"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ENHANCE-1 approximately 69% of subjects received background COPD therapy, either LAMA or a LABA. Additionally, approximately 20% of all subjects received ICS with concomitant LAMA or LABA.</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ENHANCE-2 approximately 55% of subjects received background COPD therapy, either a LAMA or a LABA. Additionally, approximately 15% of all subjects received ICS with concomitant LAMA or LABA.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1251585</wp:posOffset>
            </wp:positionH>
            <wp:positionV relativeFrom="page">
              <wp:posOffset>735965</wp:posOffset>
            </wp:positionV>
            <wp:extent cx="5052695" cy="267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05269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and was well tolerated in both trials.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Highlights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Primary endpoint met (FEV</w:t>
      </w:r>
      <w:r>
        <w:rPr>
          <w:rFonts w:ascii="Times New Roman" w:cs="Times New Roman" w:eastAsia="Times New Roman" w:hAnsi="Times New Roman"/>
          <w:sz w:val="18"/>
          <w:szCs w:val="18"/>
          <w:b w:val="1"/>
          <w:bCs w:val="1"/>
          <w:color w:val="auto"/>
          <w:vertAlign w:val="subscript"/>
        </w:rPr>
        <w:t>1</w:t>
      </w:r>
      <w:r>
        <w:rPr>
          <w:rFonts w:ascii="Times New Roman" w:cs="Times New Roman" w:eastAsia="Times New Roman" w:hAnsi="Times New Roman"/>
          <w:sz w:val="14"/>
          <w:szCs w:val="14"/>
          <w:b w:val="1"/>
          <w:bCs w:val="1"/>
          <w:color w:val="auto"/>
        </w:rPr>
        <w:t xml:space="preserve"> AUC 0-12 hr)</w:t>
      </w:r>
    </w:p>
    <w:p>
      <w:pPr>
        <w:spacing w:after="0" w:line="39" w:lineRule="exact"/>
        <w:rPr>
          <w:sz w:val="20"/>
          <w:szCs w:val="20"/>
          <w:color w:val="auto"/>
        </w:rPr>
      </w:pPr>
    </w:p>
    <w:p>
      <w:pPr>
        <w:ind w:left="260" w:hanging="255"/>
        <w:spacing w:after="0" w:line="257" w:lineRule="auto"/>
        <w:tabs>
          <w:tab w:leader="none" w:pos="2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Placebo corrected, change from baseline in average FEV</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area under the curve 0-12 hours post dose at week 12 was 87 mL (p&lt;0.0001) for ensifentrine in ENHANCE-1 and 94 mL (p&lt;0.0001) for ensifentrine in ENHANCE-2.</w:t>
      </w:r>
    </w:p>
    <w:p>
      <w:pPr>
        <w:ind w:left="260" w:hanging="255"/>
        <w:spacing w:after="0" w:line="276" w:lineRule="auto"/>
        <w:tabs>
          <w:tab w:leader="none" w:pos="2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Demonstrated consistent improvements with ensifentrine in all subgroups including gender, age, smoking status, COPD severity, background medication, ICS use, chronic bronchitis, FEV</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reversibility and geographic region.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Secondary endpoints evaluating lung function met:</w:t>
      </w:r>
    </w:p>
    <w:p>
      <w:pPr>
        <w:spacing w:after="0" w:line="85"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Placebo corrected, increase in peak FEV</w:t>
      </w: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 xml:space="preserve"> of 147 mL (p&lt;0.0001) 0-4 hours post dose at week 12 in ENHANCE-1 and 146 mL (p&lt;0.0001) in ENHANCE-2.</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Placebo corrected, increase in morning trough FEV</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of 35 mL (p=0.0413) at week 12 in ENHANCE-1 and 49 mL (p=0.0016) in ENHANCE-2, supporting twice daily dosing regimen.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1251585</wp:posOffset>
            </wp:positionH>
            <wp:positionV relativeFrom="page">
              <wp:posOffset>735965</wp:posOffset>
            </wp:positionV>
            <wp:extent cx="5052695" cy="2533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052695"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Exacerbation rate and risk reduced</w:t>
      </w:r>
    </w:p>
    <w:p>
      <w:pPr>
        <w:spacing w:after="0" w:line="85" w:lineRule="exact"/>
        <w:rPr>
          <w:sz w:val="20"/>
          <w:szCs w:val="20"/>
          <w:color w:val="auto"/>
        </w:rPr>
      </w:pPr>
    </w:p>
    <w:p>
      <w:pPr>
        <w:ind w:left="260" w:hanging="255"/>
        <w:spacing w:after="0" w:line="255"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receiving ensifentrine demonstrated a 36% reduction in the rate of moderate to severe COPD exacerbations over 24 weeks (p=0.0503) compared to those receiving placebo in ENHANCE-1 and a 43% reduction (p=0.0090) in ENHANCE-2.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1251585</wp:posOffset>
            </wp:positionH>
            <wp:positionV relativeFrom="page">
              <wp:posOffset>735965</wp:posOffset>
            </wp:positionV>
            <wp:extent cx="5052695" cy="2506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052695" cy="250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pooled exacerbation data from ENHANCE-1 and ENHANCE-2, ensifentrine demonstrated a 40% reduction in the rate of moderate to severe COPD exacerbations over 24 weeks (p=0.0012) compared to those receiving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48260</wp:posOffset>
            </wp:positionV>
            <wp:extent cx="4716145" cy="1778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145"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hanging="255"/>
        <w:spacing w:after="0" w:line="255"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Treatment with ensifentrine significantly decreased the risk of a moderate/severe exacerbation as measured by time to first exacerbation when compared with placebo by 38% (p=0.0382) in ENHANCE-1 and by 42% (p=0.0089) in ENHANCE-2.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1251585</wp:posOffset>
            </wp:positionH>
            <wp:positionV relativeFrom="page">
              <wp:posOffset>735965</wp:posOffset>
            </wp:positionV>
            <wp:extent cx="5052695" cy="3085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052695" cy="308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55" w:hanging="255"/>
        <w:spacing w:after="0" w:line="255" w:lineRule="auto"/>
        <w:tabs>
          <w:tab w:leader="none" w:pos="25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pooled exacerbation data from ENHANCE-1 and ENHANCE-2, ensifentrine significantly decreased the risk of a moderate/severe exacerbation as measured by time to first exacerbation when compared with placebo by 41% (p=0.0009).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681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68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COPD symptoms and Quality of Life </w:t>
      </w:r>
      <w:r>
        <w:rPr>
          <w:rFonts w:ascii="Times New Roman" w:cs="Times New Roman" w:eastAsia="Times New Roman" w:hAnsi="Times New Roman"/>
          <w:sz w:val="14"/>
          <w:szCs w:val="14"/>
          <w:color w:val="auto"/>
        </w:rPr>
        <w:t>(“QOL”)</w:t>
      </w:r>
    </w:p>
    <w:p>
      <w:pPr>
        <w:spacing w:after="0" w:line="85" w:lineRule="exact"/>
        <w:rPr>
          <w:sz w:val="20"/>
          <w:szCs w:val="20"/>
          <w:color w:val="auto"/>
        </w:rPr>
      </w:pPr>
    </w:p>
    <w:p>
      <w:pPr>
        <w:jc w:val="both"/>
        <w:ind w:left="260" w:hanging="255"/>
        <w:spacing w:after="0" w:line="246"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439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hanging="255"/>
        <w:spacing w:after="0" w:line="243"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*E-RS, Evaluating Respiratory Symptoms, and SGRQ, St. George’s Respiratory Questionnaire, are validated patient reported outcome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540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54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Favorable safety profile</w:t>
      </w:r>
    </w:p>
    <w:p>
      <w:pPr>
        <w:spacing w:after="0" w:line="85"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Ensifentrine was well tolerated with very few adverse events occurring in more than 1% of subjects and greater than placebo over 24 and 48 weeks.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1"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735965</wp:posOffset>
            </wp:positionV>
            <wp:extent cx="5389880" cy="2533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8988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believe ensifentrine, if approved, has the potential to change the treatment paradigm for COPD. The totality of data from clinical trials, in particular the top-line results from the ENHANCE program, including improvements in measures of lung function, symptoms, quality of life measures, and exacerbation reductions, coupled with the consistent safety results, support our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4850765" cy="258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076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7" w:name="page18"/>
    <w:bookmarkEnd w:id="17"/>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Formulations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developed formulations of ensifentrine for the three most widely used inhalation devices: nebulizer, DPI and pMDI. The nebulized formulation of ensifentrine is designed to be suitable for use in a standard jet nebulizer, not a proprietary device. Delivery of COPD medications by nebulizer is important because such medications can be used by adults of almost any age and dexterity and regardless of peak inspiratory flow, offering advantages to patients who struggle to operate handheld inhaler devices or have low peak inspiratory flow. DPI and pMDI handheld inhaler formats are relatively portable and convenient and are also important delivery mechanisms.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successfully demonstrated proof of concept in Phase 2 COPD trials with all three formulations. In addition, the data from Phase 2 trials were consistent across the three formulations. All three dosage forms have demonstrated statistically significant and clinically meaningful improvements in lung function and duration of action, supporting twice-daily dosing and a safety profile similar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4850765" cy="2620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5076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Planned Clinical Development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Ensifentrine / LAMA fixed-dose combination</w:t>
      </w:r>
    </w:p>
    <w:p>
      <w:pPr>
        <w:spacing w:after="0" w:line="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 We are developing a fixed-dose combination formulation with ensifentrine and glycopyrrolate, a LAMA, for the maintenance treatment of patients with COPD via delivery in a nebulizer. We have filed patent applications in multiple jurisdictions including the US.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a feasible formulation is developed, in the second half of 2024, we plan to submit an IND application to the FDA and, if allowed to proceed, initiate a Phase 2 clinical trial assessing the safety and efficacy of the fixed-dose combination formulation in COPD patients.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Non-cystic fibrosis bronchiectasis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NCFBE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Based on the clinical results of ensifentrine observed in patients with COPD, including improvements in lung function and symptoms of cough and sputum, we believe that ensifentrine could potentially be an effective treatment for NCFBE. We plan to commence a Phase 2 clinical trial to assess the efficacy and safety of nebulized ensifentrine in patients with NCFBE in the second half of 2024, if allowed to proceed by the FDA.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additional indications for ensifentrine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Cystic fibrosis and asthma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COPD and NCFBE, we believe ensifentrine has potential applications in other respiratory diseases including CF and asthma providing pipeline expansion opportunities and the potential for collaborations outside the US.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CF is a progressive, fatal genetic disease without a cure and a median age of death of 46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CF is the most common fatal inherited disease in the U.S. and Europe. Approximately 40,000 people in the U.S. and an estimated 105,000 people worldwide have been diagnosed with CF across more than 90 countries and approximately 1,000 new cases are diagnosed each year, according to the Cystic Fibrosis Foundation. The U.S. and European regulatory authorities consider CF to be a rare, or orphan, disease and provide incentives to encourage development of effective new treatments. CF patients endure multiple daily medications, frequent exacerbations and hospitalizations. Ultimately, selected patients have lung transplants.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Asthma is a common chronic inflammatory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Asthma attacks vary in severity and frequency. More than 260 million people worldwide suffer from asthma and it is the most common chronic disease among children, according to estimates from the World Health Organization. Approximately 60% of adult asthmatics in the U.S. have uncontrolled asthma despite regularly taking medication. Although there is no cure, symptoms may be prevented by avoiding triggers and through established maintenance therapies including bronchodilators, ICS, anti-IgE agents and leukotriene inhibitors.</w:t>
      </w:r>
    </w:p>
    <w:p>
      <w:pPr>
        <w:spacing w:after="0" w:line="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Ensifentrine has shown potential in a Phase 2a clinical trial in asthma. The data from this trial, published in October 2019 in the journal </w:t>
      </w:r>
      <w:r>
        <w:rPr>
          <w:rFonts w:ascii="Times New Roman" w:cs="Times New Roman" w:eastAsia="Times New Roman" w:hAnsi="Times New Roman"/>
          <w:sz w:val="14"/>
          <w:szCs w:val="14"/>
          <w:i w:val="1"/>
          <w:iCs w:val="1"/>
          <w:color w:val="auto"/>
        </w:rPr>
        <w:t>Pulmonary Pharmacology &amp; Therapeutic</w:t>
      </w:r>
      <w:r>
        <w:rPr>
          <w:rFonts w:ascii="Times New Roman" w:cs="Times New Roman" w:eastAsia="Times New Roman" w:hAnsi="Times New Roman"/>
          <w:sz w:val="14"/>
          <w:szCs w:val="14"/>
          <w:color w:val="auto"/>
        </w:rPr>
        <w:t>s, demonstrated that ensifentrine produced dose-dependent improvements in lung function that were comparable to current rescue medication, high dose nebulized albuterol. Importantly, ensifentrine was well tolerated and patients experienced fewer systemic effects than those receiving albuterol.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team</w:t>
      </w:r>
    </w:p>
    <w:p>
      <w:pPr>
        <w:spacing w:after="0" w:line="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Our expert team has decades of experience in developing and commercializing respiratory therapeutics including the following COPD therapeutics: Advair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Anoro Ellipta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Breo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Flovent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Flutiform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Incruse Ellipta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Serevent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Symbicort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Tudorza Pressair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Ventolin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may contract with other CMOs in the future, we currently have one CMO for the manufacture of ensifentrine drug substance and one CMO for each formulation of ensifentrine.</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2023, we continued to build our commercial capabilities and launch readiness in preparation for the potential approval of ensifentrine. Key pre-commercialization activities included the addition of experienced executives, launch of a disease awareness campaign, continued refinement and implementation of our patient support and distribution strategy as well as beginning development of our ensifentrine launch materials all supported by extensive market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0" w:name="page21"/>
    <w:bookmarkEnd w:id="20"/>
    <w:p>
      <w:pPr>
        <w:jc w:val="both"/>
        <w:spacing w:after="0" w:line="271" w:lineRule="auto"/>
        <w:rPr>
          <w:sz w:val="20"/>
          <w:szCs w:val="20"/>
          <w:color w:val="auto"/>
        </w:rPr>
      </w:pPr>
      <w:r>
        <w:rPr>
          <w:rFonts w:ascii="Times New Roman" w:cs="Times New Roman" w:eastAsia="Times New Roman" w:hAnsi="Times New Roman"/>
          <w:sz w:val="14"/>
          <w:szCs w:val="14"/>
          <w:color w:val="auto"/>
        </w:rPr>
        <w:t>We significantly expanded our headcount to 79 employees adding key leadership positions across medical affairs, compliance, manufacturing, finance and IT and deepened our commercial teams in marketing, market access and commercial operations. These appointments included Senior Vice President, Medical Affairs, Vice President, Compliance and Vice President, Pharmacovigilance.</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launched the disease awareness campaign, titled “Unspoken COPD”. This campaign highlights how many patients still suffer from persistent symptoms that effect everyday life. The campaign encourages healthcare professionals (“HCPs”) to enquire further to understand how their patients are coping with COPD.</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Looking ahead, we will continue to progress our go-to-market strategy with the finalization of many key tactics including pricing, distribution and patient support services, HCP and patient engagement plans and the continued rollout of our disease awareness campaign.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United States, we are preparing to commercialize nebulized ensifentrine ourselves, if approved. Current maintenance COPD treatments in the U.S. generate approximately $10 billion in sales. In the U.S., approximately 8.6 million patients receive chronic maintenance treatment for COPD. These patients receive LAMAs, LABAs, and ICS products alone or in combination across all COPD severities. Despite the use of these therapies, approximately 50% of patients report having symptoms for more than 24 days a month. This burden is significant and highlights the need for new and novel mechanisms of actions to treat COPD patients.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Based on our market research, conducted with U.S. healthcare providers and payers, we believe ensifentrine would be widely adopted with use as an add on therapy across all symptomatic patients regardless of COPD severity and treatment. Most of ensifentrine’s use would be as an add on therapy to current patients who are on LAMA, LABA / ICS, LAMA / LABA, or triple therapy. This is due to the urgent unmet need for new therapies to help improve lung function, symptoms and quality of life in these patients. Our market research also suggests the majority of ensifentrine usage would be initially commenced by pulmonologists. Due to this focused prescriber base, we anticipate a field sales force of approximately 100 representatives would be able to reach the potential ensifentrine opportunity.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COPD affects approximately 392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In April 2023, Nuance Pharma announced it had enrolled the first subject in its pivotal Phase 3 trial evaluating ensifentrine for the maintenance treatment of COPD in mainland China. Nuance Pharma initiated a Phase 1 trial with ensifentrine in healthy volunteers in March 2023. These studies follow clearance from China’s Center for Drug Evaluation for Nuance Pharma to begin Phase 1 and Phase 3 studies of ensifentrine for COPD in mainland China.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institutions. If successfully developed and commercialized, ensifentrine will compete with existing treatments and new treatments that may become available in the future.</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Ensifentrine is a unique, first-in-class therapeutic candidate with both bronchodilator and non-steroidal anti-inflammatory properties in a single molecule. As far as we are aware, no other dual PDE3 and PDE4 inhibitor is on the market nor in clinical development in the U.S. or Europe. Based on our market research, we expect ensifentrine to be used across the patient spectrum regardless of severity. We expect it will mainly be used as an add on therapy in symptomatic patients across all existing classes of therapies (LAMA, LABA, ICS). Some healthcare providers have indicated that they would use ensifentrine as a monotherapy based on ensifentrine’s clinical profile.</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Consequently, we believe that, if approved, nebulized ensifentrine’s unique profile will enable it to compete with all approved COPD therapies including nebulized and handheld inhaler formulations, DPI and pMDI. Furthermore, because ensifentrine’s mechanism of action is complementary to available therapies, we believe it could be used in addition to these treatments.</w:t>
      </w:r>
    </w:p>
    <w:p>
      <w:pPr>
        <w:spacing w:after="0" w:line="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Within the currently approved nebulizer products for the maintenance treatment of COPD, we consider ensifentrine’s potential competitors in the U.S. market to be LABAs (Brovana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Perforomist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LAMAs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4"/>
          <w:szCs w:val="14"/>
          <w:color w:val="auto"/>
        </w:rPr>
        <w:t>In the DPI/pMDI maintenance treatment of COPD market, ensifentrine’s current closest potential competitors are Symbicort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combination of a long-acting beta2-agonist bronchodilator and ICS marketed by AstraZeneca plc, Spiriva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long-acting anti-muscarinic bronchodilator marketed by Boehringer Ingelheim GmbH, Advair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combination of a long-acting beta2-agonist bronchodilator and ICS marketed by GlaxoSmithKline plc, Breo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combination of a long-acting beta2-agonist bronchodilator and ICS marketed by GlaxoSmithKline, and Anoro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combination of a long-acting beta2-agonist bronchodilator and long-acting anti-muscarinic bronchodilator marketed by GlaxoSmithKline. A triple-combination therapy of a LAMA, a LABA and ICS, developed by GlaxoSmithKline, Trelegy Ellipta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has been approved in the U.S. and the European Union and AstraZeneca also has a triple-therapy combination product (LAMA / LABA / ICS), Breztri Aerosphere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that was approved in the U.S. in July 2020, in the European Union in December 2020 and in China in December 2019. In addition, Chiesi’s triple-therapy combination product, Trimbow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was approved in the European Union in 2017 and is in Phase 3 trials in the US.</w:t>
      </w:r>
    </w:p>
    <w:p>
      <w:pPr>
        <w:spacing w:after="0" w:line="4"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4"/>
          <w:szCs w:val="14"/>
          <w:color w:val="auto"/>
        </w:rPr>
        <w:t>Other potential therapies in clinical development for the prevention of COPD exacerbations include injectable biologics. Sanofi’s anti-IL4, Dupixent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has successfully completed a Phase 3 program and submitted a supplemental Biologics License Application for COPD in the US. AstraZeneca’s anti-IL33, tozorakimab, GlaxoSmithKline’s anti-IL5, Nucala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Chiesi’s PDE4 inhibitor, tanimilast, are in Phase 3 trials. We are also aware of several anti-inflammatories and bronchodilators that are in Phase 2 clinical trials for the treatment of COPD.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of December 31, 2023, our patent portfolio included eleven issued U.S. patents, seven pending U.S. patent applications (including four U.S. provisional patent applications), seventy-nine issued foreign patents and seventy-five pending foreign applications (including six international PCT applications).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non-cystic fibrosis bronchiectasis and for use in the treatment of certain aspects of some other respiratory disorders, and a method of making ensifentrine, with expected expiry dates up to 2044.</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registered “Verona Pharma” as a trademark in the United States and certain other key jurisdictions. We have also made applications to register potential trademarks in the United States for ensifentrine, if approved.</w:t>
      </w:r>
    </w:p>
    <w:p>
      <w:pPr>
        <w:spacing w:after="0" w:line="29" w:lineRule="exact"/>
        <w:rPr>
          <w:sz w:val="20"/>
          <w:szCs w:val="20"/>
          <w:color w:val="auto"/>
        </w:rPr>
      </w:pPr>
    </w:p>
    <w:p>
      <w:pPr>
        <w:jc w:val="both"/>
        <w:spacing w:after="0" w:line="161" w:lineRule="exact"/>
        <w:rPr>
          <w:sz w:val="20"/>
          <w:szCs w:val="20"/>
          <w:color w:val="auto"/>
        </w:rPr>
      </w:pPr>
      <w:r>
        <w:rPr>
          <w:rFonts w:ascii="Times New Roman" w:cs="Times New Roman" w:eastAsia="Times New Roman" w:hAnsi="Times New Roman"/>
          <w:sz w:val="14"/>
          <w:szCs w:val="14"/>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2" w:name="page23"/>
    <w:bookmarkEnd w:id="22"/>
    <w:p>
      <w:pPr>
        <w:jc w:val="both"/>
        <w:spacing w:after="0" w:line="188" w:lineRule="exact"/>
        <w:rPr>
          <w:sz w:val="20"/>
          <w:szCs w:val="20"/>
          <w:color w:val="auto"/>
        </w:rPr>
      </w:pPr>
      <w:r>
        <w:rPr>
          <w:rFonts w:ascii="Times New Roman" w:cs="Times New Roman" w:eastAsia="Times New Roman" w:hAnsi="Times New Roman"/>
          <w:sz w:val="14"/>
          <w:szCs w:val="14"/>
          <w:color w:val="auto"/>
        </w:rPr>
        <w:t>including the type of patent, the scope of its coverage, the availability of regulatory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extensions, the availability of legal remedies in a particular country and the validity and enforceability of the patent.</w:t>
      </w:r>
    </w:p>
    <w:p>
      <w:pPr>
        <w:spacing w:after="0" w:line="18" w:lineRule="exact"/>
        <w:rPr>
          <w:sz w:val="20"/>
          <w:szCs w:val="20"/>
          <w:color w:val="auto"/>
        </w:rPr>
      </w:pPr>
    </w:p>
    <w:p>
      <w:pPr>
        <w:jc w:val="both"/>
        <w:spacing w:after="0" w:line="171" w:lineRule="exact"/>
        <w:rPr>
          <w:sz w:val="20"/>
          <w:szCs w:val="20"/>
          <w:color w:val="auto"/>
        </w:rPr>
      </w:pPr>
      <w:r>
        <w:rPr>
          <w:rFonts w:ascii="Times New Roman" w:cs="Times New Roman" w:eastAsia="Times New Roman" w:hAnsi="Times New Roman"/>
          <w:sz w:val="14"/>
          <w:szCs w:val="14"/>
          <w:color w:val="auto"/>
        </w:rPr>
        <w:t>Furthermore, we rely upon trade secrets and know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how and inventions.</w:t>
      </w:r>
    </w:p>
    <w:p>
      <w:pPr>
        <w:jc w:val="both"/>
        <w:spacing w:after="0" w:line="168" w:lineRule="exact"/>
        <w:rPr>
          <w:sz w:val="20"/>
          <w:szCs w:val="20"/>
          <w:color w:val="auto"/>
        </w:rPr>
      </w:pPr>
      <w:r>
        <w:rPr>
          <w:rFonts w:ascii="Times New Roman" w:cs="Times New Roman" w:eastAsia="Times New Roman" w:hAnsi="Times New Roman"/>
          <w:sz w:val="14"/>
          <w:szCs w:val="14"/>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 with Ligand (formerly Vernalis)</w:t>
      </w:r>
    </w:p>
    <w:p>
      <w:pPr>
        <w:spacing w:after="0" w:line="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In 2006, we acquired Rhinopharma and all its rights and liabilities under the assignment and license agreement. On March 24, 2022, we entered into an agreement with Ligand to amend the assignment and license agreement. We refer to the assignment and license agreement and the amendment agreement together as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March 2022, we entered into an Amendment Agreement (the “Amendment”) with Ligand whereby the Ligand Agreement was amended to clarify certain ambiguous terms in the Ligand Agreement. Pursuant to the Amendment 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paid the $2.0 million to Ligand in March, 2022 and accounted for the $2.0 million payment at execution as selling, general and administrative expense in the consolidated statements of operations as the payment is related to a contract modification.</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Ligand Agreement expires on March 24, 2042, unless terminated earlier by either party in accordance with its terms. Either party may terminate the Ligand Agreement for bankruptcy or insolvency of the other party, or for an uncured material breach of the other party, conditional upon the party seeking to terminate obtaining a final judgment of the English High Court declaring that the other party is in material breach of its obligations under the Ligand Agreement.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provided however, that any of our sublicensees shall have the right to enter into a direct license agreement with Ligand for the portion of the Program IP that was sub-licensed by such sub-licensee.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FDA and comparable regulatory authorities in state and local jurisdictions and in other countries impose substantial and burdensome requirements upon companies involved in the clinical development, manufacture, marketing and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14"/>
          <w:szCs w:val="14"/>
          <w:color w:val="auto"/>
        </w:rPr>
        <w:t>drugs such as those we are developing. These agencies and other federal, state and local and foreign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FDA drug approval process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review or non-approval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process required by the FDA before a drug may be marketed in the United States generally involves the following:</w:t>
      </w:r>
    </w:p>
    <w:p>
      <w:pPr>
        <w:spacing w:after="0" w:line="83" w:lineRule="exact"/>
        <w:rPr>
          <w:sz w:val="20"/>
          <w:szCs w:val="20"/>
          <w:color w:val="auto"/>
        </w:rPr>
      </w:pPr>
    </w:p>
    <w:p>
      <w:pPr>
        <w:ind w:left="260" w:hanging="255"/>
        <w:spacing w:after="0" w:line="255"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non-clinical laboratory tests, animal studies, certain of which must be conducted and formulation studies in compliance with the FDA's good laboratory practice (“GLP”) regulations;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which must become effective before human clinical trials may begin in the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(“IRB”) or ethics committee at each clinical site before each trial may be initiated;</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 (“GCP”) requirements to establish the safety and efficacy of the proposed drug product for each indication;</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 after completion of all pivotal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an FDA advisory committee review, if required by the FDA;</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potential inspection of selected clinical investigation sites to assess compliance with GCP; and</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 and U.S. Prescribing Information to permit commercial marketing of the product for particular indications for use in the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Non-clinical Studies</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allowance from the FDA to ship in interstate commerce and administer an investigational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Trials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drug to human subjects under the supervision of qualified investigators in accordance with GCP requirements, which among other things,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important increased incidence of a serious suspected adverse reaction compared to that listed in the protocol or investigator brochure.</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Human clinical trials are typically conducted in three phases, which may overlap or be combined:</w:t>
      </w:r>
    </w:p>
    <w:p>
      <w:pPr>
        <w:spacing w:after="0" w:line="72" w:lineRule="exact"/>
        <w:rPr>
          <w:sz w:val="20"/>
          <w:szCs w:val="20"/>
          <w:color w:val="auto"/>
        </w:rPr>
      </w:pPr>
    </w:p>
    <w:p>
      <w:pPr>
        <w:ind w:left="260" w:hanging="255"/>
        <w:spacing w:after="0" w:line="271"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0"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Approval</w:t>
      </w:r>
    </w:p>
    <w:p>
      <w:pPr>
        <w:spacing w:after="0" w:line="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5" w:name="page26"/>
    <w:bookmarkEnd w:id="25"/>
    <w:p>
      <w:pPr>
        <w:jc w:val="both"/>
        <w:spacing w:after="0" w:line="271" w:lineRule="auto"/>
        <w:rPr>
          <w:sz w:val="20"/>
          <w:szCs w:val="20"/>
          <w:color w:val="auto"/>
        </w:rPr>
      </w:pPr>
      <w:r>
        <w:rPr>
          <w:rFonts w:ascii="Times New Roman" w:cs="Times New Roman" w:eastAsia="Times New Roman" w:hAnsi="Times New Roman"/>
          <w:sz w:val="14"/>
          <w:szCs w:val="14"/>
          <w:color w:val="auto"/>
        </w:rPr>
        <w:t>rather than accept an NDA for filing. In this event, the application must be resubmitted with the additional information. The resubmitted application is also subject to review before the FDA accepts it for filing.</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a resubmitted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Expedited Development and Review Programs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FDA offers a number of expedited development and review programs for qualifying product candidates. For example, the fast track program is intended to expedite or facilitate the process for reviewing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6" w:name="page27"/>
    <w:bookmarkEnd w:id="26"/>
    <w:p>
      <w:pPr>
        <w:jc w:val="both"/>
        <w:spacing w:after="0" w:line="241" w:lineRule="auto"/>
        <w:rPr>
          <w:sz w:val="20"/>
          <w:szCs w:val="20"/>
          <w:color w:val="auto"/>
        </w:rPr>
      </w:pPr>
      <w:r>
        <w:rPr>
          <w:rFonts w:ascii="Times New Roman" w:cs="Times New Roman" w:eastAsia="Times New Roman" w:hAnsi="Times New Roman"/>
          <w:sz w:val="14"/>
          <w:szCs w:val="14"/>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drug designation and exclusivity</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 designated orphan drug many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Post-Approval Requirements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7" w:name="page28"/>
    <w:bookmarkEnd w:id="27"/>
    <w:p>
      <w:pPr>
        <w:jc w:val="both"/>
        <w:spacing w:after="0" w:line="243" w:lineRule="auto"/>
        <w:rPr>
          <w:sz w:val="20"/>
          <w:szCs w:val="20"/>
          <w:color w:val="auto"/>
        </w:rPr>
      </w:pPr>
      <w:r>
        <w:rPr>
          <w:rFonts w:ascii="Times New Roman" w:cs="Times New Roman" w:eastAsia="Times New Roman" w:hAnsi="Times New Roman"/>
          <w:sz w:val="14"/>
          <w:szCs w:val="14"/>
          <w:color w:val="auto"/>
        </w:rPr>
        <w:t>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48"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product recalls;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post-approval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revocation of product approvals;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or</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Drug Product Marketing Exclusivity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regulation</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8" w:name="page29"/>
    <w:bookmarkEnd w:id="28"/>
    <w:p>
      <w:pPr>
        <w:jc w:val="both"/>
        <w:spacing w:after="0" w:line="238" w:lineRule="auto"/>
        <w:rPr>
          <w:sz w:val="20"/>
          <w:szCs w:val="20"/>
          <w:color w:val="auto"/>
        </w:rPr>
      </w:pPr>
      <w:r>
        <w:rPr>
          <w:rFonts w:ascii="Times New Roman" w:cs="Times New Roman" w:eastAsia="Times New Roman" w:hAnsi="Times New Roman"/>
          <w:sz w:val="14"/>
          <w:szCs w:val="14"/>
          <w:color w:val="auto"/>
        </w:rPr>
        <w:t>Each jurisdiction will apply these regulations in their assessment of clinical trial applications and marketing authorization applications. The foreign regulatory approval process includes all of the risks associated with FDA approval set forth above, as well as additional country-specific regulation. The foreign regulatory approval process includes all of the risks associated with FDA approval set forth above, as well as additional country-specific regulation. Whether or not we obtain FDA approval for a product, we must obtain approval of a product by the comparable regulatory authorities of foreign countries before we can commence clinical trials or marketing of the product in those countries.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Non-clinical studies and clinical trials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Similarly to the United States, the various phases of non-clinical and clinical research in the European Union (“EU”) are subject to significant regulatory controls.</w:t>
      </w:r>
    </w:p>
    <w:p>
      <w:pPr>
        <w:spacing w:after="0" w:line="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Non-clinical studies are performed to demonstrate the health or environmental safety of new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Medicines used in clinical trials must be manufactured in accordance with GMP. Other national and EU-wide regulatory requirements may also apply.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29" w:name="page30"/>
    <w:bookmarkEnd w:id="29"/>
    <w:p>
      <w:pPr>
        <w:spacing w:after="0" w:line="271" w:lineRule="auto"/>
        <w:rPr>
          <w:sz w:val="20"/>
          <w:szCs w:val="20"/>
          <w:color w:val="auto"/>
        </w:rPr>
      </w:pPr>
      <w:r>
        <w:rPr>
          <w:rFonts w:ascii="Times New Roman" w:cs="Times New Roman" w:eastAsia="Times New Roman" w:hAnsi="Times New Roman"/>
          <w:sz w:val="14"/>
          <w:szCs w:val="14"/>
          <w:color w:val="auto"/>
        </w:rPr>
        <w:t>In the EU, medicinal products can only be placed on the market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29" w:lineRule="exact"/>
        <w:rPr>
          <w:sz w:val="20"/>
          <w:szCs w:val="20"/>
          <w:color w:val="auto"/>
        </w:rPr>
      </w:pPr>
    </w:p>
    <w:p>
      <w:pPr>
        <w:jc w:val="both"/>
        <w:ind w:left="260" w:hanging="255"/>
        <w:spacing w:after="0"/>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“Centralized MAs” are issued by the European Commission through the centralized procedure, based on the opinion of the Committee for Medicinal Products for Human Use (“CHMP”) of the EMA, and are valid throughout the EU. The centralized procedure is mandatory for certain types of medicinal products, such as (i) medicines derived from biotechnology processes, (ii) advanced therapy medicinal products (“ATMP”)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52"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“National MAs” are issued by the competent authorities of the member states of the EU and only cover their respective territory, and are available for product candidates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the above described procedures, in order to grant the MA, the EMA or the competent authorities of the member states of the EU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5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Under the centralized procedure the maximum timeframe for the evaluation of a MAA by the EMA is 210 days, excluding clock stops. In exceptional cases, the CHMP might perform an accelerated assessment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Data and marketing exclusivity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EU, new products authorized for marketing, (i.e.,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Pediatric development</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EEA, MAAs for new medicinal products have to include the results of studies conducted in the pediatric population, in compliance with a pediatric investigation plan (“PIP”), agreed with the EMA’s Pediatric Committee (“PDCO”). The PIP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0" w:name="page31"/>
    <w:bookmarkEnd w:id="30"/>
    <w:p>
      <w:pPr>
        <w:jc w:val="both"/>
        <w:spacing w:after="0" w:line="242" w:lineRule="auto"/>
        <w:rPr>
          <w:sz w:val="20"/>
          <w:szCs w:val="20"/>
          <w:color w:val="auto"/>
        </w:rPr>
      </w:pPr>
      <w:r>
        <w:rPr>
          <w:rFonts w:ascii="Times New Roman" w:cs="Times New Roman" w:eastAsia="Times New Roman" w:hAnsi="Times New Roman"/>
          <w:sz w:val="14"/>
          <w:szCs w:val="14"/>
          <w:color w:val="auto"/>
        </w:rPr>
        <w:t>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Medicinal Products</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that has been authorized for marketing in the EU, or if such a method exists, the product will be of significant benefit to those affected by the condition.</w:t>
      </w:r>
    </w:p>
    <w:p>
      <w:pPr>
        <w:spacing w:after="0" w:line="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orphan exclusivity period may be reduced to six years if, at the end of the fifth year, it is established that the product no longer meets the criteria for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Post-Approval Requirements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European Economic Area (“EEA”) which consists of the 27 EU member states plus Norway, Liechtenstein and Iceland.</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1" w:name="page32"/>
    <w:bookmarkEnd w:id="31"/>
    <w:p>
      <w:pPr>
        <w:jc w:val="both"/>
        <w:spacing w:after="0" w:line="246" w:lineRule="auto"/>
        <w:rPr>
          <w:sz w:val="20"/>
          <w:szCs w:val="20"/>
          <w:color w:val="auto"/>
        </w:rPr>
      </w:pPr>
      <w:r>
        <w:rPr>
          <w:rFonts w:ascii="Times New Roman" w:cs="Times New Roman" w:eastAsia="Times New Roman" w:hAnsi="Times New Roman"/>
          <w:sz w:val="14"/>
          <w:szCs w:val="14"/>
          <w:color w:val="auto"/>
        </w:rPr>
        <w:t>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Brexit and the Regulatory Framework in the United Kingdom</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(“GB”), however new legislation such as the EU CTR is not applicable in GB.</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CTR.</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without first establishing an EEA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Healthcare Laws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2" w:name="page33"/>
    <w:bookmarkEnd w:id="32"/>
    <w:p>
      <w:pPr>
        <w:jc w:val="both"/>
        <w:spacing w:after="0" w:line="243" w:lineRule="auto"/>
        <w:rPr>
          <w:sz w:val="20"/>
          <w:szCs w:val="20"/>
          <w:color w:val="auto"/>
        </w:rPr>
      </w:pPr>
      <w:r>
        <w:rPr>
          <w:rFonts w:ascii="Times New Roman" w:cs="Times New Roman" w:eastAsia="Times New Roman" w:hAnsi="Times New Roman"/>
          <w:sz w:val="14"/>
          <w:szCs w:val="14"/>
          <w:color w:val="auto"/>
        </w:rPr>
        <w:t>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a person or entity does not need to have actual knowledge of the statute or specific intent to violate it in order to have committed a violation.</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federal false claims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Violations of any such laws or any other governmental regulations that apply may result in significant criminal, civil and administrative penalties, including damages, fines, the possibility of exclusion from federal healthcare programs (including Medicare and Medicaid), disgorgement and corporate integrity agreements, which impose, among other things, rigorous operational and monitoring requirements on companies to resolve allegations of non-compliance with these laws.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 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3" w:name="page34"/>
    <w:bookmarkEnd w:id="33"/>
    <w:p>
      <w:pPr>
        <w:jc w:val="both"/>
        <w:spacing w:after="0" w:line="238" w:lineRule="auto"/>
        <w:rPr>
          <w:sz w:val="20"/>
          <w:szCs w:val="20"/>
          <w:color w:val="auto"/>
        </w:rPr>
      </w:pPr>
      <w:r>
        <w:rPr>
          <w:rFonts w:ascii="Times New Roman" w:cs="Times New Roman" w:eastAsia="Times New Roman" w:hAnsi="Times New Roman"/>
          <w:sz w:val="14"/>
          <w:szCs w:val="14"/>
          <w:color w:val="auto"/>
        </w:rPr>
        <w:t>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Coverage and Reimbursement</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international markets, reimbursement and healthcare payment systems vary significantly by country. In the EU,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Healthcare Reform</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Additionally, on August 2, 2011, the Budget Control Act of 2011 created measures for spending reductions was enacted, which, among other things, included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eliminated the statutory Medicaid drug rebate cap, beginning January 1, 2024. The rebate was previously capped at 100% of a drug’s average manufacturer price.</w:t>
      </w:r>
    </w:p>
    <w:p>
      <w:pPr>
        <w:spacing w:after="0" w:line="5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 political, economic and regulatory developments are occurring in the EU and may affect the ability of pharmaceutical companies to profitably commercialize their products.</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35" w:name="page36"/>
    <w:bookmarkEnd w:id="35"/>
    <w:p>
      <w:pPr>
        <w:jc w:val="both"/>
        <w:spacing w:after="0" w:line="271" w:lineRule="auto"/>
        <w:rPr>
          <w:sz w:val="20"/>
          <w:szCs w:val="20"/>
          <w:color w:val="auto"/>
        </w:rPr>
      </w:pPr>
      <w:r>
        <w:rPr>
          <w:rFonts w:ascii="Times New Roman" w:cs="Times New Roman" w:eastAsia="Times New Roman" w:hAnsi="Times New Roman"/>
          <w:sz w:val="14"/>
          <w:szCs w:val="14"/>
          <w:color w:val="auto"/>
        </w:rPr>
        <w:t>cooperation in other areas. Individual EU member states will continue to be responsible for assessing non-clinical (e.g., economic, social, ethical) aspects of health technology, and making decisions on pricing and reimbursement.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Data Privacy and Security Laws</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regulation</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certain other countries that impose similar obligations.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Foreign Corrupt Practices Act</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2023, we had 79 full-time employees. None of our employees is party to a collective bargaining agreement or represented by a trade union or labor union. We consider our relationship with our employees to be good.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 The SEC also maintains a website at www.sec.gov that contains reports, proxy statements and other information regarding issuers that file electronically with the SEC, including Verona Pharma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have never generated any product revenue.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a clinical-stage biopharmaceutical company with a limited operating history, and have incurred significant operating losses since our inception. We had net losses of $54.4 million and $68.7 million for the years ended December 31, 2023 and 2022, respectively. As of December 31, 2023, we had an accumulated deficit of $388.4 million. Our losses have resulted principally from expenses incurred in research and development of ensifentrine, our only product candidate,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or for other indications, and seek to obtain regulatory approval for and commercialize ensifentrine in various formulations or for various indications. We anticipate that our expenses will increase substantially as we:</w:t>
      </w:r>
    </w:p>
    <w:p>
      <w:pPr>
        <w:spacing w:after="0" w:line="61"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trials of ensifentrine for the treatment of non-cystic fibrosis bronchiectasis (“NCFBE”), cystic fibrosis (“CF”), asthma or other indications;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pharmacology studies with any formulation;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or in-license additional respiratory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to support ensifentrine and potentially other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the manufacturing processes and produce clinical and commercial supplies of the ensifentrine active pharmaceutical ingredient and formulated drug products derived from it;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maintain or obtain freedom to operate for our in-licensed technologies and products;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potential future commercialization efforts;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operations in the United States, the United Kingdom (“UK”) and possibly elsewhere.</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devoted substantially all of our financial resources and efforts to the research and development, pre-clinical studies and clinical trials, and commercialization of nebulized ensifentrine for the maintenance treatment of COPD in the US. We are continuing development of ensifentrine in other formulations and for other indications, and for commercialization in other territories.</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in other formulations and other indications, discovering and developing additional product candidates, obtaining regulatory approval for ensifentrine and any future product candidates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14"/>
          <w:szCs w:val="14"/>
          <w:color w:val="auto"/>
        </w:rPr>
        <w:t>successfully complete clinical trials, establishing manufacturing, commercial and marketing capabilities and ultimately distributing and selling any products for which we may obtain regulatory approval. We are only in the preliminary stages of some of these activities. We may never succeed in these activities and, even if we do, we may never generate revenue that is significant enough to achieve profitability.</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will need additional funding to complete development and commercialization of any future product candidates, or development and commercialization of other formulations or target indications of ensifentrine, if approved.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and planned activities, particularly as we conduct clinical trials and prepare for commercialization of ensifentrine, and develop and prepare for the commercialization of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If we obtain regulatory approval for ensifentrine for the treatment of COPD in the US, we estimate that our existing cash resources and additional funding expected to become available under the 2023 Term Loan will enable us to fund planned operating expenses and capital expenditure requirements through at least the end of 2026 including the commercial launch of ensifentrine. Future advances under the 2023 Term Loan are contingent upon achievement of certain regulatory and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83" w:lineRule="exact"/>
        <w:rPr>
          <w:sz w:val="20"/>
          <w:szCs w:val="20"/>
          <w:color w:val="auto"/>
        </w:rPr>
      </w:pPr>
    </w:p>
    <w:p>
      <w:pPr>
        <w:ind w:left="260" w:hanging="255"/>
        <w:spacing w:after="0" w:line="271"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the regulatory submission and review of ensifentrine, including any post-marketing studies that could be required by regulatory authorities, if regulatory approval is received;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other studies required to support the commercial positioning of ensifentrine for the treatment of COPD, if regulatory approval is received;</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clinical trials for the treatment of NCFBE, CF, asthma or other indications, or for other formulations of ensifentrine including fixed-dose combination products;</w:t>
      </w:r>
    </w:p>
    <w:p>
      <w:pPr>
        <w:spacing w:after="0" w:line="22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if approved, commercial supplies of the ensifentrine active ingredient and derived formulated drug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8" w:name="page39"/>
    <w:bookmarkEnd w:id="38"/>
    <w:p>
      <w:pPr>
        <w:ind w:left="260" w:hanging="255"/>
        <w:spacing w:after="0" w:line="271"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NCFBE, CF, asthma and other respiratory diseases;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potential future commercialization activities, including manufacturing, marketing, sales and distribution, for ensifentrine;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revenue, if any, received from commercial sales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and availability of adequate third-party coverage and reimbursement for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depend solely on the success of ensifentrine, our only product candidate under development. We cannot give any assurance that ensifentrine will receive regulatory approval for any indication, which is necessary before it can be commercialized. If we, and any collaborators with whom we have entered or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will depend heavily on the successful commercialization of ensifentrine, if approved, which may never occur. Ensifentrine will require regulatory approval,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European Commission or comparable foreign regulatory authorities, and we may never receive such regulatory approval for ensifentrine or any future product candidate. In August 2023, the FDA accepted for review our NDA seeking approval of ensifentrine for the maintenance treatment of COPD and assigned a Prescription Drug User Fee Act (“PDUFA”) target action date of June 26, 2024, but we cannot guarantee that it will be approved, or that it will be approved with the labeling claims necessary or desirable for the successful commercialization of ensifentrine. In addition, we have not submitted a marketing authorization application (“MAA”) to the EMA or comparable applications to other regulatory authorities. The success of ensifentrine will depend on many factors, including the following:</w:t>
      </w:r>
    </w:p>
    <w:p>
      <w:pPr>
        <w:spacing w:after="0" w:line="55"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ensifentrine is safe and effective as a treatment for our targeted indications to the satisfaction of the applicable regulatory authorities;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additional pre-clinical or clinical trials, which would increase our costs and prolong our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9" w:name="page40"/>
    <w:bookmarkEnd w:id="39"/>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of ensifentrine may not meet the level of statistical or clinical significance required by the applicable regulatory authorities for marketing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disagree with the number, design, size, conduct or implementation of our clinical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research organizations (“CROs”) that we retain to conduct clinical trials may take actions outside of our control that materially adversely impact our clinical trials;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a non-clinical safety profile that is acceptable to the applicable regulatory authorities;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operational or clinical issues may prevent completion or interpretation of clinical study results;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manufacturing issues, product performance issues or stability issues may delay or otherwise adversely affect the progress of our clinical development program;</w:t>
      </w:r>
    </w:p>
    <w:p>
      <w:pPr>
        <w:spacing w:after="0" w:line="72"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FDA or other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including war and terrorism, such as the ongoing conflicts in Europe and the Middle East, or travel restrictions, such as those imposed during the COVID-19 pandemic;</w:t>
      </w:r>
    </w:p>
    <w:p>
      <w:pPr>
        <w:spacing w:after="0" w:line="4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accept data generated at our clinical trial sites due to Good Clinical Practice (“GCP”) compliance issues, misconduct, or other reasons;</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NDA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development of a risk evaluation and mitigation strategy (“REMS”) or similar risk management measures as a condition of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identify deficiencies in the manufacturing processes or facilities of our third-party manufacturers;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change their approval policies or adopt new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license ensifentrine to others, the efforts of those parties in completing clinical trials of, receiving regulatory approval for, and commercializing ensifentrine;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our clinical trials, we may discover factors that limit the commercial viability of ensifentrine or make the commercialization of ensifentrine unfeasible;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unfavorable outcome in any of these factors could result in our experiencing significant delays or an inability to successfully commercialize ensifentrine.</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0" w:name="page41"/>
    <w:bookmarkEnd w:id="40"/>
    <w:p>
      <w:pPr>
        <w:jc w:val="both"/>
        <w:spacing w:after="0" w:line="243" w:lineRule="auto"/>
        <w:rPr>
          <w:sz w:val="20"/>
          <w:szCs w:val="20"/>
          <w:color w:val="auto"/>
        </w:rPr>
      </w:pPr>
      <w:r>
        <w:rPr>
          <w:rFonts w:ascii="Times New Roman" w:cs="Times New Roman" w:eastAsia="Times New Roman" w:hAnsi="Times New Roman"/>
          <w:sz w:val="14"/>
          <w:szCs w:val="14"/>
          <w:color w:val="auto"/>
        </w:rPr>
        <w:t>We have submitted an NDA for regulatory approval to commercialize ensifentrine in the United States.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investors to evaluate the success of our business to date and to assess our future viability.</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in different formulations of ensifentrine and for different indications, and two registrational Phase 3 clinical trials for nebulized ensifentrine for the maintenance treatment of COPD. We have not yet successfully obtained regulatory approvals, manufactured a commercial-scale product or arranged for a third party to do so on our behalf or conducted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In December 2023, Verona Pharma, Inc. entered into a term loan facility (the “Loan Agreement”), with Oxford Finance LLC (“Oxford”), as collateral agent and certain funds managed by Oxford and Hercules Capital, Inc. (together the “Lenders”), pursuant to which a term loan facility in an aggregate amount of up to $400.0 million, which we refer to as the 2023 Term Loan, is available to us in five tranches. We received the first tranche of $50.0 million (the “Term A Loan”) at closing of the Loan Agreement. Each advance under the 2023 Term Loan accrues interest at a floating per annum rate (the “Basic Rate”) equal to (a) the greater of (i) the 1-Month CME Term SOFR (as defined in the Loan Agreement) reference rate on the last business day of the month that immediately precedes the month in which the interest will accrue and (ii) 5.34%, plus (b) 5.85%; provided, however, that (i) in no event shall the Basic Rate (x) for the Term A Loan be less than 11.19% and (y) for each other advance be less than the Basic Rate on the business day immediately prior to the funding date of such advance, (ii) the Basic Rate for the Term A Loan for the period from closing through and including December 31, 2023 shall be 11.19% and (iii) the Basic Rate for each advance shall not increase by more than 2.00% above the applicable Basic Rate as of the funding date of each such advance.</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outstanding indebtedness, including any additional indebtedness incurred beyond our borrowings under the 2023 Term Loan, combined with our other financial obligations and contractual commitments could have significant adverse consequences, including:</w:t>
      </w:r>
    </w:p>
    <w:p>
      <w:pPr>
        <w:spacing w:after="0" w:line="50" w:lineRule="exact"/>
        <w:rPr>
          <w:sz w:val="20"/>
          <w:szCs w:val="20"/>
          <w:color w:val="auto"/>
        </w:rPr>
      </w:pPr>
    </w:p>
    <w:p>
      <w:pPr>
        <w:ind w:left="260" w:hanging="255"/>
        <w:spacing w:after="0" w:line="271"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market conditions;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restrictive covenants that may reduce our ability to take certain corporate actions or obtain further debt or equity financing;</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industry in which we compete;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that have less debt or better debt servicing options.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intend to satisfy our current and future debt service obligations with our then existing cash and cash equivalents. However, we may not have sufficient funds, and may be unable to arrange for additional financing, to pay the amounts due under the Loan Agreement or any other debt instruments. Failure to satisfy our current and future debt obligations, including covenants to take or avoid specific actions, under the Loan Agreement could result in an event of default and, as a result, the Lenders could accelerate all of the amounts due. In the event of an acceleration of amounts due under the Loan Agreement as a result of an event of default, we may not have sufficient funds or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1" w:name="page42"/>
    <w:bookmarkEnd w:id="41"/>
    <w:p>
      <w:pPr>
        <w:jc w:val="both"/>
        <w:spacing w:after="0" w:line="271" w:lineRule="auto"/>
        <w:rPr>
          <w:sz w:val="20"/>
          <w:szCs w:val="20"/>
          <w:color w:val="auto"/>
        </w:rPr>
      </w:pPr>
      <w:r>
        <w:rPr>
          <w:rFonts w:ascii="Times New Roman" w:cs="Times New Roman" w:eastAsia="Times New Roman" w:hAnsi="Times New Roman"/>
          <w:sz w:val="14"/>
          <w:szCs w:val="14"/>
          <w:color w:val="auto"/>
        </w:rPr>
        <w:t>be unable to arrange for additional financing to repay our indebtedness while still pursuing our current business strategy. In addition, our lenders could seek to enforce their security interests in any collateral securing such indebtedness</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if we are liquidated, the Lenders’ right to repayment would be senior to the rights of holders of our American Depositary Shares (“ADS”) or of our shareholders to receive any proceeds from the liquidation. Any declaration by the Lenders of an event of default could significantly harm our business and prospects and could cause the price of our ADSs to decline. In addition, the covenants under the Loan Agreement, the pledge of our assets as collateral and the negative pledge with respect to our intellectual property could limit our ability to obtain additional debt financing. If we raise any additional debt financing, the terms of such additional debt could further restrict our operating and financial flexibility.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holders, restrict our operations or require us to relinquish rights to our technologies or product candidates.</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become subject to economic, political, regulatory and other risks associated with international operations.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company based in the United Kingdom and listed on Nasdaq, our business is subject to risks associated with conducting business internationally. Many of our suppliers and collaborative and clinical trial relationships are located outside the United Kingdom and the United States. Accordingly, our future results could be harmed by a variety of factors, including:</w:t>
      </w:r>
    </w:p>
    <w:p>
      <w:pPr>
        <w:spacing w:after="0" w:line="29"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non-U.S. economies and markets;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for drug approvals in non-U.S. countries;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jurisdictions could present different issues for securing, maintaining or obtaining freedom to operate in such jurisdictions;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reduced protection for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regulations and customs, tariffs and trade barriers;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currency exchange rates of the euro and currency controls;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country’s or region’s political or economic environment;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reimbursement regimes and price controls in certain non-U.S. markets;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consequences from changes in tax laws;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2" w:name="page43"/>
    <w:bookmarkEnd w:id="42"/>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associated with staffing and managing international operations, including differing labor relations;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or natural disasters including earthquakes, typhoons, floods and fires, or public health emergencies, such as the COVID-19 pandemic.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rate fluctuations may materially affect our results of operations and financial condition.</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and Regulatory Approval</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Clinical drug development is a lengthy and expensive process with uncertain timelines and uncertain outcomes. If clinical trials of ensifentrine are prolonged or delayed, or if ensifentrine in later stage clinical trials fails to show the safety and efficacy required by regulatory authorities, we or our collaborators may be unable to obtain required regulatory approvals and be unable to commercialize ensifentrine on a timely basis, or at all.</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 With respect to ensifentrine, our only product candidate, we have completed multiple Phase 1 and 2 clinical trials for different formulations of ensifentrine and for different indications, and two registrational Phase 3 clinical trials for nebulized ensifentrine for the maintenance treatment of COPD. Based on the results from these studies, we submitted an NDA seeking approval of ensifentrine for the maintenance treatment of COPD, and in August 2023, the FDA accepted for review our NDA and assigned a PDUFA target action date of June 26, 2024. The FDA’s filing communication and a November 2023 mid-cycle communication each gave preliminary notice of two review issues regarding the degree to which certain secondary data, such as trough, and exploratory data, such as exacerbation, included in the application could be used to support a favorable benefit-risk profile or efficacy finding, respectively. The FDA noted in both communications that these comments were preliminary in nature and did not reflect a final decision on the information reviewed.</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wish to commercialize nebulized ensifentrine for the maintenance treatment of COPD in other territories, the regulatory authorities in such territories may require us to conduct additional pre-clinical studies or clinical trials, and if we wish to commercialize ensifentrine in other formulations or for other indications, we will be required to conduct further clinical studies.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experience delays in clinical trials and we do not know whether planned clinical trials will begin on time, need to be redesigned, enroll patients on time or be completed on schedule, if at 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clinical trials can be delayed, suspended, or terminated, or the utility of data from these trials may be compromised, for a variety of reasons,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3" w:name="page44"/>
    <w:bookmarkEnd w:id="43"/>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generate sufficient preclinical, toxicology or other in vivo or in vitro data to support the initiation or continuation of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agreement on clinical trial design or implementation, including dose and frequency of administration;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authorization to commence a trial;</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a CRO to meet their contracted obligations regarding subject enrollment, data collection, data monitoring, laboratory sample management, programming and analysis or other activities;</w:t>
      </w:r>
    </w:p>
    <w:p>
      <w:pPr>
        <w:spacing w:after="0" w:line="23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institutional review board (“IRB”), or ethics committee approval or positive opinion at each site;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recruit suitable patients to participate in a trial;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have patients complete a trial or return for post-treatment follow-up;</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 or committing gross misconduct or fraud;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to the addition of new clinical trial sites;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achieve or maintain double blinding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technical issues during manufacture of ensifentrine and the corresponding drug products;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drug product performance and/or stability;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discoveries that may reduce the commercial viability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sufficient quantities of ensifentrine for use in clinical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or stability of ensifentrine falling below acceptable standards for either safety or efficacy;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actions claiming infringement by ensifentrine in clinical trials and obtaining injunctions interfering with our progress;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or natural disasters including earthquakes, typhoons, floods and fires;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sanctions imposed by the United States or other governments impacting our ability to transfer money to certain countries, such as Russia, to pay clinical trials sites in those countries;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guidelines;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retention rates of patients and volunteers in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research contractors to comply with regulatory requirements or to meet their contractual obligations to us in a timely manner, or at all;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certain countries in identifying the sub-populations that we are trying to evaluate in a particular trial, which may delay enrollment.</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4" w:name="page45"/>
    <w:bookmarkEnd w:id="44"/>
    <w:p>
      <w:pPr>
        <w:jc w:val="both"/>
        <w:spacing w:after="0" w:line="241" w:lineRule="auto"/>
        <w:rPr>
          <w:sz w:val="20"/>
          <w:szCs w:val="20"/>
          <w:color w:val="auto"/>
        </w:rPr>
      </w:pPr>
      <w:r>
        <w:rPr>
          <w:rFonts w:ascii="Times New Roman" w:cs="Times New Roman" w:eastAsia="Times New Roman" w:hAnsi="Times New Roman"/>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ensifentrine or any other product candidate.</w:t>
      </w:r>
    </w:p>
    <w:p>
      <w:pPr>
        <w:spacing w:after="0" w:line="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5" w:name="page46"/>
    <w:bookmarkEnd w:id="45"/>
    <w:p>
      <w:pPr>
        <w:jc w:val="both"/>
        <w:spacing w:after="0" w:line="238" w:lineRule="auto"/>
        <w:rPr>
          <w:sz w:val="20"/>
          <w:szCs w:val="20"/>
          <w:color w:val="auto"/>
        </w:rPr>
      </w:pPr>
      <w:r>
        <w:rPr>
          <w:rFonts w:ascii="Times New Roman" w:cs="Times New Roman" w:eastAsia="Times New Roman" w:hAnsi="Times New Roman"/>
          <w:sz w:val="14"/>
          <w:szCs w:val="14"/>
          <w:color w:val="auto"/>
        </w:rPr>
        <w:t>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resulting legislative changes will be closely watched and will determine the extent to which the U.K. clinical trials framework aligns with or diverges from the (EU) CTR. Under the terms of the Protocol on Ireland/Northern Ireland, 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compared with other countries.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slow or unable to adapt to changes in existing requirements or the adoption of new requirements or policies governing clinical trials, our development plans may be impacted.</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Undesirable side effects that may be caused by ensifentrine could cause us or regulatory authorities to interrupt, delay or halt clinical trials and could result in a more restrictive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20 Phase 1, 2 and 3 clinical trials of ensifentrine. In these trials, some patients have experienced mild to moderate adverse reactions, including urinary tract infection, back pain and hypertension.</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48"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approvals of such products and require us to take ensifentrine off the market;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specific warnings, a contraindication or field alerts to physicians and pharmacies;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ensifentrine is administered, conduct additional clinical trials or change the labeling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limitations on how we may promote ensifentrine;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ensifentrine may decrease significantly;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litigation or product liability claims;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6" w:name="page47"/>
    <w:bookmarkEnd w:id="46"/>
    <w:p>
      <w:pPr>
        <w:jc w:val="both"/>
        <w:spacing w:after="0" w:line="271" w:lineRule="auto"/>
        <w:rPr>
          <w:sz w:val="20"/>
          <w:szCs w:val="20"/>
          <w:color w:val="auto"/>
        </w:rPr>
      </w:pPr>
      <w:r>
        <w:rPr>
          <w:rFonts w:ascii="Times New Roman" w:cs="Times New Roman" w:eastAsia="Times New Roman" w:hAnsi="Times New Roman"/>
          <w:sz w:val="14"/>
          <w:szCs w:val="14"/>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develop ensifentrine in different formulations, including fixed-dose combinations, and/or for multiple indications, including NCFBE, CF, asthma or other respiratory diseases.</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Part of our strategy is to continue to develop ensifentrine in indications other than COPD, such as NCFBE, CF and asthma and other formulations including fixed-dose combinations, MDI and DPI. Although our research and development efforts to date have suggested that ensifentrine has the potential to treat NCFBE, CF and asthma, we may not be able to develop ensifentrine in these indications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or formulations, we will face difficulty in obtaining product revenues in future periods, which could significantly harm our financial position.</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or other product candidates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51"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related litigation;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time and our resources;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 product recalls or withdrawals, or labeling, marketing or promotional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7" w:name="page48"/>
    <w:bookmarkEnd w:id="47"/>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or promote ensifentrine.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or foreign regulatory agencies may also require us to conduct additional preclinical studies or clinical trials for ensifentrine either prior to or post-approval, or it may object to elements of our clinical development program.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Ensifentrine could fail to receive regulatory approval for many reasons, including the following:</w:t>
      </w:r>
    </w:p>
    <w:p>
      <w:pPr>
        <w:spacing w:after="0" w:line="83" w:lineRule="exact"/>
        <w:rPr>
          <w:sz w:val="20"/>
          <w:szCs w:val="20"/>
          <w:color w:val="auto"/>
        </w:rPr>
      </w:pPr>
    </w:p>
    <w:p>
      <w:pPr>
        <w:ind w:left="260" w:hanging="255"/>
        <w:spacing w:after="0" w:line="255"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ensifentrine’s benefits outweigh its safety risks;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interpretation of data from pre-clinical studies or clinical trials or may find the data to be unacceptable;</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find that the dose or doses evaluated in Phase 3 clinical trials or the way in which double blinding was effected to be unacceptable;</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ensifentrine may, for various reasons, be insufficient to support the submission or approval of an NDA in the United States, a MAA in the EU, or other comparable submission to obtain regulatory approval in other countries;</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fail to approve the manufacturing processes or facilities of third-party manufacturers with which we contract for clinical and commercial supplies;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8" w:name="page49"/>
    <w:bookmarkEnd w:id="48"/>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the design or implementation of our clinical trials;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proposed product specifications and performance characteristics.</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European Commission or any other regulatory authority. For example, in August 2023, the FDA accepted for review our NDA seeking approval of ensifentrine for the maintenance treatment of COPD and assigned a PDUFA target action date of June 26, 2024. The NDA filing communication and a November 2023 mid-cycle review each gave preliminary notice of two review issues regarding the degree to which certain secondary data, such as trough, and exploratory data, such as exacerbation, included in the application could be used to support a favorable benefit-risk profile or efficacy finding, respectively. The FDA noted in both communications that these comments were preliminary in nature and did not reflect a final decision on the information reviewed.</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 may however have a significant impact on the biopharmaceutical industry and our business in the long term.</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inspection-related or administrative delays. If a prolonged government shutdown occurs, or if global health concerns prevent the FDA or other regulatory authorities from conducting their regular inspections, reviews, or other regulatory activities, it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significantly impact the ability of the FDA or other regulatory authorities to timely review and process our regulatory submissions, which could have a material adverse effect on our business.</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the FDA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and similar foreign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and our contract manufacturers will also be subject to periodic inspection by the FDA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62"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the rejection of product approvals;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conduct clinical trials, including full or partial clinical holds on ongoing or planned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products, manufacturers or manufacturing process;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detentions or import bans;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publicity requirements;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restrictions on operations, including costly new manufacturing requirements.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ensifentrine and generate revenue and could require us to expend significant time and resources in response and could generate negative publicity.</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0" w:name="page51"/>
    <w:bookmarkEnd w:id="50"/>
    <w:p>
      <w:pPr>
        <w:jc w:val="both"/>
        <w:spacing w:after="0" w:line="238" w:lineRule="auto"/>
        <w:rPr>
          <w:sz w:val="20"/>
          <w:szCs w:val="20"/>
          <w:color w:val="auto"/>
        </w:rPr>
      </w:pPr>
      <w:r>
        <w:rPr>
          <w:rFonts w:ascii="Times New Roman" w:cs="Times New Roman" w:eastAsia="Times New Roman" w:hAnsi="Times New Roman"/>
          <w:sz w:val="14"/>
          <w:szCs w:val="14"/>
          <w:color w:val="auto"/>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14"/>
          <w:szCs w:val="14"/>
          <w:color w:val="auto"/>
        </w:rPr>
        <w:t>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Risks Related to Healthcare Laws and Other Legal Compliance Matters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may increase the difficulty and cost for us to obtain marketing approval of and commercialize ensifentrine and may affect the prices we may set.</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62" w:lineRule="exact"/>
        <w:rPr>
          <w:sz w:val="20"/>
          <w:szCs w:val="20"/>
          <w:color w:val="auto"/>
        </w:rPr>
      </w:pPr>
    </w:p>
    <w:p>
      <w:pPr>
        <w:ind w:left="260" w:hanging="255"/>
        <w:spacing w:after="0" w:line="255"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statutory minimum rebates a manufacturer must pay under the Medicaid Drug Rebate Program to 23.1% and 13.0% of the average manufacturer price for branded and generic drugs, respectively;</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methodology by which rebates owed by manufacturers under the Medicaid Drug Rebate Program are calculated for drugs that are inhaled, infused, instilled, implanted or injected;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 of a manufacturer’s Medicaid rebate liability to covered drugs dispensed to individuals who are enrolled in Medicaid managed care organizations;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Patient-Centered Outcomes Research Institute to oversee, identify priorities in, and conduct comparative clinical effectiveness research, along with funding for such research; and</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1" w:right="319" w:bottom="1440" w:gutter="0" w:footer="0" w:header="0"/>
        </w:sectPr>
      </w:pPr>
    </w:p>
    <w:bookmarkStart w:id="53" w:name="page54"/>
    <w:bookmarkEnd w:id="53"/>
    <w:p>
      <w:pPr>
        <w:jc w:val="both"/>
        <w:spacing w:after="0" w:line="237"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continue to penalize price increases that outpace inflation;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In response to the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4" w:name="page55"/>
    <w:bookmarkEnd w:id="54"/>
    <w:p>
      <w:pPr>
        <w:jc w:val="both"/>
        <w:spacing w:after="0" w:line="271" w:lineRule="auto"/>
        <w:rPr>
          <w:sz w:val="20"/>
          <w:szCs w:val="20"/>
          <w:color w:val="auto"/>
        </w:rPr>
      </w:pPr>
      <w:r>
        <w:rPr>
          <w:rFonts w:ascii="Times New Roman" w:cs="Times New Roman" w:eastAsia="Times New Roman" w:hAnsi="Times New Roman"/>
          <w:sz w:val="14"/>
          <w:szCs w:val="14"/>
          <w:color w:val="auto"/>
        </w:rPr>
        <w:t>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57" w:lineRule="exact"/>
        <w:rPr>
          <w:sz w:val="20"/>
          <w:szCs w:val="20"/>
          <w:color w:val="auto"/>
        </w:rPr>
      </w:pPr>
    </w:p>
    <w:p>
      <w:pPr>
        <w:jc w:val="both"/>
        <w:ind w:left="260" w:hanging="255"/>
        <w:spacing w:after="0" w:line="243"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51" w:lineRule="exact"/>
        <w:rPr>
          <w:rFonts w:ascii="Times New Roman" w:cs="Times New Roman" w:eastAsia="Times New Roman" w:hAnsi="Times New Roman"/>
          <w:sz w:val="14"/>
          <w:szCs w:val="14"/>
          <w:color w:val="auto"/>
        </w:rPr>
      </w:pPr>
    </w:p>
    <w:p>
      <w:pPr>
        <w:jc w:val="both"/>
        <w:ind w:left="260" w:hanging="255"/>
        <w:spacing w:after="0" w:line="243"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FDCA, which prohibits, among other things, the adulteration or misbranding of drugs, biologics and medical devices;</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5" w:name="page56"/>
    <w:bookmarkEnd w:id="55"/>
    <w:p>
      <w:pPr>
        <w:ind w:left="260"/>
        <w:spacing w:after="0" w:line="271" w:lineRule="auto"/>
        <w:rPr>
          <w:sz w:val="20"/>
          <w:szCs w:val="20"/>
          <w:color w:val="auto"/>
        </w:rPr>
      </w:pPr>
      <w:r>
        <w:rPr>
          <w:rFonts w:ascii="Times New Roman" w:cs="Times New Roman" w:eastAsia="Times New Roman" w:hAnsi="Times New Roman"/>
          <w:sz w:val="14"/>
          <w:szCs w:val="14"/>
          <w:color w:val="auto"/>
        </w:rPr>
        <w:t>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29" w:lineRule="exact"/>
        <w:rPr>
          <w:sz w:val="20"/>
          <w:szCs w:val="20"/>
          <w:color w:val="auto"/>
        </w:rPr>
      </w:pPr>
    </w:p>
    <w:p>
      <w:pPr>
        <w:jc w:val="both"/>
        <w:ind w:left="260" w:hanging="255"/>
        <w:spacing w:after="0"/>
        <w:tabs>
          <w:tab w:leader="none" w:pos="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EU, interactions between pharmaceutical companies and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5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6" w:name="page57"/>
    <w:bookmarkEnd w:id="56"/>
    <w:p>
      <w:pPr>
        <w:jc w:val="both"/>
        <w:spacing w:after="0" w:line="235"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(“CCPA”), which went into effect on January 1, 2020. The CCPA, among other things, creates data privacy obligations for covered companies and provides privacy rights to California consumers, including rights to access and delete their information, to opt out of certain information sharing, and receive detailed information about how their personal information is used. The CCPA also creates a private right of action with statutory damages for certain data breaches, thereby potentially increasing risks associated with a data breach. Although the law includes limited exceptions for health-related information, it may regulate or impact our processing of personal information depending on the context.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will likely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Relatedly, since the beginning of 2021,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7" w:name="page58"/>
    <w:bookmarkEnd w:id="57"/>
    <w:p>
      <w:pPr>
        <w:jc w:val="both"/>
        <w:spacing w:after="0" w:line="243" w:lineRule="auto"/>
        <w:rPr>
          <w:sz w:val="20"/>
          <w:szCs w:val="20"/>
          <w:color w:val="auto"/>
        </w:rPr>
      </w:pPr>
      <w:r>
        <w:rPr>
          <w:rFonts w:ascii="Times New Roman" w:cs="Times New Roman" w:eastAsia="Times New Roman" w:hAnsi="Times New Roman"/>
          <w:sz w:val="14"/>
          <w:szCs w:val="14"/>
          <w:color w:val="auto"/>
        </w:rPr>
        <w:t>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58" w:name="page59"/>
    <w:bookmarkEnd w:id="58"/>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 In particular, we engaged a number of clinical trial sites in Russia in connection with our Phase 3 ENHANCE clinical program and, with the ongoing conflict between Russia and Ukraine, and resulting sanctions imposed by the United States and other governments, there is an increased risk that our ability to pay clinical sites or conduct clinical trials in Russia, may be impacted.</w:t>
      </w:r>
    </w:p>
    <w:p>
      <w:pPr>
        <w:spacing w:after="0" w:line="2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Given the number of products already on the market to treat COPD, asthma, CF and NCFBE, we expect to face intense competition if ensifentrine is approved for these indications. Companies including Boehringer Ingelheim, GlaxoSmithKline, AstraZeneca, Novartis, Vertex, Viatris, Theravance, Gilead and Genentech currently have treatments on the market for COPD, CF and asthma, and we anticipate that new companies will enter these markets in the future. While no treatments for NCFBE currently have marketing approval in the U.S. or EU, there are products in late-stage clinical development that could be approved in the future. If we successfully develop and commercialize ensifentrine for any indication,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59" w:name="page60"/>
    <w:bookmarkEnd w:id="59"/>
    <w:p>
      <w:pPr>
        <w:ind w:left="260" w:hanging="255"/>
        <w:spacing w:after="0" w:line="271" w:lineRule="auto"/>
        <w:tabs>
          <w:tab w:leader="none" w:pos="2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products that are safer, more effective, less expensive, more convenient or easier to administer, or have fewer or less severe side effects;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quicker regulatory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superior proprietary positions covering our products and technologies;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more effective approaches to sales, marketing and distribution; or</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more advantageous strategic alliances.</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0" w:name="page61"/>
    <w:bookmarkEnd w:id="60"/>
    <w:p>
      <w:pPr>
        <w:jc w:val="both"/>
        <w:spacing w:after="0" w:line="238" w:lineRule="auto"/>
        <w:rPr>
          <w:sz w:val="20"/>
          <w:szCs w:val="20"/>
          <w:color w:val="auto"/>
        </w:rPr>
      </w:pPr>
      <w:r>
        <w:rPr>
          <w:rFonts w:ascii="Times New Roman" w:cs="Times New Roman" w:eastAsia="Times New Roman" w:hAnsi="Times New Roman"/>
          <w:sz w:val="14"/>
          <w:szCs w:val="14"/>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ensifentrine will be reimbursed either under Medicare Part B or Medicare Advantage programs, and changes within how products are reimbursed under these programs could occur and those changes may affect the overall coverage of ensifentrine in the future.</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even if a pharmaceutical product obtains a marketing authorization in the EU, there can be no assurance that reimbursement for such product will be secured on a timely basis or at all.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Ensifentrine may not gain market acceptance, in which case our ability to generate product revenues will be compromised.</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Even if the FDA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57" w:lineRule="exact"/>
        <w:rPr>
          <w:sz w:val="20"/>
          <w:szCs w:val="20"/>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clinical profile of competing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ensifentrine is approved;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acceptable evidence of safety and efficacy;</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frequency, and ease of administration;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effectiveness;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sales, and distribution support;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adequate coverage, reimbursement and adequate payment from health maintenance organizations and other insurers, both public and private;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potential advantages over alternative treatment methods.</w:t>
      </w:r>
    </w:p>
    <w:p>
      <w:pPr>
        <w:spacing w:after="0" w:line="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1" w:name="page62"/>
    <w:bookmarkEnd w:id="61"/>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are currently developing our commercial capabilities and infrastructure, including sales, marketing, operations, distribution, and reimbursement infrastructure. If we are not successful in developing commercial capabilities and infrastructure, including sales, marketing, operations, distribution and reimbursement capabilities on our own or through collaborations, we may not be successful in commercializing ensifentrine.</w:t>
      </w:r>
    </w:p>
    <w:p>
      <w:pPr>
        <w:spacing w:after="0" w:line="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are developing sales, marketing, and operations, distribution and reimbursement capabilities and infrastructure and we have not previously marketed, sold or distributed pharmaceutical products. The establishment of commercial capabilities and infrastructure, including sales, marketing, operations, distribution, and reimbursement with technical expertise and supporting distribution capabilities to commercialize ensifentrine, is expensive and time consuming. Some or all of these costs are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on our own or through collaborations would adversely impact the commercialization of ensifentrine.</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62" w:name="page63"/>
    <w:bookmarkEnd w:id="62"/>
    <w:p>
      <w:pPr>
        <w:jc w:val="both"/>
        <w:spacing w:after="0" w:line="238" w:lineRule="auto"/>
        <w:rPr>
          <w:sz w:val="20"/>
          <w:szCs w:val="20"/>
          <w:color w:val="auto"/>
        </w:rPr>
      </w:pPr>
      <w:r>
        <w:rPr>
          <w:rFonts w:ascii="Times New Roman" w:cs="Times New Roman" w:eastAsia="Times New Roman" w:hAnsi="Times New Roman"/>
          <w:sz w:val="14"/>
          <w:szCs w:val="14"/>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 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the United States and other countries.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enter into new strategic relationships for ensifentrine, our business, research and development and commercialization prospects could be adversely affected.</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14"/>
          <w:szCs w:val="14"/>
          <w:color w:val="auto"/>
        </w:rPr>
        <w:t>ensifentrine. For example, we may seek a collaborator for development of our DPI or pMDI formulation of ensifentrine for the maintenance treatment of COPD and potentially asthma and other respiratory diseases.</w:t>
      </w:r>
    </w:p>
    <w:p>
      <w:pPr>
        <w:spacing w:after="0" w:line="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60"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control the amount and timing of resources that the collaborator devotes to the development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collaborator may experience financial difficulties;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relinquish important rights such as marketing, distribution and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could move forward with a competing product developed either independently or in collaboration with third parties, including our competitors;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and/or efficacy data from a collaborator’s clinical development activities may conflict with our data and could potentially impact our global clinical development and commercialization activities;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may unlawfully use or disclose confidential information and materials in breach of confidentiality obligations to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 or significant changes in a collaborator’s business strategy may adversely affect our willingness to complete our obligations under any arrangement;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 collaborator could fail to adequately perform our obligations under the agreement and/or the agreement could fall into dispute;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patents covering ensifentrine, or relating to the terms of our collaborations, which could be expensive, time consuming and unsuccessful; or</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do not own facilities for manufacturing ensifentrine and its derived formulated products. Instead, we rely on and expect to continue to rely on third-party contract manufacturing organizations (“CMOs”), for the supply of cGMP- or 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4" w:name="page65"/>
    <w:bookmarkEnd w:id="64"/>
    <w:p>
      <w:pPr>
        <w:jc w:val="both"/>
        <w:spacing w:after="0" w:line="236" w:lineRule="auto"/>
        <w:rPr>
          <w:sz w:val="20"/>
          <w:szCs w:val="20"/>
          <w:color w:val="auto"/>
        </w:rPr>
      </w:pPr>
      <w:r>
        <w:rPr>
          <w:rFonts w:ascii="Times New Roman" w:cs="Times New Roman" w:eastAsia="Times New Roman" w:hAnsi="Times New Roman"/>
          <w:sz w:val="14"/>
          <w:szCs w:val="14"/>
          <w:color w:val="auto"/>
        </w:rPr>
        <w:t>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 Additionally, CMOs are experiencing labor constraints which could impact their ability to manufacture and deliver ensifentrine.</w:t>
      </w:r>
    </w:p>
    <w:p>
      <w:pPr>
        <w:spacing w:after="0" w:line="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 and Information Technology</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5" w:name="page66"/>
    <w:bookmarkEnd w:id="65"/>
    <w:p>
      <w:pPr>
        <w:jc w:val="both"/>
        <w:spacing w:after="0" w:line="271" w:lineRule="auto"/>
        <w:rPr>
          <w:sz w:val="20"/>
          <w:szCs w:val="20"/>
          <w:color w:val="auto"/>
        </w:rPr>
      </w:pPr>
      <w:r>
        <w:rPr>
          <w:rFonts w:ascii="Times New Roman" w:cs="Times New Roman" w:eastAsia="Times New Roman" w:hAnsi="Times New Roman"/>
          <w:sz w:val="14"/>
          <w:szCs w:val="14"/>
          <w:color w:val="auto"/>
        </w:rPr>
        <w:t>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6" w:name="page67"/>
    <w:bookmarkEnd w:id="66"/>
    <w:p>
      <w:pPr>
        <w:jc w:val="both"/>
        <w:spacing w:after="0" w:line="243" w:lineRule="auto"/>
        <w:rPr>
          <w:sz w:val="20"/>
          <w:szCs w:val="20"/>
          <w:color w:val="auto"/>
        </w:rPr>
      </w:pPr>
      <w:r>
        <w:rPr>
          <w:rFonts w:ascii="Times New Roman" w:cs="Times New Roman" w:eastAsia="Times New Roman" w:hAnsi="Times New Roman"/>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and more patents are issued, the risk increases that ensifentrine may be subject to claims of infringement of the intellectual property rights of third parties.</w:t>
      </w:r>
    </w:p>
    <w:p>
      <w:pPr>
        <w:spacing w:after="0" w:line="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8" w:name="page69"/>
    <w:bookmarkEnd w:id="68"/>
    <w:p>
      <w:pPr>
        <w:jc w:val="both"/>
        <w:spacing w:after="0" w:line="271" w:lineRule="auto"/>
        <w:rPr>
          <w:sz w:val="20"/>
          <w:szCs w:val="20"/>
          <w:color w:val="auto"/>
        </w:rPr>
      </w:pPr>
      <w:r>
        <w:rPr>
          <w:rFonts w:ascii="Times New Roman" w:cs="Times New Roman" w:eastAsia="Times New Roman" w:hAnsi="Times New Roman"/>
          <w:sz w:val="14"/>
          <w:szCs w:val="14"/>
          <w:color w:val="auto"/>
        </w:rPr>
        <w:t>of their substantially greater financial resources. Uncertainties resulting from the initiation and continuation of patent litigation or other proceedings could have an adverse effect on our ability to compete in the marketplace.</w:t>
      </w:r>
    </w:p>
    <w:p>
      <w:pPr>
        <w:spacing w:after="0" w:line="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under our existing and any future intellectual property licenses or loan agreements with third parties, we could lose rights that are important to our business.</w:t>
      </w:r>
    </w:p>
    <w:p>
      <w:pPr>
        <w:spacing w:after="0" w:line="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recently entered into a term Loan Agreement with Oxford Finance LLC and Hercules Capital, Inc. The term loan is secured by a lien on substantially all of the assets of Verona Pharma, Inc. and Verona Pharma plc, other than intellectual property, provided that a lien on intellectual property will be granted on the earlier of (i) the funding date of any term loan that would cause the aggregate principal amount of outstanding term loans drawn pursuant to the loan agreement to exceed $50.0 million and (ii) prior to Verona Pharma, Inc. or Verona Pharma plc entering into a permitted royalty financing, as defined in the Loan Agreement. Verona Pharma, Inc. or Verona Pharma plc have also granted Oxford and Hercules a negative pledge with respect to their intellectual property. For further description of the Loan Agreement, see the section titled Risk Factors – Risks Related to our Business and Industry. Any uncured, material breach under these agreements could result in our loss of rights to practice the patent rights and other intellectual property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obtain FDA approval of any proposed product names, and any failure or delay associated with such approval may adversely affect our business.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We are working with the FDA on identifying an appropriate brand name for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9" w:name="page70"/>
    <w:bookmarkEnd w:id="69"/>
    <w:p>
      <w:pPr>
        <w:jc w:val="both"/>
        <w:spacing w:after="0" w:line="271" w:lineRule="auto"/>
        <w:rPr>
          <w:sz w:val="20"/>
          <w:szCs w:val="20"/>
          <w:color w:val="auto"/>
        </w:rPr>
      </w:pPr>
      <w:r>
        <w:rPr>
          <w:rFonts w:ascii="Times New Roman" w:cs="Times New Roman" w:eastAsia="Times New Roman" w:hAnsi="Times New Roman"/>
          <w:sz w:val="14"/>
          <w:szCs w:val="14"/>
          <w:color w:val="auto"/>
        </w:rPr>
        <w:t>that is acceptable to the FDA. If we experience delays in identifying an acceptable name, such delays could adversely affect the launch of ensifentrine, if approved, including delaying certain elements of product manufacturing.</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the FDA objects to any of our proposed product names, we may be required to adopt an alternative name for our product candidates. If we adopt an alternative name, we could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have registered trademarks in some territories and made applications to register the trademarks in other territories for potential trade names for our business and proposed drug products.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2044.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0" w:name="page71"/>
    <w:bookmarkEnd w:id="70"/>
    <w:p>
      <w:pPr>
        <w:jc w:val="both"/>
        <w:spacing w:after="0" w:line="238" w:lineRule="auto"/>
        <w:rPr>
          <w:sz w:val="20"/>
          <w:szCs w:val="20"/>
          <w:color w:val="auto"/>
        </w:rPr>
      </w:pPr>
      <w:r>
        <w:rPr>
          <w:rFonts w:ascii="Times New Roman" w:cs="Times New Roman" w:eastAsia="Times New Roman" w:hAnsi="Times New Roman"/>
          <w:sz w:val="14"/>
          <w:szCs w:val="14"/>
          <w:color w:val="auto"/>
        </w:rPr>
        <w:t>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compounds that are the same as or similar to our product candidates but that are not covered by the claims of the patents that we own or have exclusively licensed;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third parties may impair our ability to develop or commercialize our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collaborators might not have been the first to file patent applications covering certain of our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1" w:name="page72"/>
    <w:bookmarkEnd w:id="71"/>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performing manufacturing or testing for us using our product candidates or technologies could use the intellectual property of others without obtaining a proper license;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technologies that are patentable.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Finally, a Unitary Patent and Unified Patent Court (UPC) system were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14"/>
          <w:szCs w:val="14"/>
          <w:color w:val="auto"/>
        </w:rPr>
        <w:t>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may not adequately prevent disclosure of trade secrets and protect other proprietary information.</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3" w:name="page74"/>
    <w:bookmarkEnd w:id="73"/>
    <w:p>
      <w:pPr>
        <w:jc w:val="both"/>
        <w:spacing w:after="0" w:line="243" w:lineRule="auto"/>
        <w:rPr>
          <w:sz w:val="20"/>
          <w:szCs w:val="20"/>
          <w:color w:val="auto"/>
        </w:rPr>
      </w:pPr>
      <w:r>
        <w:rPr>
          <w:rFonts w:ascii="Times New Roman" w:cs="Times New Roman" w:eastAsia="Times New Roman" w:hAnsi="Times New Roman"/>
          <w:sz w:val="14"/>
          <w:szCs w:val="14"/>
          <w:color w:val="auto"/>
        </w:rPr>
        <w:t>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those of our manufacturers, suppliers and other third parties that we use to conduct our pre-clinical and clinical trials or otherwise collaborate with, may fail or suffer security breaches, which could distract our operations and cause delays in our research and development work, and may adversely affect our business, operations and financial performance.</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the ordinary course of our business, we and our manufacturers, suppliers and third parties that we use to conduct our pre-clinical and clinical trials or otherwise collaborate with, collect and store sensitive data, including intellectual property, clinical trial data, proprietary business information and personally identifiable information (collectively, “Confidential Information”) of our clinical trial subjects and employees, in our and third-party data centers and on our and third-party networks. The secure processing, maintenance and transmission of Confidential Information is critical to our operations. Our information technology and other internal infrastructure systems, including corporate firewalls, servers, leased lines and connection to the Internet, and that of our manufacturers, suppliers and other third parties that we use to conduct our pre-clinical and clinical trials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networks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which could adversely affect our reputation and delay clinical development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compliance costs. Any losses, costs or liabilities may not be covered by, or may exceed the coverage limits of, any or all applicable insurance policies.</w:t>
      </w:r>
    </w:p>
    <w:p>
      <w:pPr>
        <w:sectPr>
          <w:pgSz w:w="11900" w:h="16838" w:orient="portrait"/>
          <w:cols w:equalWidth="0" w:num="1">
            <w:col w:w="10159"/>
          </w:cols>
          <w:pgMar w:left="300" w:top="12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18" w:right="1440"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and ability to compete depends on our ability to retain our key personnel and recruit additional qualified personnel.</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Claire Poll, our chief medical officer, Kathleen Rickard, our senior vice president, regulatory affairs, Caroline Diaz, our chief commercial officer, Christopher Martin, and our chief development officer, Tara Rheault. The loss of key personnel could delay our commercialization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regulatory, commercial, sales, marketing, reimbursement and distribution capabilities, and as a result, we may encounter difficulties in managing our growth, which could disrupt our operations.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expect to experience significant growth in the number of our employees and the scope of our operations, particularly in the areas of commercial operations and sales, marketing, reimbursement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ADSs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76" w:name="page77"/>
    <w:bookmarkEnd w:id="76"/>
    <w:p>
      <w:pPr>
        <w:jc w:val="both"/>
        <w:spacing w:after="0" w:line="241" w:lineRule="auto"/>
        <w:rPr>
          <w:sz w:val="20"/>
          <w:szCs w:val="20"/>
          <w:color w:val="auto"/>
        </w:rPr>
      </w:pPr>
      <w:r>
        <w:rPr>
          <w:rFonts w:ascii="Times New Roman" w:cs="Times New Roman" w:eastAsia="Times New Roman" w:hAnsi="Times New Roman"/>
          <w:sz w:val="14"/>
          <w:szCs w:val="14"/>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be subject to limitations on transfer of their ADSs.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of U.S. civil liabilities may not be enforceable against us.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be enforceable by methods generally available for this purpose. These methods generally permit the English court discretion to prescribe the manner of enforcement.</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carry out research and development activities including, but not limited to, developing ensifentrine for various indications and delivery methods, and as a result we currently benefit in the U.K. from the HM Revenue and Customs, or HMRC, small and medium sized enterprises research and development relief, or SME R&amp;D Relief, which currently provides relief against U.K. Corporation Tax.</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Broadly, SME R&amp;D Relief comprises two elements, (a) allowing qualifying SMEs to deduct a total of 186% of their qualifying expenditure from their yearly profit for U.K. Corporation Tax purposes (the deduction is given by allowing an additional 86% deduction plus the usual 100% deduction), 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financial statements for the years ended December 31, 2023 and December 31, 2022, we recorded SME R&amp;D Tax Credits of $2.3 million and $8.6 million, respectively. Based on the HMRC criteria, we expect to receive these SME R&amp;D Tax Credits in the year ending December 31, 2024.</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Changes to the U.K.’s SME R&amp;D Relief regime may adversely affect our financial condition. At the 2023 Autumn Statement, the U.K. Government confirmed that it would introduce a single R&amp;D relief regime which merges the current “RDEC” and SME R&amp;D Relief scheme. The proposed credit rate under the draft legislation is 20% of qualifying expenditure, with the credit itself subject to U.K. corporation tax. The credit will therefore be reduced by the applicable rate of U.K. corporation tax (the main rate of which is currently 25%), although the notional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14"/>
          <w:szCs w:val="14"/>
          <w:color w:val="auto"/>
        </w:rPr>
        <w:t>that applies to loss-making companies will be set at the lower rate of 19% for the purposes of the new R&amp;D relief regime. Therefore, under the proposed regime and current rates of U.K. corporation tax, profitable businesses subject to the main rate of U.K. corporation tax will effectively receive a credit of 15% of qualifying expenditure whilst loss-making businesses will receive a credit of 16.2%. The proposed legislation also contains restrictions on R&amp;D relief which can be claimed where a company contracts R&amp;D activity to a third party or makes payments for externally provided workers so that, broadly, a taxpayer will only be able to claim relief where the work is performed in the U.K. It is proposed that the only expenditure allowable outside the U.K. would be for activities which are necessary due to geographical, environmental or social conditions not present or replicable in the U.K. The proposed legislation also contains new rules relating to subcontracting of R&amp;D activities to a third party.</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it is proposed that for accounting periods beginning on or after 1 April 2024, the R&amp;D intensive loss-making SME scheme threshold (broadly, the proportion of qualifying R&amp;D expenditure compared to total expenditure) will be 30%. Therefore, loss-making SMEs with qualifying R&amp;D expenditure of 30% or more of its total expenditure may claim an enhanced deduction of 86% and a repayable credit of 14.5%.</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It is proposed that the new U.K. R&amp;D tax relief regime will apply to accounting periods starting on or after 1 April 2024. The legislation for the new regime is not yet finalized and therefore the impact on our financial position cannot be fully known, however the proposed changes to the scheme and/or any further changes could have a material adverse effect on our financial position, results of operations or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classified as a passive foreign investment company, it would result in adverse U.S. federal income tax consequences to U.S. holders.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Based on the composition of our income and assets and the value of our assets in the taxable year ended December 31, 2023, we believe that we are a Passive Foreign Investment Company (“PFIC”) for U.S. federal income tax purposes for our taxable year ended December 31, 2023. However, no assurances regarding our PFIC status can be provided for any past taxable years, the taxable year ending December 31, 2024, or any future taxable years. If we are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certain reporting requirements. We cannot provide any assurances that we will furnish to any U.S. Holder information that may be necessary to comply with the aforementioned reporting and tax payment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non-U.S. corporation will generally be considered a passive foreign investment company, or PFIC, for any taxable year in which (i) 75% or more of its gross income consists of passive income or</w:t>
      </w:r>
    </w:p>
    <w:p>
      <w:pPr>
        <w:spacing w:after="0" w:line="14" w:lineRule="exact"/>
        <w:rPr>
          <w:sz w:val="20"/>
          <w:szCs w:val="20"/>
          <w:color w:val="auto"/>
        </w:rPr>
      </w:pPr>
    </w:p>
    <w:p>
      <w:pPr>
        <w:jc w:val="both"/>
        <w:ind w:firstLine="5"/>
        <w:spacing w:after="0" w:line="234" w:lineRule="auto"/>
        <w:tabs>
          <w:tab w:leader="none" w:pos="2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own tax advisors with respect to the potential adverse U.S. tax consequences to it if we are a PFIC.</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 “U.S. Holder” is a holder who, for U.S. federal income tax purposes, is a beneficial owner of our ordinary shares or ADSs and who is a citizen or individual resident of the United States; a corporation, or other entity taxable as a corporation, created or organized in or under the laws of the United States,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Code), or (ii) has a valid election in effect to be treated as a United States person.</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If a U.S. Holder is treated as owning at least 10% of our ordinary shares or ADSs, such holder may be subject to adverse U.S. federal income tax consequences.</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CFC may be required to annually report and include in its U.S. taxable income its pro rata share of “Subpart F income,” “global intangible low-taxed income” and investments in U.S. property by such CFCs, regardless of whether such CFC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we or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ADSs may be volatile and may fluctuate due to factors beyond our control.</w:t>
      </w:r>
    </w:p>
    <w:p>
      <w:pPr>
        <w:spacing w:after="0" w:line="7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40"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or negative results from, or delays in, clinical trials of ensifentrine;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our competitors’ businesses;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innovations or commercial product introductions by us or competitors;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concerning proprietary rights, including patents and litigation matters;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concern relating to the commercial value or safety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or other corporate transactions;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or comments by securities or industry analysts or commentators;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in the pharmaceutical industry or in the economy as a whole;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scientific or senior management personnel;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ADSs by us, our senior management or board members, and significant holders of our ADSs; or</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and factors, many of which are beyond our control.</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possibility of future sales, of a substantial number of our ADSs or ordinary shares could adversely affect the price of our ADSs.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2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United Kingdom or the United States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81" w:name="page82"/>
    <w:bookmarkEnd w:id="81"/>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As a U.S. public company, we have incurred and expect to continue to incur significant legal, accounting and other expenses that we did not incur prior to becoming a U.S. public company, including in connection with our transition to large accelerated filer as of December 31, 2023.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prepare for and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interruptions could adversely affect our operations.</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operations are potentially vulnerable to interruption by fire, severe weather conditions, power loss, telecommunications failure, terrorist activity, public health crises and pandemic diseases, such as COVID-19,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and Strategy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developed and implemented a cybersecurity risk management program intended to protect the confidentiality, integrity, and availability of our critical systems and information.</w:t>
      </w:r>
    </w:p>
    <w:p>
      <w:pPr>
        <w:spacing w:after="0" w:line="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design and assess our program based on the National Institute of Standards and Technology Cybersecurity Framework (“NIST CSF”).This does not imply that we meet any particular technical standards, specifications, or requirements, only that we use the NIST CSF as a guide to help us identify, assess, and manage cybersecurity risks relevant to our business.</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cybersecurity risk management program includes:</w:t>
      </w:r>
    </w:p>
    <w:p>
      <w:pPr>
        <w:spacing w:after="0" w:line="83"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IT environment;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information technology team principally responsible for managing (1) our cybersecurity risk assessment processes, (2) our security controls, and (3) our response to cybersecurity incidents;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external advisors and service providers, where appropriate, to assess, test or otherwise assist with aspects of our security controls;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contractors, incident response personnel, and senior management;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 and alignment with the broader corporate business continuity plan;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service providers, suppliers, and vendors that have access to our critical systems and information.</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business and operations may suffer in the event of information technology system failures, cyberattacks or deficiencies in our cybersecurity.”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Governance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considers cybersecurity risk as part of its risk oversight function and has delegated to the Audit Committee (Committee) oversight of cybersecurity and other information technology risks.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Committee oversees management’s implementation of our cybersecurity risk management program.</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Committee receives quarterly reports from management on our cybersecurity risks. In addition, management updates the Committee, as necessary, regarding any material cybersecurity incidents, as well as any incidents with lesser impact potential.</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Vice President, Digital and Information Technology, internal security staff or external experts as part of the Board’s continuing education on topics that impact public companies.</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management team, including our Vice President, Digital and Information Technology and Chief Financial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decades of managing public pharmaceutical companies, including their related information technology and cybersecurity risk management programs.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83" w:name="page84"/>
    <w:bookmarkEnd w:id="83"/>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corporate headquarters is in leased office space at 3 More London Riverside, London, U.K. The leases for these offices expire in the first quarter of 2025. We also have office space at 33 Park of Commerce, Suite 300, Savannah, Georgia, 31405, which expires in the fourth quarter of 2025, and 8529 Six Forks Road, Suite 400, Raleigh, North Carolina, 27615, which expires in the fourth quarter of 2027. We believe that these facilities are adequate to meet our current and near term needs.</w:t>
      </w:r>
    </w:p>
    <w:p>
      <w:pPr>
        <w:spacing w:after="0" w:line="14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time to time, we may become involved in legal proceedings arising in the ordinary course of our business. We are not currently subject to any material legal proceedings.</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Information and Holders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ADS represents eight ordinary shares of Verona Pharma plc.</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February 27, 2024, we had 423 registered holders of ordinary voting shares. 99.9% of our voting ordinary shares are held in ADS form. The 0.1% balance of our ordinary voting shares are held as unlisted voting ordinary shares. We also have 48,088,896 unlisted non-voting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Sales of Unregistered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15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In this Item 7, we discuss the results of operations for the years ended December 31, 2023 and 2022 and comparisons of the year ended December 31, 2023 to the year ended December 31, 2022. Discussion and analysis of our 2021 fiscal year specifically, as well as the year-over-year comparison of our 2022 financial performance to 2021, are located in Part II, Item 7 - Management’s Discussion and Analysis of Financial Condition and Results of Operations in our Annual Report on Form 10-K for the fiscal year ended December 31, 2022, filed with the SEC on March 7,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developing and commercializing innovative therapeutics for the treatment of chronic respiratory diseases with significant unmet medical needs. Our product candidate, ensifentrine, is an investigational, first-in-class, inhaled, selective, small molecule and dual inhibitor of the enzymes phosphodiesterase 3 and 4 (“PDE3” and “PDE4”), combining bronchodilator and non-steroidal anti-inflammatory activities in one compound.</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Initially, we are developing inhaled ensifentrine for the maintenance treatment of chronic obstructive pulmonary disease (“COPD”), a common, chronic, progressive, and life-threatening respiratory disease without a cure. If successfully developed and approved, ensifentrine is expected to be the first inhaled therapeutic with a novel mode of action for the maintenance treatment of COPD in over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4" w:right="319" w:bottom="1440" w:gutter="0" w:footer="0" w:header="0"/>
        </w:sectPr>
      </w:pPr>
    </w:p>
    <w:bookmarkStart w:id="85" w:name="page86"/>
    <w:bookmarkEnd w:id="85"/>
    <w:p>
      <w:pPr>
        <w:jc w:val="both"/>
        <w:spacing w:after="0" w:line="248" w:lineRule="auto"/>
        <w:rPr>
          <w:sz w:val="20"/>
          <w:szCs w:val="20"/>
          <w:color w:val="auto"/>
        </w:rPr>
      </w:pPr>
      <w:r>
        <w:rPr>
          <w:rFonts w:ascii="Times New Roman" w:cs="Times New Roman" w:eastAsia="Times New Roman" w:hAnsi="Times New Roman"/>
          <w:sz w:val="14"/>
          <w:szCs w:val="14"/>
          <w:color w:val="auto"/>
        </w:rPr>
        <w:t>In August 2023, the U.S. Food and Drug Administration (“FDA”) accepted for review our New Drug Application (“NDA”) seeking approval of ensifentrine for the maintenance treatment of COPD and assigned a Prescription Drug User Fee Act (“PDUFA”) target action date of June 26, 2024. The FDA stated it is not currently planning to hold an advisory committee meeting to discuss the application.</w:t>
      </w:r>
    </w:p>
    <w:p>
      <w:pPr>
        <w:spacing w:after="0" w:line="2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Based on the results from our successful Phase 3 ENHANCE (“Ensifentrine as a Novel inHAled Nebulized COPD thErapy”) program, we believe ensifentrine, if approved, has the potential to change the treatment paradigm for COPD.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recently presented additional analyses of data from the ENHANCE trials at international scientific conferences:</w:t>
      </w:r>
    </w:p>
    <w:p>
      <w:pPr>
        <w:spacing w:after="0" w:line="72" w:lineRule="exact"/>
        <w:rPr>
          <w:sz w:val="20"/>
          <w:szCs w:val="20"/>
          <w:color w:val="auto"/>
        </w:rPr>
      </w:pPr>
    </w:p>
    <w:p>
      <w:pPr>
        <w:ind w:firstLine="5"/>
        <w:spacing w:after="0" w:line="271" w:lineRule="auto"/>
        <w:tabs>
          <w:tab w:leader="none" w:pos="50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2023, we gave four presentations on pooled and subgroup analyses from ENHANCE-1 and ENHANCE-2 covering data related to exacerbations, lung function, symptoms and quality of life endpoints and use of daily medication, at CHEST Annual Meeting 2023. The data are published in the CHEST Annual Meeting online supplement.</w:t>
      </w:r>
    </w:p>
    <w:p>
      <w:pPr>
        <w:spacing w:after="0" w:line="39" w:lineRule="exact"/>
        <w:rPr>
          <w:rFonts w:ascii="Times New Roman" w:cs="Times New Roman" w:eastAsia="Times New Roman" w:hAnsi="Times New Roman"/>
          <w:sz w:val="14"/>
          <w:szCs w:val="14"/>
          <w:color w:val="auto"/>
        </w:rPr>
      </w:pPr>
    </w:p>
    <w:p>
      <w:pPr>
        <w:jc w:val="both"/>
        <w:ind w:firstLine="5"/>
        <w:spacing w:after="0" w:line="246" w:lineRule="auto"/>
        <w:tabs>
          <w:tab w:leader="none" w:pos="50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at CHEST Annual Meeting, we launched a disease awareness campaign highlighting that despite suffering symptoms that have a substantial impact on everyday life, many COPD patients struggle to fully disclose to their healthcare provider the true extent or severity of their symptoms. This campaign was designed to encourage healthcare providers to find out how patients are coping with COPD.</w:t>
      </w:r>
    </w:p>
    <w:p>
      <w:pPr>
        <w:spacing w:after="0" w:line="56" w:lineRule="exact"/>
        <w:rPr>
          <w:rFonts w:ascii="Times New Roman" w:cs="Times New Roman" w:eastAsia="Times New Roman" w:hAnsi="Times New Roman"/>
          <w:sz w:val="14"/>
          <w:szCs w:val="14"/>
          <w:color w:val="auto"/>
        </w:rPr>
      </w:pPr>
    </w:p>
    <w:p>
      <w:pPr>
        <w:ind w:firstLine="5"/>
        <w:spacing w:after="0" w:line="255" w:lineRule="auto"/>
        <w:tabs>
          <w:tab w:leader="none" w:pos="50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September 2023, we gave a presentation on an analysis of the ENHANCE-1 24-week exacerbation data at ERS International Congress 2023. The abstract is published in the peer reviewed publication, </w:t>
      </w:r>
      <w:r>
        <w:rPr>
          <w:rFonts w:ascii="Times New Roman" w:cs="Times New Roman" w:eastAsia="Times New Roman" w:hAnsi="Times New Roman"/>
          <w:sz w:val="14"/>
          <w:szCs w:val="14"/>
          <w:i w:val="1"/>
          <w:iCs w:val="1"/>
          <w:color w:val="auto"/>
        </w:rPr>
        <w:t>European Respiratory Journal.</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approved, we intend to commercialize inhaled ensifentrine for the maintenance treatment of COPD in the United States (“U.S.”). Ensifentrine is not considered a drug device combination because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and have an accumulated deficit of $388.4 million as of December 31, 2023. We expect to incur additional losses and negative cash flows from operations until our product candidates potentially gain regulatory approval and reach commercial profitability, if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significant expenses in connection with our ongoing activities, if and as we:</w:t>
      </w:r>
    </w:p>
    <w:p>
      <w:pPr>
        <w:spacing w:after="0" w:line="83" w:lineRule="exact"/>
        <w:rPr>
          <w:sz w:val="20"/>
          <w:szCs w:val="20"/>
          <w:color w:val="auto"/>
        </w:rPr>
      </w:pPr>
    </w:p>
    <w:p>
      <w:pPr>
        <w:ind w:left="260" w:hanging="255"/>
        <w:spacing w:after="0" w:line="255" w:lineRule="auto"/>
        <w:tabs>
          <w:tab w:leader="none" w:pos="25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ramp up production to commercial scale with our manufacturing and other Chemistry, Manufacturing and Controls activities to potentially commercialize any products for which we may obtain regulatory approval;</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our DPI and pMDI formulations of ensifentrine and research and development of other formulations of ensifentrine, as well as a fixed-dose combination of ensifentrine and a long-acting muscarinic antagonist;</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further clinical trials for ensifentrine for the treatment of non-CF bronchiectasis, acute COPD, CF or any other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progress pre-clinical studies relating to other potential indications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of our product candidates that successfully complete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or in-license additional respiratory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86" w:name="page87"/>
    <w:bookmarkEnd w:id="86"/>
    <w:p>
      <w:pPr>
        <w:ind w:left="260" w:hanging="255"/>
        <w:spacing w:after="0" w:line="271" w:lineRule="auto"/>
        <w:tabs>
          <w:tab w:leader="none" w:pos="25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from any of the above, including but not limited to failed studies, complex results, safety issues or other regulatory challenges.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December 27, 2023, we entered into a term loan facility (the “2023 Term Loan”) of up to $400.0 million with Oxford Finance LLC (“Oxford”), as collateral agent, and certain funds managed by Oxford and Hercules Capital, Inc. At closing $50.0 million was funded with up to four additional advances of an aggregate $350.0 million available subject to meeting certain regulatory and commercial milestones. The 2023 Term Loan replaced the our existing $150.0 million facility with Oxford Finance Luxembourg S.A R.L. Refer to Note 5 - Debt to our Consolidated Financial Statements and related notes included elsewhere in this Annual Report for additional details.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believe that our cash and cash equivalents as of December 31, 2023 and funding expected to become available under the 2023 Term Loan will enable us to fund our planned operating expenses and capital expenditure requirements through at least the end of 2026 including the planned commercial launch of ensifentrine in the U.S., if approved. The remaining advances under the 2023 Term Loan are contingent upon the achievement of certain clinical and regulatory milestones and other specified conditions. See “Liquidity and capital resources” 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agreements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Ligand agreement</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obligated to pay a milestone payment of £5.0 million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each contingency is resolved, we will record the contingent consideration payment (or payable) in connection with the Ligand Agreement as an expense.</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March 2022, we entered into an Amendment Agreement (the “Amendment”) with Ligand whereby the Ligand Agreement was amended to clarify certain ambiguous terms in the Ligand Agreement. Pursuant to the Amendment:</w:t>
      </w:r>
    </w:p>
    <w:p>
      <w:pPr>
        <w:spacing w:after="0" w:line="50" w:lineRule="exact"/>
        <w:rPr>
          <w:sz w:val="20"/>
          <w:szCs w:val="20"/>
          <w:color w:val="auto"/>
        </w:rPr>
      </w:pPr>
    </w:p>
    <w:p>
      <w:pPr>
        <w:jc w:val="both"/>
        <w:ind w:left="260" w:hanging="255"/>
        <w:spacing w:after="0" w:line="246" w:lineRule="auto"/>
        <w:tabs>
          <w:tab w:leader="none" w:pos="22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56"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Ligand Agreement shall expire on March 24, 2042 unless terminated earlier by either party in accordance with its terms;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19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 Payment may be paid in cash or, at our discretion, by issuing to Ligand shares in the Company of equivalent value;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87" w:name="page88"/>
    <w:bookmarkEnd w:id="87"/>
    <w:p>
      <w:pPr>
        <w:ind w:left="260" w:hanging="255"/>
        <w:spacing w:after="0" w:line="271" w:lineRule="auto"/>
        <w:tabs>
          <w:tab w:leader="none" w:pos="20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accounted for the $2.0 million payment at execution of the Amendment as selling, general and administrative expense in the consolidated statements of operations and comprehensive loss as the payment is related to a contract modification.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Nuance agreement</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entered into a collaboration and license agreement (the “Nuance Agreement”) with Nuance Pharma effective June 9, 2021 (the “Nuance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 We will recognize these milestones when it is probable that a significant revenue reversal would not occur.</w:t>
      </w:r>
    </w:p>
    <w:p>
      <w:pPr>
        <w:spacing w:after="0" w:line="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of December 31, 2023, the $15.0 million equity interest was recorded as Equity interest on the Consolidated Balance Sheet, included elsewhere in this Annual Report. The Equity interest is recorded at cost as we have elected to use the measurement alternative for equity investments without readily determinable fair values. We will evaluate this investment for indicators of impairment quarterly. We evaluate this investment for indicators of impairment quarterly. We did not identify events or changes in circumstances that may have a significant effect on the fair value of the investment during the year ended December 31, 2023.</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Nuance Pharma will be responsible for all costs related to clinical development and commercialization of ensifentrine in Greater China. In August 2022, Nuance Pharma, received clearance from China’s Center for Drug Evaluation to begin Phase 1 and Phase 3 studies with ensifentrine for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reviewed the buy-back option and determined that because it is conditional on a third party we do not have the practical ability to exercise it and, accordingly, the contract is accounted for under ASC 606.</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April 13, 2022, we entered into an Agreement for the Manufacture and Supply of ensifentrine (“Nuance Supply Agreement”) with Nuance Pharma. We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We have determined we are acting as principal in relation to the manufacture and supply under the Agreement. In its capacity as principal, we will recognize the associated revenue on a gross basis. In the year ended December 31, 2022, we recognized $0.5 million in relation to the clinical supply of ensifentrine to Nuance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For additional information regarding the Nuance Agreement, see Note 6 - Significant agreements to our Consolidated Financial Statements and related notes included elsewhere in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which have been prepared in accordance with generally accepted accounting principles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the notes to our Consolidated Financial Statements included elsewhere in this Annual Report, we believe that the following accounting policy is most critical to the judgments and estimates used in the preparation of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Research and development (“R&amp;D”) costs are charged to the consolidated statements of operations and comprehensive loss, as incurred.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our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 As of December 31, 2023 and 2022, accrued expenses related to clinical trial and other development costs was $0.7 million and $12.3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72"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trials of ensifentrine for the treatment of non-cystic fibrosis bronchiectasis (“NCFBE”), cystic fibrosis (“CF”), asthma or other indications;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pharmacology studies with any formulation;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or in-license additional respiratory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to support ensifentrine and potentially other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the manufacturing processes and produce clinical and commercial supplies of the ensifentrine active pharmaceutical ingredient and formulated drug products derived from it;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the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maintain or obtain freedom to operate for our in-licensed technologies and products;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potential future commercialization efforts;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operations in the United States, the United Kingdom (“U.K.”) and possibly elsewhere.</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date, we have not generated revenue from the sale of any products. All revenue to date has been derived from the receipt of up-front proceeds and supply of ensifentrine under the Nuance Agreement.</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the future, we anticipate generating revenue from a combination of sales of our products, if approved, whether through our own or a third-party sales force, and license fees, milestone payments and royalties in connection with strategic collaborations regarding ensifentrine or other potential products. We expect that any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the Phase 3 ENHANCE program has completed study conduct and analysis, we expect our research and development costs to decrease as compared to the prior year same period over the first half of 2024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90" w:name="page91"/>
    <w:bookmarkEnd w:id="90"/>
    <w:p>
      <w:pPr>
        <w:jc w:val="both"/>
        <w:spacing w:after="0" w:line="246" w:lineRule="auto"/>
        <w:rPr>
          <w:sz w:val="20"/>
          <w:szCs w:val="20"/>
          <w:color w:val="auto"/>
        </w:rPr>
      </w:pPr>
      <w:r>
        <w:rPr>
          <w:rFonts w:ascii="Times New Roman" w:cs="Times New Roman" w:eastAsia="Times New Roman" w:hAnsi="Times New Roman"/>
          <w:sz w:val="14"/>
          <w:szCs w:val="14"/>
          <w:color w:val="auto"/>
        </w:rPr>
        <w:t>We expect commercial costs to significantly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Other income/(expense) are driven by interest income and expense, foreign exchange movements on cash and cash equivalents and taxes receivable, and the U.K. research and development tax credits (the “R&amp;D tax credit”).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related to the 2022 and 2023 financial years are expected to be received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Taxation</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2023 and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statements of operations for the years ended December 31, 2023 and 2022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30"/>
        </w:trPr>
        <w:tc>
          <w:tcPr>
            <w:tcW w:w="6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69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Variance</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71"/>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(Note 11)</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(32,067)</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23,774</w:t>
            </w: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75,862</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8,181</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(8,530)</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9,940</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5,683</w:t>
            </w: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 net</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(68,701)</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14,332</w:t>
            </w: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of $0.5 million for the year ended December 31, 2022 was related to sales of clinical supply materials to Nuance Pharma.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of $0.3 million for the year ended December 31, 2022 related to the manufacture of the clinical supply materials sold to Nuance Pharma.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Research and development costs were $17.2 million for the year ended December 31, 2023, compared to $49.3 million for the year ended December 31, 2022, a decrease of $32.1 million. This decrease was primarily due to a $32.7 million decrease in clinical trial and other development costs as we incurred less costs under the Phase 3 ENHANCE program which completed study conduct and analysis in 2023 whereas in 2022 significant costs were incurred associated with the then ongoing study conduct. The 2023 clinical trial and other development costs also include the impact of $2.2 million of credits received related to the final financial reconciliation of a Phase 3 ENHANCE program supplier. The decrease in clinical trial and other development costs also includes a reversal of $1.5 million of costs which were expensed in the year ended December 31, 2022 related to the resolution of the supplier matter, as discussed in Note 11 - Commitments and contingencies to our Consolidated Financial Statements and related notes included elsewhere in this Annual Report.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costs were $50.4 million for the year ended December 31, 2023 compared to $26.6 million for the year ended December 31, 2022, an increase of $23.8 million. This increase was driven primarily by a $15.6 million increase in people related costs, inclusive of share-based compensation, an increase of $9.7 million related to the build-out of the commercial and information technology infrastructures in preparation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92" w:name="page93"/>
    <w:bookmarkEnd w:id="92"/>
    <w:p>
      <w:pPr>
        <w:jc w:val="both"/>
        <w:spacing w:after="0" w:line="271" w:lineRule="auto"/>
        <w:rPr>
          <w:sz w:val="20"/>
          <w:szCs w:val="20"/>
          <w:color w:val="auto"/>
        </w:rPr>
      </w:pPr>
      <w:r>
        <w:rPr>
          <w:rFonts w:ascii="Times New Roman" w:cs="Times New Roman" w:eastAsia="Times New Roman" w:hAnsi="Times New Roman"/>
          <w:sz w:val="14"/>
          <w:szCs w:val="14"/>
          <w:color w:val="auto"/>
        </w:rPr>
        <w:t>commercial launch, marketing and market development expenses, travel and other corporate costs. These increases were partially offset by a non-recurring $2.0 million charge related to the modification of the assignment and license agreement with Ligand UK Development Limited, which was incurred in the three months ended March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 (expense)</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Other income/(expense) for the year ended December 31, 2023 was $13.7 million compared to $7.3 million for the year ended December 31, 2022, an increase of $6.4 million. The increase was primarily attributable to an increase of $9.9 million in interest income from a higher average cash balance and higher interest rates as well as an increase of $5.7 million related to the strengthening of the pound sterling while the pound sterling weakened in 2022. This was partially offset by a $8.5 million decrease in the R&amp;D tax credit due to the decreased activity of the Phase 3 ENHANCE program in 2023 as compared to 2022 as well as the impact of the supplier final reconciliation credits.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years ended December 31, 2023 and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vMerge w:val="restart"/>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0" w:type="dxa"/>
            <w:vAlign w:val="bottom"/>
          </w:tcPr>
          <w:p>
            <w:pPr>
              <w:spacing w:after="0"/>
              <w:rPr>
                <w:sz w:val="1"/>
                <w:szCs w:val="1"/>
                <w:color w:val="auto"/>
              </w:rPr>
            </w:pPr>
          </w:p>
        </w:tc>
      </w:tr>
      <w:tr>
        <w:trPr>
          <w:trHeight w:val="141"/>
        </w:trPr>
        <w:tc>
          <w:tcPr>
            <w:tcW w:w="69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year</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79,447</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(47,949)</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year</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Net cash used in operating activities was $50.2 million in the year ended December 31, 2023 compared to $59.9 million during the year ended December 31, 2022, a decrease of $9.6 million. The decrease in cash used in operating activities was primarily due to the decrease in clinical trial and other development costs, partially offset by payments made throughout the twelve months ended December 31, 2023 related to Accounts payable and Accrued expenses balances included on the Consolidated Balance Sheet as of December 31, 2022. This was partially offset by the increase in people related costs and costs associated with the build out of information technology and commercial infrastructure in preparation for the planned commercial launch. Additionally, in the year ended December 31, 2022 we received payment of the 2021 R&amp;D tax credit while at December 31, 2023, our 2022 R&amp;D tax credit of $8.7 million was not yet received.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decrease in cash provided by financing activities was primarily due to a decrease in proceeds received from equity issuances of $83.4 million partially offset by an increase in net proceeds related to the issuance of debt instruments of $34.8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do not currently have any approved products and have never generated any revenue from product sales. To date, we have financed our operations primarily through the issuances of our equity securities, including warrants, from borrowings under our term loan facilities and from upfront payments received under the Nuance Agreement. See “Significant Agreements” for additional information.</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incurred recurring losses since inception, including net losses of $54.4 million, and $68.7 million for the years ended December 31, 2023, and 2022, respectively. In addition, as of December 31, 2023, we had an accumulated deficit of $388.4 million. We may continue to incur significant operating losses for the foreseeable future as we expand our research and development efforts, advance our clinical development of ensifentrine in other formulations or for other indications, and seek to obtain regulatory approval for and commercialize ensifentrine in various formulations or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We have no ongoing material financial commitments, such as lines of credit or guarantees, that are expected to affect our liquidity over the next five years, other than leases and our term loan facility.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Financing and Capital Transactions</w:t>
      </w:r>
    </w:p>
    <w:p>
      <w:pPr>
        <w:spacing w:after="0" w:line="74" w:lineRule="exact"/>
        <w:rPr>
          <w:sz w:val="20"/>
          <w:szCs w:val="20"/>
          <w:color w:val="auto"/>
        </w:rPr>
      </w:pPr>
    </w:p>
    <w:p>
      <w:pPr>
        <w:ind w:left="260" w:hanging="255"/>
        <w:spacing w:after="0" w:line="271" w:lineRule="auto"/>
        <w:tabs>
          <w:tab w:leader="none" w:pos="2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$10.0 million under the second term loan advance related to a loan and security agreement with Oxford Finance Luxembourg S.À R.L. for an aggregate amount of up to $150.0 million (the “Oxford Term Loan”);</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Sold 20,321,384 ordinary shares (equivalent to 2,540,173 ADSs) under the at-the-market offering program entered into in March 2021 (the “2021 ATM Program”), at an average price of approximately $2.88 per share (equivalent to $23.08 per ADS), raising aggregate net proceeds of approximately $56.9 million after deducting issuance costs;</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Replaced the 2021 ATM Program with an open market sale agreement with Jefferies LLC (“Jefferies”) to sell our ordinary shares, in the form of ADSs, with aggregate gross proceeds of up to $200.0 million.</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the 2023 Term Loan with a term loan advance of $50.0 million funded on the closing date and four additional term loan advances aggregating up to $350.0 million, subject to certain terms and conditions. A portion of the proceeds were used to repay, in full, the outstanding indebtedness owed by under the Oxford Term Loan.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2023 Term Loan requires, among others, that we maintain certain financial covenants, and we were in compliance with all of these covenants as of December 31, 2023.</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Refer to Note 5 - Debt to our Consolidated Financial Statements and related notes included elsewhere in this Annual Report for additional information regarding the 2023 Term Loan and Note 1 - Organization and description of business operations for additional information regarding the ATM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our cash and cash equivalents as of December 31, 2023, together with additional funding expected to become available under the 2023 Term Loan, will enable us to fund our planned operating expenses and capital expenditure requirements through at least the end of 2026, including the planned commercial launch of nebulized ensifentrine for COPD maintenance treatment in the U.S. Future advances under the 2023 Term Loan are contingent upon achievement of certain regulatory and commercial milestones as well as other specified conditions.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security interests in our assets and future revenue streams,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for ensifentrine or any future product candidates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94" w:name="page95"/>
    <w:bookmarkEnd w:id="94"/>
    <w:p>
      <w:pPr>
        <w:ind w:left="260" w:hanging="255"/>
        <w:spacing w:after="0" w:line="271" w:lineRule="auto"/>
        <w:tabs>
          <w:tab w:leader="none" w:pos="2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decide to in-license and develop;</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potential commercialization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filing patent applications and maintaining and enforcing patents or defending against claims or infringements raised by third parties;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if any, we may derive either directly or in the form of royalty payments from future sales of ensifentrine or any future product candidates, if approved.</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commercial revenue, if any, will be derived from sales of products that we do not expect to be commercially available until the second half of 2024, if ever. Accordingly, we may need to obtain substantial additional funds to achieve our business objectives.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For a discussion of pending and recently adopted accounting pronouncements, see Note 2 Basis of Presentation and Summary of Significant Accounting Policie</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not required to provide the information required by this Item 7A until our Quarterly Report on Form 10-Q for the first quarter after the fiscal year in which it is determined that we are no longer a smaller reporting company.</w:t>
      </w:r>
    </w:p>
    <w:p>
      <w:pPr>
        <w:spacing w:after="0" w:line="1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to be filed pursuant to this Item 8 are appended to this Annual Report. An index of those financial statements is found in Item 15 of Part IV of this Annual Report.</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December 14, 2023, the Audit and Risk Committee of the board of directors dismissed PricewaterhouseCoopers LLP (“PwC”) and approved the engagement of Ernst &amp; Young LLP (“EY”) to serve as the Company’s independent registered public accounting firm (“independent auditor”) to audit the Company’s Consolidated Financial Statements as of and for the fiscal year ending December 31, 2024, contingent upon the appointment of EY as the Company’s independent auditor by the Company’s shareholders at its 2024 Annual General Meeting (the “Shareholder Appointment”). Subject to the Shareholder Appointment, EY will replace PwC, the Company’s current independent auditor, which is not being nominated for re-appointment by the shareholders and whose term as independent auditor is expected to end following the Company’s 2024 Annual General Meeting.</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reports of PwC on the Company’s Consolidated Financial Statements as of and for the years ended December 31, 2022 and 2021 did not contain an adverse opinion or a disclaimer of opinion, nor were they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During the fiscal years ended December 31, 2022 and 2021, and in the subsequent interim period through December 14, 2023, there were (i) no “disagreements” (as that term is defined in Item 304(a)</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(1)(iv) of Regulation S-K) between the Company and PwC on any matter of accounting principles or practices, financial statement disclosure or auditing scope or procedures, which, if not resolved to the satisfaction of PwC, would have caused PwC to make reference to the matter in its report on the financial statements for such years, and (ii) no “reportable events” (as that term is described in Item 304(a)(1)(v) of Regulation S-K).</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provided PwC with a copy of the disclosures contained in its Current Report on Form 8-K filed with the SEC on December 18, 2023 and requested that PwC furnish a letter addressed to the SEC stating whether it agrees with the statements contained herein.</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During the Company’s two most recent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304(a)(1)(v)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Limitations on Effectiveness of Controls and Procedures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2023, our disclosure controls and procedures were effective at the reasonable assurance level.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Annual Report on Internal Control Over Financial Reporting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is responsible for establishing and maintaining adequate internal control over our financial reporting, as such term is defined in Rules 13a-15(f) and 15d-15(f) under the Exchange Act.</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management conducted an assessment of the effectiveness of our internal control over financial reporting as of December 31, 2023 based on the criteria established in “Internal Control – Integrated Framework (2013)” issued by the Committee of Sponsoring Organizations of the Treadway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assessment, our management concluded that, as of December 31, 2023, our internal control over financial reporting was effective.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Attestation Report of the Registered Public Accounting Firm</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independent registered public accounting firm, PricewaterhouseCoopers LLP, has audited the effectiveness of the Company’s internal control over financial reporting as of December 31, 2023, as stated in their report that appears on page F-2 of this Annual Report on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identified in management’s evaluation pursuant to Rules 13a-15(d) or 15d-15(d)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color w:val="auto"/>
        </w:rPr>
        <w:t>Exchange Act that occurred during the quarter ended December 31, 2023 that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60"/>
          </w:cols>
          <w:pgMar w:left="300" w:top="1218" w:right="10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remaining information required by this item will be included in our definitive proxy statement for the 2024 Annual General Meeting of Shareholders and is incorporated herein by reference to such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the 2024 Annual General Meeting of Shareholders and is incorporated herein by reference to such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the 2024 Annual General Meeting of Shareholders and is incorporated herein by reference to such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the 2024 Annual General Meeting of Shareholders and is incorporated herein by reference to such proxy statement.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information required by this item will be included in our definitive proxy statement for the 2024 Annual General Meeting of Shareholders and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4" w:right="319" w:bottom="1440" w:gutter="0" w:footer="0" w:header="0"/>
        </w:sectPr>
      </w:pPr>
    </w:p>
    <w:bookmarkStart w:id="98" w:name="page99"/>
    <w:bookmarkEnd w:id="98"/>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940" w:type="dxa"/>
            <w:vAlign w:val="bottom"/>
          </w:tcPr>
          <w:p>
            <w:pPr>
              <w:spacing w:after="0"/>
              <w:rPr>
                <w:sz w:val="19"/>
                <w:szCs w:val="19"/>
                <w:color w:val="auto"/>
              </w:rPr>
            </w:pPr>
          </w:p>
        </w:tc>
      </w:tr>
      <w:tr>
        <w:trPr>
          <w:trHeight w:val="321"/>
        </w:trPr>
        <w:tc>
          <w:tcPr>
            <w:tcW w:w="93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w:t>
            </w:r>
            <w:r>
              <w:rPr>
                <w:rFonts w:ascii="Times New Roman" w:cs="Times New Roman" w:eastAsia="Times New Roman" w:hAnsi="Times New Roman"/>
                <w:sz w:val="14"/>
                <w:szCs w:val="14"/>
                <w:color w:val="auto"/>
              </w:rPr>
              <w:t>s</w:t>
            </w:r>
          </w:p>
        </w:tc>
        <w:tc>
          <w:tcPr>
            <w:tcW w:w="1940" w:type="dxa"/>
            <w:vAlign w:val="bottom"/>
          </w:tcPr>
          <w:p>
            <w:pPr>
              <w:spacing w:after="0"/>
              <w:rPr>
                <w:sz w:val="24"/>
                <w:szCs w:val="24"/>
                <w:color w:val="auto"/>
              </w:rPr>
            </w:pPr>
          </w:p>
        </w:tc>
      </w:tr>
      <w:tr>
        <w:trPr>
          <w:trHeight w:val="329"/>
        </w:trPr>
        <w:tc>
          <w:tcPr>
            <w:tcW w:w="93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i w:val="1"/>
                <w:iCs w:val="1"/>
                <w:color w:val="auto"/>
              </w:rPr>
              <w:t>(a)(1) Financial Statements</w:t>
            </w:r>
          </w:p>
        </w:tc>
        <w:tc>
          <w:tcPr>
            <w:tcW w:w="1940" w:type="dxa"/>
            <w:vAlign w:val="bottom"/>
          </w:tcPr>
          <w:p>
            <w:pPr>
              <w:spacing w:after="0"/>
              <w:rPr>
                <w:sz w:val="24"/>
                <w:szCs w:val="24"/>
                <w:color w:val="auto"/>
              </w:rPr>
            </w:pPr>
          </w:p>
        </w:tc>
      </w:tr>
      <w:tr>
        <w:trPr>
          <w:trHeight w:val="244"/>
        </w:trPr>
        <w:tc>
          <w:tcPr>
            <w:tcW w:w="93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financial statements and the Report of Independent Registered Accounting Firm are filed as part of this Annual Report:</w:t>
            </w:r>
          </w:p>
        </w:tc>
        <w:tc>
          <w:tcPr>
            <w:tcW w:w="1940" w:type="dxa"/>
            <w:vAlign w:val="bottom"/>
          </w:tcPr>
          <w:p>
            <w:pPr>
              <w:spacing w:after="0"/>
              <w:rPr>
                <w:sz w:val="21"/>
                <w:szCs w:val="21"/>
                <w:color w:val="auto"/>
              </w:rPr>
            </w:pPr>
          </w:p>
        </w:tc>
      </w:tr>
      <w:tr>
        <w:trPr>
          <w:trHeight w:val="96"/>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w:t>
            </w:r>
            <w:r>
              <w:rPr>
                <w:rFonts w:ascii="Times New Roman" w:cs="Times New Roman" w:eastAsia="Times New Roman" w:hAnsi="Times New Roman"/>
                <w:sz w:val="14"/>
                <w:szCs w:val="14"/>
                <w:color w:val="000000"/>
              </w:rPr>
              <w:t>876)</w:t>
            </w: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w w:val="92"/>
              </w:rPr>
              <w:t>F-2</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82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93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2023 and 2022</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w w:val="92"/>
              </w:rPr>
              <w:t>F-4</w:t>
            </w:r>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2023 and 2022</w:t>
            </w: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w w:val="92"/>
              </w:rPr>
              <w:t>F-5</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282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93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years ended December 31, 2023 and 2022</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w w:val="92"/>
              </w:rPr>
              <w:t>F-6</w:t>
            </w:r>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12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9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and 2022</w:t>
            </w: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w w:val="92"/>
              </w:rPr>
              <w:t>F-7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82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840" w:type="dxa"/>
            <w:vAlign w:val="bottom"/>
            <w:gridSpan w:val="6"/>
          </w:tcPr>
          <w:p>
            <w:pPr>
              <w:spacing w:after="0"/>
              <w:rPr>
                <w:sz w:val="20"/>
                <w:szCs w:val="20"/>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w w:val="92"/>
              </w:rPr>
              <w:t>F-8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(a)(2) Financial Statement Schedules.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statement schedules have been omitted because they are not applicable, not required or the information required is shown in the financial statements or the notes thereto.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(a)(3)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list of exhibits filed as part of this Annual Report.</w:t>
      </w:r>
    </w:p>
    <w:p>
      <w:pPr>
        <w:spacing w:after="0" w:line="11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0924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ectPr>
          <w:pgSz w:w="11900" w:h="16923" w:orient="portrait"/>
          <w:cols w:equalWidth="0" w:num="1">
            <w:col w:w="11280"/>
          </w:cols>
          <w:pgMar w:left="300" w:top="1144" w:right="319" w:bottom="0" w:gutter="0" w:footer="0" w:header="0"/>
        </w:sect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Number</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4.2</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4.3</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4.4</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4.5</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10.3.1†</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10.3.2</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10.4.3</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10.4.4</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10.4.5</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10.4.6</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10.4.7</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10.4.8</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10.4.9</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10.5</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10.6#</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10.7#</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10.8#</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Description</w:t>
      </w:r>
    </w:p>
    <w:p>
      <w:pPr>
        <w:spacing w:after="0" w:line="59" w:lineRule="exact"/>
        <w:rPr>
          <w:sz w:val="20"/>
          <w:szCs w:val="20"/>
          <w:color w:val="auto"/>
        </w:rPr>
      </w:pPr>
    </w:p>
    <w:p>
      <w:pPr>
        <w:ind w:right="400"/>
        <w:spacing w:after="0" w:line="254" w:lineRule="auto"/>
        <w:rPr>
          <w:rFonts w:ascii="Times New Roman" w:cs="Times New Roman" w:eastAsia="Times New Roman" w:hAnsi="Times New Roman"/>
          <w:sz w:val="14"/>
          <w:szCs w:val="14"/>
          <w:u w:val="single" w:color="auto"/>
          <w:color w:val="0000FF"/>
        </w:rPr>
      </w:pPr>
      <w:hyperlink r:id="rId121">
        <w:r>
          <w:rPr>
            <w:rFonts w:ascii="Times New Roman" w:cs="Times New Roman" w:eastAsia="Times New Roman" w:hAnsi="Times New Roman"/>
            <w:sz w:val="14"/>
            <w:szCs w:val="14"/>
            <w:u w:val="single" w:color="auto"/>
            <w:color w:val="0000FF"/>
          </w:rPr>
          <w:t>Open Market Sale Agreement</w:t>
        </w:r>
        <w:r>
          <w:rPr>
            <w:rFonts w:ascii="Times New Roman" w:cs="Times New Roman" w:eastAsia="Times New Roman" w:hAnsi="Times New Roman"/>
            <w:sz w:val="18"/>
            <w:szCs w:val="18"/>
            <w:u w:val="single" w:color="auto"/>
            <w:color w:val="0000FF"/>
            <w:vertAlign w:val="superscript"/>
          </w:rPr>
          <w:t>SM</w:t>
        </w:r>
        <w:r>
          <w:rPr>
            <w:rFonts w:ascii="Times New Roman" w:cs="Times New Roman" w:eastAsia="Times New Roman" w:hAnsi="Times New Roman"/>
            <w:sz w:val="14"/>
            <w:szCs w:val="14"/>
            <w:u w:val="single" w:color="auto"/>
            <w:color w:val="0000FF"/>
          </w:rPr>
          <w:t>, dated as of March 19, 2021, between</w:t>
        </w:r>
      </w:hyperlink>
      <w:r>
        <w:rPr>
          <w:rFonts w:ascii="Times New Roman" w:cs="Times New Roman" w:eastAsia="Times New Roman" w:hAnsi="Times New Roman"/>
          <w:sz w:val="14"/>
          <w:szCs w:val="14"/>
          <w:u w:val="single" w:color="auto"/>
          <w:color w:val="0000FF"/>
        </w:rPr>
        <w:t xml:space="preserve"> </w:t>
      </w:r>
      <w:hyperlink r:id="rId121">
        <w:r>
          <w:rPr>
            <w:rFonts w:ascii="Times New Roman" w:cs="Times New Roman" w:eastAsia="Times New Roman" w:hAnsi="Times New Roman"/>
            <w:sz w:val="14"/>
            <w:szCs w:val="14"/>
            <w:u w:val="single" w:color="auto"/>
            <w:color w:val="0000FF"/>
          </w:rPr>
          <w:t>Verona Pharma plc and Jefferies LLC, and as amended</w:t>
        </w:r>
      </w:hyperlink>
    </w:p>
    <w:p>
      <w:pPr>
        <w:spacing w:after="0" w:line="155"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2">
        <w:r>
          <w:rPr>
            <w:rFonts w:ascii="Times New Roman" w:cs="Times New Roman" w:eastAsia="Times New Roman" w:hAnsi="Times New Roman"/>
            <w:sz w:val="14"/>
            <w:szCs w:val="14"/>
            <w:u w:val="single" w:color="auto"/>
            <w:color w:val="0000FF"/>
          </w:rPr>
          <w:t>Articles of Association, as amended and as currently in effect</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3">
        <w:r>
          <w:rPr>
            <w:rFonts w:ascii="Times New Roman" w:cs="Times New Roman" w:eastAsia="Times New Roman" w:hAnsi="Times New Roman"/>
            <w:sz w:val="14"/>
            <w:szCs w:val="14"/>
            <w:u w:val="single" w:color="auto"/>
            <w:color w:val="0000FF"/>
          </w:rPr>
          <w:t>Deposit Agreement</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3">
        <w:r>
          <w:rPr>
            <w:rFonts w:ascii="Times New Roman" w:cs="Times New Roman" w:eastAsia="Times New Roman" w:hAnsi="Times New Roman"/>
            <w:sz w:val="14"/>
            <w:szCs w:val="14"/>
            <w:u w:val="single" w:color="auto"/>
            <w:color w:val="0000FF"/>
          </w:rPr>
          <w:t>Form of American Depositary Receipt (included in Exhibit 4.1)</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4">
        <w:r>
          <w:rPr>
            <w:rFonts w:ascii="Times New Roman" w:cs="Times New Roman" w:eastAsia="Times New Roman" w:hAnsi="Times New Roman"/>
            <w:sz w:val="14"/>
            <w:szCs w:val="14"/>
            <w:u w:val="single" w:color="auto"/>
            <w:color w:val="0000FF"/>
          </w:rPr>
          <w:t>Form of Warrant issued to each of the investors named in Schedule A thereto</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5">
        <w:r>
          <w:rPr>
            <w:rFonts w:ascii="Times New Roman" w:cs="Times New Roman" w:eastAsia="Times New Roman" w:hAnsi="Times New Roman"/>
            <w:sz w:val="14"/>
            <w:szCs w:val="14"/>
            <w:u w:val="single" w:color="auto"/>
            <w:color w:val="0000FF"/>
          </w:rPr>
          <w:t>Warrant Instrument issued to NPlus1 Singer LLP</w:t>
        </w:r>
      </w:hyperlink>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Description of Securities</w:t>
      </w:r>
    </w:p>
    <w:p>
      <w:pPr>
        <w:spacing w:after="0" w:line="189" w:lineRule="exact"/>
        <w:rPr>
          <w:sz w:val="20"/>
          <w:szCs w:val="20"/>
          <w:color w:val="auto"/>
        </w:rPr>
      </w:pPr>
    </w:p>
    <w:p>
      <w:pPr>
        <w:ind w:right="140"/>
        <w:spacing w:after="0" w:line="255" w:lineRule="auto"/>
        <w:rPr>
          <w:rFonts w:ascii="Times New Roman" w:cs="Times New Roman" w:eastAsia="Times New Roman" w:hAnsi="Times New Roman"/>
          <w:sz w:val="14"/>
          <w:szCs w:val="14"/>
          <w:u w:val="single" w:color="auto"/>
          <w:color w:val="0000FF"/>
        </w:rPr>
      </w:pPr>
      <w:hyperlink r:id="rId126">
        <w:r>
          <w:rPr>
            <w:rFonts w:ascii="Times New Roman" w:cs="Times New Roman" w:eastAsia="Times New Roman" w:hAnsi="Times New Roman"/>
            <w:sz w:val="14"/>
            <w:szCs w:val="14"/>
            <w:u w:val="single" w:color="auto"/>
            <w:color w:val="0000FF"/>
          </w:rPr>
          <w:t>Registration Rights Agreement, dated July 29, 2016, by and among Verona</w:t>
        </w:r>
      </w:hyperlink>
      <w:r>
        <w:rPr>
          <w:rFonts w:ascii="Times New Roman" w:cs="Times New Roman" w:eastAsia="Times New Roman" w:hAnsi="Times New Roman"/>
          <w:sz w:val="14"/>
          <w:szCs w:val="14"/>
          <w:u w:val="single" w:color="auto"/>
          <w:color w:val="0000FF"/>
        </w:rPr>
        <w:t xml:space="preserve"> </w:t>
      </w:r>
      <w:hyperlink r:id="rId126">
        <w:r>
          <w:rPr>
            <w:rFonts w:ascii="Times New Roman" w:cs="Times New Roman" w:eastAsia="Times New Roman" w:hAnsi="Times New Roman"/>
            <w:sz w:val="14"/>
            <w:szCs w:val="14"/>
            <w:u w:val="single" w:color="auto"/>
            <w:color w:val="0000FF"/>
          </w:rPr>
          <w:t>Pharma plc and the investors set forth therein</w:t>
        </w:r>
      </w:hyperlink>
    </w:p>
    <w:p>
      <w:pPr>
        <w:spacing w:after="0" w:line="157" w:lineRule="exact"/>
        <w:rPr>
          <w:sz w:val="20"/>
          <w:szCs w:val="20"/>
          <w:color w:val="auto"/>
        </w:rPr>
      </w:pPr>
    </w:p>
    <w:p>
      <w:pPr>
        <w:ind w:right="140"/>
        <w:spacing w:after="0" w:line="255" w:lineRule="auto"/>
        <w:rPr>
          <w:rFonts w:ascii="Times New Roman" w:cs="Times New Roman" w:eastAsia="Times New Roman" w:hAnsi="Times New Roman"/>
          <w:sz w:val="14"/>
          <w:szCs w:val="14"/>
          <w:u w:val="single" w:color="auto"/>
          <w:color w:val="0000FF"/>
        </w:rPr>
      </w:pPr>
      <w:hyperlink r:id="rId127">
        <w:r>
          <w:rPr>
            <w:rFonts w:ascii="Times New Roman" w:cs="Times New Roman" w:eastAsia="Times New Roman" w:hAnsi="Times New Roman"/>
            <w:sz w:val="14"/>
            <w:szCs w:val="14"/>
            <w:u w:val="single" w:color="auto"/>
            <w:color w:val="0000FF"/>
          </w:rPr>
          <w:t>Registration Rights Agreement, dated July 16, 2020, by and among Verona</w:t>
        </w:r>
      </w:hyperlink>
      <w:r>
        <w:rPr>
          <w:rFonts w:ascii="Times New Roman" w:cs="Times New Roman" w:eastAsia="Times New Roman" w:hAnsi="Times New Roman"/>
          <w:sz w:val="14"/>
          <w:szCs w:val="14"/>
          <w:u w:val="single" w:color="auto"/>
          <w:color w:val="0000FF"/>
        </w:rPr>
        <w:t xml:space="preserve"> </w:t>
      </w:r>
      <w:hyperlink r:id="rId127">
        <w:r>
          <w:rPr>
            <w:rFonts w:ascii="Times New Roman" w:cs="Times New Roman" w:eastAsia="Times New Roman" w:hAnsi="Times New Roman"/>
            <w:sz w:val="14"/>
            <w:szCs w:val="14"/>
            <w:u w:val="single" w:color="auto"/>
            <w:color w:val="0000FF"/>
          </w:rPr>
          <w:t>Pharma plc and the investors set forth therein</w:t>
        </w:r>
      </w:hyperlink>
    </w:p>
    <w:p>
      <w:pPr>
        <w:spacing w:after="0" w:line="15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Intellectual Property Assignment and Licence Agreement between Vernalis</w:t>
        </w:r>
      </w:hyperlink>
    </w:p>
    <w:p>
      <w:pPr>
        <w:spacing w:after="0" w:line="4" w:lineRule="exact"/>
        <w:rPr>
          <w:sz w:val="20"/>
          <w:szCs w:val="20"/>
          <w:color w:val="auto"/>
        </w:rPr>
      </w:pPr>
    </w:p>
    <w:p>
      <w:pPr>
        <w:ind w:right="140"/>
        <w:spacing w:after="0" w:line="228" w:lineRule="auto"/>
        <w:rPr>
          <w:rFonts w:ascii="Times New Roman" w:cs="Times New Roman" w:eastAsia="Times New Roman" w:hAnsi="Times New Roman"/>
          <w:sz w:val="14"/>
          <w:szCs w:val="14"/>
          <w:u w:val="single" w:color="auto"/>
          <w:color w:val="0000FF"/>
        </w:rPr>
      </w:pPr>
      <w:hyperlink r:id="rId128">
        <w:r>
          <w:rPr>
            <w:rFonts w:ascii="Times New Roman" w:cs="Times New Roman" w:eastAsia="Times New Roman" w:hAnsi="Times New Roman"/>
            <w:sz w:val="14"/>
            <w:szCs w:val="14"/>
            <w:u w:val="single" w:color="auto"/>
            <w:color w:val="0000FF"/>
          </w:rPr>
          <w:t>Development Limited and Rhinopharma Limited, as predecessor to Verona</w:t>
        </w:r>
      </w:hyperlink>
      <w:r>
        <w:rPr>
          <w:rFonts w:ascii="Times New Roman" w:cs="Times New Roman" w:eastAsia="Times New Roman" w:hAnsi="Times New Roman"/>
          <w:sz w:val="14"/>
          <w:szCs w:val="14"/>
          <w:u w:val="single" w:color="auto"/>
          <w:color w:val="0000FF"/>
        </w:rPr>
        <w:t xml:space="preserve"> </w:t>
      </w:r>
      <w:hyperlink r:id="rId128">
        <w:r>
          <w:rPr>
            <w:rFonts w:ascii="Times New Roman" w:cs="Times New Roman" w:eastAsia="Times New Roman" w:hAnsi="Times New Roman"/>
            <w:sz w:val="14"/>
            <w:szCs w:val="14"/>
            <w:u w:val="single" w:color="auto"/>
            <w:color w:val="0000FF"/>
          </w:rPr>
          <w:t>Pharma plc, dated February 7, 2005</w:t>
        </w:r>
      </w:hyperlink>
    </w:p>
    <w:p>
      <w:pPr>
        <w:spacing w:after="0" w:line="166" w:lineRule="exact"/>
        <w:rPr>
          <w:sz w:val="20"/>
          <w:szCs w:val="20"/>
          <w:color w:val="auto"/>
        </w:rPr>
      </w:pPr>
    </w:p>
    <w:p>
      <w:pPr>
        <w:spacing w:after="0" w:line="255" w:lineRule="auto"/>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Amendment Agreement by and between Verona Pharma plc and Ligand U.K.</w:t>
        </w:r>
      </w:hyperlink>
      <w:r>
        <w:rPr>
          <w:rFonts w:ascii="Times New Roman" w:cs="Times New Roman" w:eastAsia="Times New Roman" w:hAnsi="Times New Roman"/>
          <w:sz w:val="14"/>
          <w:szCs w:val="14"/>
          <w:u w:val="single" w:color="auto"/>
          <w:color w:val="0000FF"/>
        </w:rPr>
        <w:t xml:space="preserve"> </w:t>
      </w:r>
      <w:hyperlink r:id="rId129">
        <w:r>
          <w:rPr>
            <w:rFonts w:ascii="Times New Roman" w:cs="Times New Roman" w:eastAsia="Times New Roman" w:hAnsi="Times New Roman"/>
            <w:sz w:val="14"/>
            <w:szCs w:val="14"/>
            <w:u w:val="single" w:color="auto"/>
            <w:color w:val="0000FF"/>
          </w:rPr>
          <w:t>Development Limited dated March 23, 2022</w:t>
        </w:r>
      </w:hyperlink>
    </w:p>
    <w:p>
      <w:pPr>
        <w:spacing w:after="0" w:line="157"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Renewal Agreement to Lease by and between the Verona Pharma plc and</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Regus Management (U.K.) Limited dated September 16, 2017#1</w:t>
        </w:r>
      </w:hyperlink>
    </w:p>
    <w:p>
      <w:pPr>
        <w:spacing w:after="0" w:line="157"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Renewal Agreement to Lease by and between the Verona Pharma plc and</w:t>
        </w:r>
      </w:hyperlink>
      <w:r>
        <w:rPr>
          <w:rFonts w:ascii="Times New Roman" w:cs="Times New Roman" w:eastAsia="Times New Roman" w:hAnsi="Times New Roman"/>
          <w:sz w:val="14"/>
          <w:szCs w:val="14"/>
          <w:u w:val="single" w:color="auto"/>
          <w:color w:val="0000FF"/>
        </w:rPr>
        <w:t xml:space="preserve"> </w:t>
      </w:r>
      <w:hyperlink r:id="rId131">
        <w:r>
          <w:rPr>
            <w:rFonts w:ascii="Times New Roman" w:cs="Times New Roman" w:eastAsia="Times New Roman" w:hAnsi="Times New Roman"/>
            <w:sz w:val="14"/>
            <w:szCs w:val="14"/>
            <w:u w:val="single" w:color="auto"/>
            <w:color w:val="0000FF"/>
          </w:rPr>
          <w:t>Regus Management (U.K.) Limited dated September 16, 2017#2</w:t>
        </w:r>
      </w:hyperlink>
    </w:p>
    <w:p>
      <w:pPr>
        <w:spacing w:after="0" w:line="157"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132">
        <w:r>
          <w:rPr>
            <w:rFonts w:ascii="Times New Roman" w:cs="Times New Roman" w:eastAsia="Times New Roman" w:hAnsi="Times New Roman"/>
            <w:sz w:val="14"/>
            <w:szCs w:val="14"/>
            <w:u w:val="single" w:color="auto"/>
            <w:color w:val="0000FF"/>
          </w:rPr>
          <w:t>Renewal Agreement to Lease by and between the Verona Pharma plc and</w:t>
        </w:r>
      </w:hyperlink>
      <w:r>
        <w:rPr>
          <w:rFonts w:ascii="Times New Roman" w:cs="Times New Roman" w:eastAsia="Times New Roman" w:hAnsi="Times New Roman"/>
          <w:sz w:val="14"/>
          <w:szCs w:val="14"/>
          <w:u w:val="single" w:color="auto"/>
          <w:color w:val="0000FF"/>
        </w:rPr>
        <w:t xml:space="preserve"> </w:t>
      </w:r>
      <w:hyperlink r:id="rId132">
        <w:r>
          <w:rPr>
            <w:rFonts w:ascii="Times New Roman" w:cs="Times New Roman" w:eastAsia="Times New Roman" w:hAnsi="Times New Roman"/>
            <w:sz w:val="14"/>
            <w:szCs w:val="14"/>
            <w:u w:val="single" w:color="auto"/>
            <w:color w:val="0000FF"/>
          </w:rPr>
          <w:t>Regus Management (U.K.) Limited dated September 16, 2017#3</w:t>
        </w:r>
      </w:hyperlink>
    </w:p>
    <w:p>
      <w:pPr>
        <w:spacing w:after="0" w:line="157" w:lineRule="exact"/>
        <w:rPr>
          <w:sz w:val="20"/>
          <w:szCs w:val="20"/>
          <w:color w:val="auto"/>
        </w:rPr>
      </w:pPr>
    </w:p>
    <w:p>
      <w:pPr>
        <w:ind w:right="200"/>
        <w:spacing w:after="0" w:line="255"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Renewal Agreement to Lease by and between the Verona Pharma Inc. and</w:t>
        </w:r>
      </w:hyperlink>
      <w:r>
        <w:rPr>
          <w:rFonts w:ascii="Times New Roman" w:cs="Times New Roman" w:eastAsia="Times New Roman" w:hAnsi="Times New Roman"/>
          <w:sz w:val="14"/>
          <w:szCs w:val="14"/>
          <w:u w:val="single" w:color="auto"/>
          <w:color w:val="0000FF"/>
        </w:rPr>
        <w:t xml:space="preserve"> </w:t>
      </w:r>
      <w:hyperlink r:id="rId133">
        <w:r>
          <w:rPr>
            <w:rFonts w:ascii="Times New Roman" w:cs="Times New Roman" w:eastAsia="Times New Roman" w:hAnsi="Times New Roman"/>
            <w:sz w:val="14"/>
            <w:szCs w:val="14"/>
            <w:u w:val="single" w:color="auto"/>
            <w:color w:val="0000FF"/>
          </w:rPr>
          <w:t>Regus Management Group LLC dated July 16, 2019</w:t>
        </w:r>
      </w:hyperlink>
    </w:p>
    <w:p>
      <w:pPr>
        <w:spacing w:after="0" w:line="157"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134">
        <w:r>
          <w:rPr>
            <w:rFonts w:ascii="Times New Roman" w:cs="Times New Roman" w:eastAsia="Times New Roman" w:hAnsi="Times New Roman"/>
            <w:sz w:val="14"/>
            <w:szCs w:val="14"/>
            <w:u w:val="single" w:color="auto"/>
            <w:color w:val="0000FF"/>
          </w:rPr>
          <w:t>Renewal Agreement to Lease by and between the Verona Pharma plc and</w:t>
        </w:r>
      </w:hyperlink>
      <w:r>
        <w:rPr>
          <w:rFonts w:ascii="Times New Roman" w:cs="Times New Roman" w:eastAsia="Times New Roman" w:hAnsi="Times New Roman"/>
          <w:sz w:val="14"/>
          <w:szCs w:val="14"/>
          <w:u w:val="single" w:color="auto"/>
          <w:color w:val="0000FF"/>
        </w:rPr>
        <w:t xml:space="preserve"> </w:t>
      </w:r>
      <w:hyperlink r:id="rId134">
        <w:r>
          <w:rPr>
            <w:rFonts w:ascii="Times New Roman" w:cs="Times New Roman" w:eastAsia="Times New Roman" w:hAnsi="Times New Roman"/>
            <w:sz w:val="14"/>
            <w:szCs w:val="14"/>
            <w:u w:val="single" w:color="auto"/>
            <w:color w:val="0000FF"/>
          </w:rPr>
          <w:t>Regus Management (U.K.) Limited dated November 9, 2021</w:t>
        </w:r>
      </w:hyperlink>
    </w:p>
    <w:p>
      <w:pPr>
        <w:spacing w:after="0" w:line="157"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Renewal Agreement to Lease by and between the Verona Pharma plc and</w:t>
        </w:r>
      </w:hyperlink>
      <w:r>
        <w:rPr>
          <w:rFonts w:ascii="Times New Roman" w:cs="Times New Roman" w:eastAsia="Times New Roman" w:hAnsi="Times New Roman"/>
          <w:sz w:val="14"/>
          <w:szCs w:val="14"/>
          <w:u w:val="single" w:color="auto"/>
          <w:color w:val="0000FF"/>
        </w:rPr>
        <w:t xml:space="preserve"> </w:t>
      </w:r>
      <w:hyperlink r:id="rId135">
        <w:r>
          <w:rPr>
            <w:rFonts w:ascii="Times New Roman" w:cs="Times New Roman" w:eastAsia="Times New Roman" w:hAnsi="Times New Roman"/>
            <w:sz w:val="14"/>
            <w:szCs w:val="14"/>
            <w:u w:val="single" w:color="auto"/>
            <w:color w:val="0000FF"/>
          </w:rPr>
          <w:t>Regus Management (U.K.) Limited dated December 7, 2021</w:t>
        </w:r>
      </w:hyperlink>
    </w:p>
    <w:p>
      <w:pPr>
        <w:spacing w:after="0" w:line="157" w:lineRule="exact"/>
        <w:rPr>
          <w:sz w:val="20"/>
          <w:szCs w:val="20"/>
          <w:color w:val="auto"/>
        </w:rPr>
      </w:pPr>
    </w:p>
    <w:p>
      <w:pPr>
        <w:ind w:right="200"/>
        <w:spacing w:after="0" w:line="255" w:lineRule="auto"/>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Agreement to Lease by and between Verona Pharma, Inc. and Brier Creek</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Office #4, LLC dated March 6, 2020</w:t>
        </w:r>
      </w:hyperlink>
    </w:p>
    <w:p>
      <w:pPr>
        <w:spacing w:after="0" w:line="157" w:lineRule="exact"/>
        <w:rPr>
          <w:sz w:val="20"/>
          <w:szCs w:val="20"/>
          <w:color w:val="auto"/>
        </w:rPr>
      </w:pPr>
    </w:p>
    <w:p>
      <w:pPr>
        <w:ind w:right="320"/>
        <w:spacing w:after="0" w:line="255" w:lineRule="auto"/>
        <w:rPr>
          <w:rFonts w:ascii="Times New Roman" w:cs="Times New Roman" w:eastAsia="Times New Roman" w:hAnsi="Times New Roman"/>
          <w:sz w:val="14"/>
          <w:szCs w:val="14"/>
          <w:u w:val="single" w:color="auto"/>
          <w:color w:val="0000FF"/>
        </w:rPr>
      </w:pPr>
      <w:hyperlink r:id="rId137">
        <w:r>
          <w:rPr>
            <w:rFonts w:ascii="Times New Roman" w:cs="Times New Roman" w:eastAsia="Times New Roman" w:hAnsi="Times New Roman"/>
            <w:sz w:val="14"/>
            <w:szCs w:val="14"/>
            <w:u w:val="single" w:color="auto"/>
            <w:color w:val="0000FF"/>
          </w:rPr>
          <w:t>Agreement of Sublease, dated August 28, 2023, by and between Verona</w:t>
        </w:r>
      </w:hyperlink>
      <w:r>
        <w:rPr>
          <w:rFonts w:ascii="Times New Roman" w:cs="Times New Roman" w:eastAsia="Times New Roman" w:hAnsi="Times New Roman"/>
          <w:sz w:val="14"/>
          <w:szCs w:val="14"/>
          <w:u w:val="single" w:color="auto"/>
          <w:color w:val="0000FF"/>
        </w:rPr>
        <w:t xml:space="preserve"> </w:t>
      </w:r>
      <w:hyperlink r:id="rId137">
        <w:r>
          <w:rPr>
            <w:rFonts w:ascii="Times New Roman" w:cs="Times New Roman" w:eastAsia="Times New Roman" w:hAnsi="Times New Roman"/>
            <w:sz w:val="14"/>
            <w:szCs w:val="14"/>
            <w:u w:val="single" w:color="auto"/>
            <w:color w:val="0000FF"/>
          </w:rPr>
          <w:t>Pharma, Inc. and insightsoftware, LLC</w:t>
        </w:r>
      </w:hyperlink>
    </w:p>
    <w:p>
      <w:pPr>
        <w:spacing w:after="0" w:line="15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EMI Option Scheme</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39">
        <w:r>
          <w:rPr>
            <w:rFonts w:ascii="Times New Roman" w:cs="Times New Roman" w:eastAsia="Times New Roman" w:hAnsi="Times New Roman"/>
            <w:sz w:val="14"/>
            <w:szCs w:val="14"/>
            <w:u w:val="single" w:color="auto"/>
            <w:color w:val="0000FF"/>
          </w:rPr>
          <w:t>Unapproved Share Option Scheme, as amended</w:t>
        </w:r>
      </w:hyperlink>
    </w:p>
    <w:p>
      <w:pPr>
        <w:spacing w:after="0" w:line="189" w:lineRule="exact"/>
        <w:rPr>
          <w:sz w:val="20"/>
          <w:szCs w:val="20"/>
          <w:color w:val="auto"/>
        </w:rPr>
      </w:pPr>
    </w:p>
    <w:p>
      <w:pPr>
        <w:ind w:right="220"/>
        <w:spacing w:after="0" w:line="255"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Verona Pharma plc Second Amended and Restated 2017 Incentive Award</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Plan</w:t>
        </w:r>
      </w:hyperlink>
    </w:p>
    <w:p>
      <w:pPr>
        <w:spacing w:after="0" w:line="157" w:lineRule="exact"/>
        <w:rPr>
          <w:sz w:val="20"/>
          <w:szCs w:val="20"/>
          <w:color w:val="auto"/>
        </w:rPr>
      </w:pPr>
    </w:p>
    <w:p>
      <w:pPr>
        <w:ind w:right="140"/>
        <w:spacing w:after="0" w:line="255" w:lineRule="auto"/>
        <w:rPr>
          <w:rFonts w:ascii="Times New Roman" w:cs="Times New Roman" w:eastAsia="Times New Roman" w:hAnsi="Times New Roman"/>
          <w:sz w:val="14"/>
          <w:szCs w:val="14"/>
          <w:u w:val="single" w:color="auto"/>
          <w:color w:val="0000FF"/>
        </w:rPr>
      </w:pPr>
      <w:hyperlink r:id="rId141">
        <w:r>
          <w:rPr>
            <w:rFonts w:ascii="Times New Roman" w:cs="Times New Roman" w:eastAsia="Times New Roman" w:hAnsi="Times New Roman"/>
            <w:sz w:val="14"/>
            <w:szCs w:val="14"/>
            <w:u w:val="single" w:color="auto"/>
            <w:color w:val="0000FF"/>
          </w:rPr>
          <w:t>Employment Agreement, dated January 28, 2020, between Verona Pharma,</w:t>
        </w:r>
      </w:hyperlink>
      <w:r>
        <w:rPr>
          <w:rFonts w:ascii="Times New Roman" w:cs="Times New Roman" w:eastAsia="Times New Roman" w:hAnsi="Times New Roman"/>
          <w:sz w:val="14"/>
          <w:szCs w:val="14"/>
          <w:u w:val="single" w:color="auto"/>
          <w:color w:val="0000FF"/>
        </w:rPr>
        <w:t xml:space="preserve"> </w:t>
      </w:r>
      <w:hyperlink r:id="rId141">
        <w:r>
          <w:rPr>
            <w:rFonts w:ascii="Times New Roman" w:cs="Times New Roman" w:eastAsia="Times New Roman" w:hAnsi="Times New Roman"/>
            <w:sz w:val="14"/>
            <w:szCs w:val="14"/>
            <w:u w:val="single" w:color="auto"/>
            <w:color w:val="0000FF"/>
          </w:rPr>
          <w:t>Inc. and David Zaccardelli, Pharm. D.</w:t>
        </w:r>
      </w:hyperlink>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 Furnished</w:t>
            </w:r>
          </w:p>
        </w:tc>
      </w:tr>
      <w:tr>
        <w:trPr>
          <w:trHeight w:val="184"/>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Form</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Exhibit No.</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Filing date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Herewith</w:t>
            </w: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98"/>
              </w:rPr>
              <w:t>S-3ASR</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333-270339</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3/7/2023</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12/30/2020</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2/27/2018</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2/27/2018</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4.4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2/29/2024</w:t>
            </w:r>
          </w:p>
        </w:tc>
        <w:tc>
          <w:tcPr>
            <w:tcW w:w="10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7/22/2020</w:t>
            </w:r>
          </w:p>
        </w:tc>
        <w:tc>
          <w:tcPr>
            <w:tcW w:w="1040" w:type="dxa"/>
            <w:vAlign w:val="bottom"/>
          </w:tcPr>
          <w:p>
            <w:pPr>
              <w:spacing w:after="0"/>
              <w:rPr>
                <w:sz w:val="24"/>
                <w:szCs w:val="24"/>
                <w:color w:val="auto"/>
              </w:rPr>
            </w:pPr>
          </w:p>
        </w:tc>
      </w:tr>
      <w:tr>
        <w:trPr>
          <w:trHeight w:val="637"/>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3/30/2022</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4.3.3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2/27/2020</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2/27/2020</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4.3.5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2/27/2020</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4.3.6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2/27/2020</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10.4.7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3/7/2022</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10.4.8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3/7/2022</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10.4.9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3/7/2022</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9/1/2023</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350"/>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333-217124</w:t>
            </w: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5/1/2023</w:t>
            </w:r>
          </w:p>
        </w:tc>
        <w:tc>
          <w:tcPr>
            <w:tcW w:w="1040" w:type="dxa"/>
            <w:vAlign w:val="bottom"/>
          </w:tcPr>
          <w:p>
            <w:pPr>
              <w:spacing w:after="0"/>
              <w:rPr>
                <w:sz w:val="24"/>
                <w:szCs w:val="24"/>
                <w:color w:val="auto"/>
              </w:rPr>
            </w:pPr>
          </w:p>
        </w:tc>
      </w:tr>
      <w:tr>
        <w:trPr>
          <w:trHeight w:val="499"/>
        </w:trPr>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001-38067</w:t>
            </w:r>
          </w:p>
        </w:tc>
        <w:tc>
          <w:tcPr>
            <w:tcW w:w="12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4.7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2/27/2020</w:t>
            </w:r>
          </w:p>
        </w:tc>
        <w:tc>
          <w:tcPr>
            <w:tcW w:w="1040" w:type="dxa"/>
            <w:vAlign w:val="bottom"/>
          </w:tcPr>
          <w:p>
            <w:pPr>
              <w:spacing w:after="0"/>
              <w:rPr>
                <w:sz w:val="24"/>
                <w:szCs w:val="24"/>
                <w:color w:val="auto"/>
              </w:rPr>
            </w:pPr>
          </w:p>
        </w:tc>
      </w:tr>
    </w:tbl>
    <w:p>
      <w:pPr>
        <w:sectPr>
          <w:pgSz w:w="11900" w:h="16923" w:orient="portrait"/>
          <w:cols w:equalWidth="0" w:num="3">
            <w:col w:w="940" w:space="160"/>
            <w:col w:w="4380" w:space="360"/>
            <w:col w:w="5440"/>
          </w:cols>
          <w:pgMar w:left="300" w:top="1144" w:right="319" w:bottom="0" w:gutter="0" w:footer="0" w:header="0"/>
          <w:type w:val="continuous"/>
        </w:sectPr>
      </w:pPr>
    </w:p>
    <w:bookmarkStart w:id="99" w:name="page100"/>
    <w:bookmarkEnd w:id="99"/>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10.10#</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10.11#</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10.12#</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10.13#</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10.14#</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10.15#</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10.16</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10.19</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10.20#</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10.21†</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10.22†</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10.23†</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16.1</w:t>
      </w: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23.1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31.2</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32.2</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101.INS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br w:type="column"/>
      </w:r>
    </w:p>
    <w:p>
      <w:pPr>
        <w:spacing w:after="0" w:line="255" w:lineRule="auto"/>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Employment Agreement, dated December 21, 2019, between Verona Pharma</w:t>
        </w:r>
      </w:hyperlink>
      <w:r>
        <w:rPr>
          <w:rFonts w:ascii="Times New Roman" w:cs="Times New Roman" w:eastAsia="Times New Roman" w:hAnsi="Times New Roman"/>
          <w:sz w:val="14"/>
          <w:szCs w:val="14"/>
          <w:u w:val="single" w:color="auto"/>
          <w:color w:val="0000FF"/>
        </w:rPr>
        <w:t xml:space="preserve"> </w:t>
      </w:r>
      <w:hyperlink r:id="rId142">
        <w:r>
          <w:rPr>
            <w:rFonts w:ascii="Times New Roman" w:cs="Times New Roman" w:eastAsia="Times New Roman" w:hAnsi="Times New Roman"/>
            <w:sz w:val="14"/>
            <w:szCs w:val="14"/>
            <w:u w:val="single" w:color="auto"/>
            <w:color w:val="0000FF"/>
          </w:rPr>
          <w:t>plc and Kathleen Rickard</w:t>
        </w:r>
      </w:hyperlink>
    </w:p>
    <w:p>
      <w:pPr>
        <w:spacing w:after="0" w:line="157" w:lineRule="exact"/>
        <w:rPr>
          <w:sz w:val="20"/>
          <w:szCs w:val="20"/>
          <w:color w:val="auto"/>
        </w:rPr>
      </w:pPr>
    </w:p>
    <w:p>
      <w:pPr>
        <w:spacing w:after="0" w:line="255" w:lineRule="auto"/>
        <w:rPr>
          <w:rFonts w:ascii="Times New Roman" w:cs="Times New Roman" w:eastAsia="Times New Roman" w:hAnsi="Times New Roman"/>
          <w:sz w:val="14"/>
          <w:szCs w:val="14"/>
          <w:u w:val="single" w:color="auto"/>
          <w:color w:val="0000FF"/>
        </w:rPr>
      </w:pPr>
      <w:hyperlink r:id="rId143">
        <w:r>
          <w:rPr>
            <w:rFonts w:ascii="Times New Roman" w:cs="Times New Roman" w:eastAsia="Times New Roman" w:hAnsi="Times New Roman"/>
            <w:sz w:val="14"/>
            <w:szCs w:val="14"/>
            <w:u w:val="single" w:color="auto"/>
            <w:color w:val="0000FF"/>
          </w:rPr>
          <w:t>Employment Agreement, dated October 1, 2016, between Verona Pharma plc</w:t>
        </w:r>
      </w:hyperlink>
      <w:r>
        <w:rPr>
          <w:rFonts w:ascii="Times New Roman" w:cs="Times New Roman" w:eastAsia="Times New Roman" w:hAnsi="Times New Roman"/>
          <w:sz w:val="14"/>
          <w:szCs w:val="14"/>
          <w:u w:val="single" w:color="auto"/>
          <w:color w:val="0000FF"/>
        </w:rPr>
        <w:t xml:space="preserve"> </w:t>
      </w:r>
      <w:hyperlink r:id="rId143">
        <w:r>
          <w:rPr>
            <w:rFonts w:ascii="Times New Roman" w:cs="Times New Roman" w:eastAsia="Times New Roman" w:hAnsi="Times New Roman"/>
            <w:sz w:val="14"/>
            <w:szCs w:val="14"/>
            <w:u w:val="single" w:color="auto"/>
            <w:color w:val="0000FF"/>
          </w:rPr>
          <w:t>and Claire Poll</w:t>
        </w:r>
      </w:hyperlink>
    </w:p>
    <w:p>
      <w:pPr>
        <w:spacing w:after="0" w:line="157" w:lineRule="exact"/>
        <w:rPr>
          <w:sz w:val="20"/>
          <w:szCs w:val="20"/>
          <w:color w:val="auto"/>
        </w:rPr>
      </w:pPr>
    </w:p>
    <w:p>
      <w:pPr>
        <w:ind w:right="120"/>
        <w:spacing w:after="0" w:line="255" w:lineRule="auto"/>
        <w:rPr>
          <w:rFonts w:ascii="Times New Roman" w:cs="Times New Roman" w:eastAsia="Times New Roman" w:hAnsi="Times New Roman"/>
          <w:sz w:val="14"/>
          <w:szCs w:val="14"/>
          <w:u w:val="single" w:color="auto"/>
          <w:color w:val="0000FF"/>
        </w:rPr>
      </w:pPr>
      <w:hyperlink r:id="rId144">
        <w:r>
          <w:rPr>
            <w:rFonts w:ascii="Times New Roman" w:cs="Times New Roman" w:eastAsia="Times New Roman" w:hAnsi="Times New Roman"/>
            <w:sz w:val="14"/>
            <w:szCs w:val="14"/>
            <w:u w:val="single" w:color="auto"/>
            <w:color w:val="0000FF"/>
          </w:rPr>
          <w:t>Employment Agreement, dated February 1, 2020, between Verona Pharma,</w:t>
        </w:r>
      </w:hyperlink>
      <w:r>
        <w:rPr>
          <w:rFonts w:ascii="Times New Roman" w:cs="Times New Roman" w:eastAsia="Times New Roman" w:hAnsi="Times New Roman"/>
          <w:sz w:val="14"/>
          <w:szCs w:val="14"/>
          <w:u w:val="single" w:color="auto"/>
          <w:color w:val="0000FF"/>
        </w:rPr>
        <w:t xml:space="preserve"> </w:t>
      </w:r>
      <w:hyperlink r:id="rId144">
        <w:r>
          <w:rPr>
            <w:rFonts w:ascii="Times New Roman" w:cs="Times New Roman" w:eastAsia="Times New Roman" w:hAnsi="Times New Roman"/>
            <w:sz w:val="14"/>
            <w:szCs w:val="14"/>
            <w:u w:val="single" w:color="auto"/>
            <w:color w:val="0000FF"/>
          </w:rPr>
          <w:t>Inc. and Mark Hahn</w:t>
        </w:r>
      </w:hyperlink>
    </w:p>
    <w:p>
      <w:pPr>
        <w:spacing w:after="0" w:line="15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Form of Indemnification Agreement for board members</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Form of Indemnification Agreement for executive officers</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Employee Change in Control Severance Benefit Plan</w:t>
        </w:r>
      </w:hyperlink>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Relationship Agreement relating to Verona Pharma plc, dated July 29, 2016,</w:t>
        </w:r>
      </w:hyperlink>
    </w:p>
    <w:p>
      <w:pPr>
        <w:spacing w:after="0" w:line="4" w:lineRule="exact"/>
        <w:rPr>
          <w:sz w:val="20"/>
          <w:szCs w:val="20"/>
          <w:color w:val="auto"/>
        </w:rPr>
      </w:pPr>
    </w:p>
    <w:p>
      <w:pPr>
        <w:ind w:right="60"/>
        <w:spacing w:after="0" w:line="228" w:lineRule="auto"/>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by and among Verona Pharma plc, OrbiMed Private Investments VI, LP and</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NPlus1 Singer Advisory LLP</w:t>
        </w:r>
      </w:hyperlink>
    </w:p>
    <w:p>
      <w:pPr>
        <w:spacing w:after="0" w:line="166"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Relationship Agreement relating to Verona Pharma plc, dated July 29, 2016,</w:t>
        </w:r>
      </w:hyperlink>
    </w:p>
    <w:p>
      <w:pPr>
        <w:spacing w:after="0" w:line="4" w:lineRule="exact"/>
        <w:rPr>
          <w:sz w:val="20"/>
          <w:szCs w:val="20"/>
          <w:color w:val="auto"/>
        </w:rPr>
      </w:pPr>
    </w:p>
    <w:p>
      <w:pPr>
        <w:ind w:right="360"/>
        <w:spacing w:after="0" w:line="228" w:lineRule="auto"/>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by and among Verona Pharma plc, Abingworth Bioventures VI LP and</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NPlus1 Singer Advisory LLP</w:t>
        </w:r>
      </w:hyperlink>
    </w:p>
    <w:p>
      <w:pPr>
        <w:spacing w:after="0" w:line="166"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Relationship Agreement relating to Verona Pharma plc, dated July 29, 2016,</w:t>
        </w:r>
      </w:hyperlink>
    </w:p>
    <w:p>
      <w:pPr>
        <w:spacing w:after="0" w:line="4" w:lineRule="exact"/>
        <w:rPr>
          <w:sz w:val="20"/>
          <w:szCs w:val="20"/>
          <w:color w:val="auto"/>
        </w:rPr>
      </w:pPr>
    </w:p>
    <w:p>
      <w:pPr>
        <w:jc w:val="both"/>
        <w:ind w:right="380"/>
        <w:spacing w:after="0" w:line="237" w:lineRule="auto"/>
        <w:rPr>
          <w:rFonts w:ascii="Times New Roman" w:cs="Times New Roman" w:eastAsia="Times New Roman" w:hAnsi="Times New Roman"/>
          <w:sz w:val="13"/>
          <w:szCs w:val="13"/>
          <w:u w:val="single" w:color="auto"/>
          <w:color w:val="0000FF"/>
        </w:rPr>
      </w:pPr>
      <w:hyperlink r:id="rId150">
        <w:r>
          <w:rPr>
            <w:rFonts w:ascii="Times New Roman" w:cs="Times New Roman" w:eastAsia="Times New Roman" w:hAnsi="Times New Roman"/>
            <w:sz w:val="13"/>
            <w:szCs w:val="13"/>
            <w:u w:val="single" w:color="auto"/>
            <w:color w:val="0000FF"/>
          </w:rPr>
          <w:t>by and among Verona Pharma plc, Vivo Ventures Fund VII, L.P., Vivo</w:t>
        </w:r>
      </w:hyperlink>
      <w:r>
        <w:rPr>
          <w:rFonts w:ascii="Times New Roman" w:cs="Times New Roman" w:eastAsia="Times New Roman" w:hAnsi="Times New Roman"/>
          <w:sz w:val="13"/>
          <w:szCs w:val="13"/>
          <w:u w:val="single" w:color="auto"/>
          <w:color w:val="0000FF"/>
        </w:rPr>
        <w:t xml:space="preserve"> </w:t>
      </w:r>
      <w:hyperlink r:id="rId150">
        <w:r>
          <w:rPr>
            <w:rFonts w:ascii="Times New Roman" w:cs="Times New Roman" w:eastAsia="Times New Roman" w:hAnsi="Times New Roman"/>
            <w:sz w:val="13"/>
            <w:szCs w:val="13"/>
            <w:u w:val="single" w:color="auto"/>
            <w:color w:val="0000FF"/>
          </w:rPr>
          <w:t>Ventures VII Affiliates Fund, L.P., Vivo Ventures Fund VI, L.P., Vivo</w:t>
        </w:r>
      </w:hyperlink>
      <w:r>
        <w:rPr>
          <w:rFonts w:ascii="Times New Roman" w:cs="Times New Roman" w:eastAsia="Times New Roman" w:hAnsi="Times New Roman"/>
          <w:sz w:val="13"/>
          <w:szCs w:val="13"/>
          <w:u w:val="single" w:color="auto"/>
          <w:color w:val="0000FF"/>
        </w:rPr>
        <w:t xml:space="preserve"> </w:t>
      </w:r>
      <w:hyperlink r:id="rId150">
        <w:r>
          <w:rPr>
            <w:rFonts w:ascii="Times New Roman" w:cs="Times New Roman" w:eastAsia="Times New Roman" w:hAnsi="Times New Roman"/>
            <w:sz w:val="13"/>
            <w:szCs w:val="13"/>
            <w:u w:val="single" w:color="auto"/>
            <w:color w:val="0000FF"/>
          </w:rPr>
          <w:t>Ventures VI Affiliates Fund, L.P. and NPlus1 Singer Advisory LLP</w:t>
        </w:r>
      </w:hyperlink>
    </w:p>
    <w:p>
      <w:pPr>
        <w:spacing w:after="0" w:line="167" w:lineRule="exact"/>
        <w:rPr>
          <w:rFonts w:ascii="Times New Roman" w:cs="Times New Roman" w:eastAsia="Times New Roman" w:hAnsi="Times New Roman"/>
          <w:sz w:val="13"/>
          <w:szCs w:val="13"/>
          <w:u w:val="single" w:color="auto"/>
          <w:color w:val="0000FF"/>
        </w:rPr>
      </w:pPr>
    </w:p>
    <w:p>
      <w:pPr>
        <w:spacing w:after="0"/>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Relationship Agreement relating to Verona Pharma plc, dated July 29, 2016,</w:t>
        </w:r>
      </w:hyperlink>
    </w:p>
    <w:p>
      <w:pPr>
        <w:spacing w:after="0" w:line="4" w:lineRule="exact"/>
        <w:rPr>
          <w:rFonts w:ascii="Times New Roman" w:cs="Times New Roman" w:eastAsia="Times New Roman" w:hAnsi="Times New Roman"/>
          <w:sz w:val="13"/>
          <w:szCs w:val="13"/>
          <w:u w:val="single" w:color="auto"/>
          <w:color w:val="0000FF"/>
        </w:rPr>
      </w:pPr>
    </w:p>
    <w:p>
      <w:pPr>
        <w:jc w:val="both"/>
        <w:ind w:right="380"/>
        <w:spacing w:after="0" w:line="237" w:lineRule="auto"/>
        <w:rPr>
          <w:rFonts w:ascii="Times New Roman" w:cs="Times New Roman" w:eastAsia="Times New Roman" w:hAnsi="Times New Roman"/>
          <w:sz w:val="13"/>
          <w:szCs w:val="13"/>
          <w:u w:val="single" w:color="auto"/>
          <w:color w:val="0000FF"/>
        </w:rPr>
      </w:pPr>
      <w:hyperlink r:id="rId151">
        <w:r>
          <w:rPr>
            <w:rFonts w:ascii="Times New Roman" w:cs="Times New Roman" w:eastAsia="Times New Roman" w:hAnsi="Times New Roman"/>
            <w:sz w:val="13"/>
            <w:szCs w:val="13"/>
            <w:u w:val="single" w:color="auto"/>
            <w:color w:val="0000FF"/>
          </w:rPr>
          <w:t>by and among Verona Pharma plc, Vivo Ventures Fund VII, L.P., Vivo</w:t>
        </w:r>
      </w:hyperlink>
      <w:r>
        <w:rPr>
          <w:rFonts w:ascii="Times New Roman" w:cs="Times New Roman" w:eastAsia="Times New Roman" w:hAnsi="Times New Roman"/>
          <w:sz w:val="13"/>
          <w:szCs w:val="13"/>
          <w:u w:val="single" w:color="auto"/>
          <w:color w:val="0000FF"/>
        </w:rPr>
        <w:t xml:space="preserve"> </w:t>
      </w:r>
      <w:hyperlink r:id="rId151">
        <w:r>
          <w:rPr>
            <w:rFonts w:ascii="Times New Roman" w:cs="Times New Roman" w:eastAsia="Times New Roman" w:hAnsi="Times New Roman"/>
            <w:sz w:val="13"/>
            <w:szCs w:val="13"/>
            <w:u w:val="single" w:color="auto"/>
            <w:color w:val="0000FF"/>
          </w:rPr>
          <w:t>Ventures VII Affiliates Fund, L.P., Vivo Ventures Fund VI, L.P., Vivo</w:t>
        </w:r>
      </w:hyperlink>
      <w:r>
        <w:rPr>
          <w:rFonts w:ascii="Times New Roman" w:cs="Times New Roman" w:eastAsia="Times New Roman" w:hAnsi="Times New Roman"/>
          <w:sz w:val="13"/>
          <w:szCs w:val="13"/>
          <w:u w:val="single" w:color="auto"/>
          <w:color w:val="0000FF"/>
        </w:rPr>
        <w:t xml:space="preserve"> </w:t>
      </w:r>
      <w:hyperlink r:id="rId151">
        <w:r>
          <w:rPr>
            <w:rFonts w:ascii="Times New Roman" w:cs="Times New Roman" w:eastAsia="Times New Roman" w:hAnsi="Times New Roman"/>
            <w:sz w:val="13"/>
            <w:szCs w:val="13"/>
            <w:u w:val="single" w:color="auto"/>
            <w:color w:val="0000FF"/>
          </w:rPr>
          <w:t>Ventures VI Affiliates Fund, L.P. and NPlus1 Singer Advisory LLP</w:t>
        </w:r>
      </w:hyperlink>
    </w:p>
    <w:p>
      <w:pPr>
        <w:spacing w:after="0" w:line="167" w:lineRule="exact"/>
        <w:rPr>
          <w:rFonts w:ascii="Times New Roman" w:cs="Times New Roman" w:eastAsia="Times New Roman" w:hAnsi="Times New Roman"/>
          <w:sz w:val="13"/>
          <w:szCs w:val="13"/>
          <w:u w:val="single" w:color="auto"/>
          <w:color w:val="0000FF"/>
        </w:rPr>
      </w:pPr>
    </w:p>
    <w:p>
      <w:pPr>
        <w:spacing w:after="0"/>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Form of Non-Executive Director letter of appointment</w:t>
        </w:r>
      </w:hyperlink>
    </w:p>
    <w:p>
      <w:pPr>
        <w:spacing w:after="0" w:line="115" w:lineRule="exact"/>
        <w:rPr>
          <w:rFonts w:ascii="Times New Roman" w:cs="Times New Roman" w:eastAsia="Times New Roman" w:hAnsi="Times New Roman"/>
          <w:sz w:val="13"/>
          <w:szCs w:val="13"/>
          <w:u w:val="single" w:color="auto"/>
          <w:color w:val="0000FF"/>
        </w:rPr>
      </w:pPr>
    </w:p>
    <w:p>
      <w:pPr>
        <w:ind w:right="140"/>
        <w:spacing w:after="0" w:line="262" w:lineRule="auto"/>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Collaboration and License Agreement, effective as of June 9, 2021, by and</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between Verona Pharma plc, Nuance Pharma Limited and Nuance</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(Shanghai) Pharma Co Ltd</w:t>
        </w:r>
      </w:hyperlink>
    </w:p>
    <w:p>
      <w:pPr>
        <w:spacing w:after="0" w:line="78" w:lineRule="exact"/>
        <w:rPr>
          <w:rFonts w:ascii="Times New Roman" w:cs="Times New Roman" w:eastAsia="Times New Roman" w:hAnsi="Times New Roman"/>
          <w:sz w:val="14"/>
          <w:szCs w:val="14"/>
          <w:u w:val="single" w:color="auto"/>
          <w:color w:val="0000FF"/>
        </w:rPr>
      </w:pPr>
    </w:p>
    <w:p>
      <w:pPr>
        <w:spacing w:after="0"/>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Loan and Security Agreement, dated as of December 27, 2023, by and</w:t>
        </w:r>
      </w:hyperlink>
    </w:p>
    <w:p>
      <w:pPr>
        <w:spacing w:after="0" w:line="4" w:lineRule="exact"/>
        <w:rPr>
          <w:rFonts w:ascii="Times New Roman" w:cs="Times New Roman" w:eastAsia="Times New Roman" w:hAnsi="Times New Roman"/>
          <w:sz w:val="14"/>
          <w:szCs w:val="14"/>
          <w:u w:val="single" w:color="auto"/>
          <w:color w:val="0000FF"/>
        </w:rPr>
      </w:pPr>
    </w:p>
    <w:p>
      <w:pPr>
        <w:ind w:right="40"/>
        <w:spacing w:after="0" w:line="228" w:lineRule="auto"/>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among Verona Pharma, Inc., Oxford Finance LLC, as collateral agent and as</w:t>
        </w:r>
      </w:hyperlink>
      <w:r>
        <w:rPr>
          <w:rFonts w:ascii="Times New Roman" w:cs="Times New Roman" w:eastAsia="Times New Roman" w:hAnsi="Times New Roman"/>
          <w:sz w:val="14"/>
          <w:szCs w:val="14"/>
          <w:u w:val="single" w:color="auto"/>
          <w:color w:val="0000FF"/>
        </w:rPr>
        <w:t xml:space="preserve"> </w:t>
      </w:r>
      <w:hyperlink r:id="rId154">
        <w:r>
          <w:rPr>
            <w:rFonts w:ascii="Times New Roman" w:cs="Times New Roman" w:eastAsia="Times New Roman" w:hAnsi="Times New Roman"/>
            <w:sz w:val="14"/>
            <w:szCs w:val="14"/>
            <w:u w:val="single" w:color="auto"/>
            <w:color w:val="0000FF"/>
          </w:rPr>
          <w:t>a lender, and the other lenders party thereto</w:t>
        </w:r>
      </w:hyperlink>
    </w:p>
    <w:p>
      <w:pPr>
        <w:spacing w:after="0" w:line="16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4"/>
          <w:szCs w:val="14"/>
          <w:u w:val="single" w:color="auto"/>
          <w:color w:val="0000FF"/>
        </w:rPr>
        <w:t>Commercial Supply Agreement between The Ritedose Corporation and Verona Pharma plc dated December 20,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List of Subsidiaries of Verona Pharma plc</w:t>
      </w:r>
    </w:p>
    <w:p>
      <w:pPr>
        <w:spacing w:after="0" w:line="18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5">
        <w:r>
          <w:rPr>
            <w:rFonts w:ascii="Times New Roman" w:cs="Times New Roman" w:eastAsia="Times New Roman" w:hAnsi="Times New Roman"/>
            <w:sz w:val="14"/>
            <w:szCs w:val="14"/>
            <w:u w:val="single" w:color="auto"/>
            <w:color w:val="0000FF"/>
          </w:rPr>
          <w:t>Letter of PricewaterhouseCoopers LLP, dated December 14, 2023.</w:t>
        </w:r>
      </w:hyperlink>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u w:val="single" w:color="auto"/>
          <w:color w:val="0000FF"/>
        </w:rPr>
        <w:t>Consent of PricewaterhouseCoopers LLP, Independent Registered Public Accounting Firm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Rule 13a-14(a)/15d-14(a) 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Rule 13a-14(a)/15d-14(a) 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Section 1350 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Section 1350 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Policy for Recovery of Erroneously Awarded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Instance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19"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4"/>
          <w:szCs w:val="14"/>
          <w:color w:val="auto"/>
        </w:rPr>
        <w:t>Inline XBRL Taxonomy Extension Calculation Linkbase Document Inline XBRL Taxonomy Extension Label Linkbase Document Inline XBRL Taxonomy Extension Presentation Linkbase Document Inline XBRL Taxonomy Extension Definition Linkbase Document</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20-F</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4.8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3/19/2019</w:t>
            </w:r>
          </w:p>
        </w:tc>
      </w:tr>
      <w:tr>
        <w:trPr>
          <w:trHeight w:val="499"/>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r>
      <w:tr>
        <w:trPr>
          <w:trHeight w:val="499"/>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333-247928</w:t>
            </w: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r>
      <w:tr>
        <w:trPr>
          <w:trHeight w:val="35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95"/>
              </w:rPr>
              <w:t>F-1/A</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10.11.1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4/18/2017</w:t>
            </w:r>
          </w:p>
        </w:tc>
      </w:tr>
      <w:tr>
        <w:trPr>
          <w:trHeight w:val="35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95"/>
              </w:rPr>
              <w:t>F-1/A</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10.11.2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4/18/2017</w:t>
            </w:r>
          </w:p>
        </w:tc>
      </w:tr>
      <w:tr>
        <w:trPr>
          <w:trHeight w:val="35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8/11/2021</w:t>
            </w:r>
          </w:p>
        </w:tc>
      </w:tr>
      <w:tr>
        <w:trPr>
          <w:trHeight w:val="637"/>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r>
      <w:tr>
        <w:trPr>
          <w:trHeight w:val="637"/>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r>
      <w:tr>
        <w:trPr>
          <w:trHeight w:val="775"/>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333-217124</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4/3/2017</w:t>
            </w:r>
          </w:p>
        </w:tc>
      </w:tr>
      <w:tr>
        <w:trPr>
          <w:trHeight w:val="775"/>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7/22/2020</w:t>
            </w:r>
          </w:p>
        </w:tc>
      </w:tr>
      <w:tr>
        <w:trPr>
          <w:trHeight w:val="35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2/25/2021</w:t>
            </w:r>
          </w:p>
        </w:tc>
      </w:tr>
      <w:tr>
        <w:trPr>
          <w:trHeight w:val="53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8/5/2021</w:t>
            </w:r>
          </w:p>
        </w:tc>
      </w:tr>
      <w:tr>
        <w:trPr>
          <w:trHeight w:val="637"/>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1/2/2024</w:t>
            </w:r>
          </w:p>
        </w:tc>
      </w:tr>
      <w:tr>
        <w:trPr>
          <w:trHeight w:val="499"/>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2/29/2024</w:t>
            </w:r>
          </w:p>
        </w:tc>
      </w:tr>
      <w:tr>
        <w:trPr>
          <w:trHeight w:val="700"/>
        </w:trPr>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001-38067</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16.1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p>
    <w:p>
      <w:pPr>
        <w:spacing w:after="0" w:line="401" w:lineRule="exact"/>
        <w:rPr>
          <w:sz w:val="20"/>
          <w:szCs w:val="20"/>
          <w:color w:val="auto"/>
        </w:rPr>
      </w:pPr>
    </w:p>
    <w:p>
      <w:pPr>
        <w:sectPr>
          <w:pgSz w:w="11900" w:h="16838" w:orient="portrait"/>
          <w:cols w:equalWidth="0" w:num="4">
            <w:col w:w="960" w:space="140"/>
            <w:col w:w="4360" w:space="520"/>
            <w:col w:w="4100" w:space="500"/>
            <w:col w:w="700"/>
          </w:cols>
          <w:pgMar w:left="300" w:top="231"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83" w:lineRule="exact"/>
        <w:rPr>
          <w:sz w:val="20"/>
          <w:szCs w:val="20"/>
          <w:color w:val="auto"/>
        </w:rPr>
      </w:pPr>
    </w:p>
    <w:p>
      <w:pPr>
        <w:ind w:firstLine="5"/>
        <w:spacing w:after="0" w:line="271" w:lineRule="auto"/>
        <w:tabs>
          <w:tab w:leader="none" w:pos="10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ectPr>
          <w:pgSz w:w="11900" w:h="16838" w:orient="portrait"/>
          <w:cols w:equalWidth="0" w:num="1">
            <w:col w:w="11280"/>
          </w:cols>
          <w:pgMar w:left="300" w:top="2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type w:val="continuous"/>
        </w:sectPr>
      </w:pPr>
    </w:p>
    <w:bookmarkStart w:id="100" w:name="page101"/>
    <w:bookmarkEnd w:id="100"/>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00" w:right="1440" w:bottom="1440" w:gutter="0" w:footer="0" w:header="0"/>
        </w:sectPr>
      </w:pPr>
    </w:p>
    <w:bookmarkStart w:id="101" w:name="page102"/>
    <w:bookmarkEnd w:id="101"/>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480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VERONA PHARMA PLC</w:t>
            </w:r>
          </w:p>
        </w:tc>
        <w:tc>
          <w:tcPr>
            <w:tcW w:w="3020" w:type="dxa"/>
            <w:vAlign w:val="bottom"/>
          </w:tcPr>
          <w:p>
            <w:pPr>
              <w:spacing w:after="0"/>
              <w:rPr>
                <w:sz w:val="16"/>
                <w:szCs w:val="16"/>
                <w:color w:val="auto"/>
              </w:rPr>
            </w:pPr>
          </w:p>
        </w:tc>
      </w:tr>
      <w:tr>
        <w:trPr>
          <w:trHeight w:val="419"/>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29, 2024</w:t>
            </w:r>
          </w:p>
        </w:tc>
        <w:tc>
          <w:tcPr>
            <w:tcW w:w="480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Zaccardelli</w:t>
            </w:r>
          </w:p>
        </w:tc>
      </w:tr>
      <w:tr>
        <w:trPr>
          <w:trHeight w:val="187"/>
        </w:trPr>
        <w:tc>
          <w:tcPr>
            <w:tcW w:w="34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Zaccardelli, Pharm. D.</w:t>
            </w:r>
          </w:p>
        </w:tc>
      </w:tr>
      <w:tr>
        <w:trPr>
          <w:trHeight w:val="202"/>
        </w:trPr>
        <w:tc>
          <w:tcPr>
            <w:tcW w:w="34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2" w:name="page103"/>
    <w:bookmarkEnd w:id="102"/>
    <w:tbl>
      <w:tblPr>
        <w:tblLayout w:type="fixed"/>
        <w:tblInd w:w="10" w:type="dxa"/>
        <w:tblCellMar>
          <w:top w:w="0" w:type="dxa"/>
          <w:left w:w="0" w:type="dxa"/>
          <w:bottom w:w="0" w:type="dxa"/>
          <w:right w:w="0" w:type="dxa"/>
        </w:tblCellMar>
      </w:tblPr>
      <w:tr>
        <w:trPr>
          <w:trHeight w:val="488"/>
        </w:trPr>
        <w:tc>
          <w:tcPr>
            <w:tcW w:w="348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Zaccardelli</w:t>
            </w:r>
          </w:p>
        </w:tc>
        <w:tc>
          <w:tcPr>
            <w:tcW w:w="56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212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244"/>
        </w:trPr>
        <w:tc>
          <w:tcPr>
            <w:tcW w:w="3480" w:type="dxa"/>
            <w:vAlign w:val="bottom"/>
            <w:tcBorders>
              <w:left w:val="single" w:sz="8" w:color="auto"/>
            </w:tcBorders>
          </w:tcPr>
          <w:p>
            <w:pPr>
              <w:spacing w:after="0"/>
              <w:rPr>
                <w:sz w:val="21"/>
                <w:szCs w:val="21"/>
                <w:color w:val="auto"/>
              </w:rPr>
            </w:pP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120" w:type="dxa"/>
            <w:vAlign w:val="bottom"/>
            <w:tcBorders>
              <w:right w:val="single" w:sz="8" w:color="auto"/>
            </w:tcBorders>
          </w:tcPr>
          <w:p>
            <w:pPr>
              <w:spacing w:after="0"/>
              <w:rPr>
                <w:sz w:val="21"/>
                <w:szCs w:val="21"/>
                <w:color w:val="auto"/>
              </w:rPr>
            </w:pPr>
          </w:p>
        </w:tc>
      </w:tr>
      <w:tr>
        <w:trPr>
          <w:trHeight w:val="107"/>
        </w:trPr>
        <w:tc>
          <w:tcPr>
            <w:tcW w:w="3480" w:type="dxa"/>
            <w:vAlign w:val="bottom"/>
            <w:tcBorders>
              <w:left w:val="single" w:sz="8" w:color="auto"/>
              <w:bottom w:val="single" w:sz="8" w:color="auto"/>
            </w:tcBorders>
          </w:tcPr>
          <w:p>
            <w:pPr>
              <w:spacing w:after="0"/>
              <w:rPr>
                <w:sz w:val="9"/>
                <w:szCs w:val="9"/>
                <w:color w:val="auto"/>
              </w:rPr>
            </w:pPr>
          </w:p>
        </w:tc>
        <w:tc>
          <w:tcPr>
            <w:tcW w:w="56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David Zaccardelli, Pharm. 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Mark W. Hahn</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Chief Financial Officer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244"/>
        </w:trPr>
        <w:tc>
          <w:tcPr>
            <w:tcW w:w="3480" w:type="dxa"/>
            <w:vAlign w:val="bottom"/>
            <w:tcBorders>
              <w:left w:val="single" w:sz="8" w:color="auto"/>
            </w:tcBorders>
          </w:tcPr>
          <w:p>
            <w:pPr>
              <w:spacing w:after="0"/>
              <w:rPr>
                <w:sz w:val="21"/>
                <w:szCs w:val="21"/>
                <w:color w:val="auto"/>
              </w:rPr>
            </w:pP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2120" w:type="dxa"/>
            <w:vAlign w:val="bottom"/>
            <w:tcBorders>
              <w:right w:val="single" w:sz="8" w:color="auto"/>
            </w:tcBorders>
          </w:tcPr>
          <w:p>
            <w:pPr>
              <w:spacing w:after="0"/>
              <w:rPr>
                <w:sz w:val="21"/>
                <w:szCs w:val="21"/>
                <w:color w:val="auto"/>
              </w:rPr>
            </w:pPr>
          </w:p>
        </w:tc>
      </w:tr>
      <w:tr>
        <w:trPr>
          <w:trHeight w:val="107"/>
        </w:trPr>
        <w:tc>
          <w:tcPr>
            <w:tcW w:w="3480" w:type="dxa"/>
            <w:vAlign w:val="bottom"/>
            <w:tcBorders>
              <w:left w:val="single" w:sz="8" w:color="auto"/>
              <w:bottom w:val="single" w:sz="8" w:color="auto"/>
            </w:tcBorders>
          </w:tcPr>
          <w:p>
            <w:pPr>
              <w:spacing w:after="0"/>
              <w:rPr>
                <w:sz w:val="9"/>
                <w:szCs w:val="9"/>
                <w:color w:val="auto"/>
              </w:rPr>
            </w:pPr>
          </w:p>
        </w:tc>
        <w:tc>
          <w:tcPr>
            <w:tcW w:w="56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 W. Hahn</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Ebsworth, Ph.D.</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Chairperson of the Board of Directors</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David Ebsworth,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Christina Ackermann</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Christina Ackermann</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Austwick</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Austwick</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Brady</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Brady</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 Cunningham, M.D.</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Ken Cunningham, M.D.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Lisa Deschamps</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Lisa Deschamps</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Martin Edwards, M.D.</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Martin Edwards, M.D.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Mahendra Shah, Ph.D.</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Mahendra Shah,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Vikas Sinha</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Vikas Sinha</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Anders Ullman, M.D., Ph.D.</w:t>
            </w:r>
          </w:p>
        </w:tc>
        <w:tc>
          <w:tcPr>
            <w:tcW w:w="5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1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February 29, 2024</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Anders Ullman, M.D., Ph.D.</w:t>
            </w:r>
          </w:p>
        </w:tc>
        <w:tc>
          <w:tcPr>
            <w:tcW w:w="5620" w:type="dxa"/>
            <w:vAlign w:val="bottom"/>
            <w:tcBorders>
              <w:right w:val="single" w:sz="8" w:color="auto"/>
            </w:tcBorders>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562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20"/>
          </w:cols>
          <w:pgMar w:left="300" w:top="13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29" w:right="379" w:bottom="1440" w:gutter="0" w:footer="0" w:header="0"/>
          <w:type w:val="continuous"/>
        </w:sectPr>
      </w:pPr>
    </w:p>
    <w:bookmarkStart w:id="103" w:name="page104"/>
    <w:bookmarkEnd w:id="103"/>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shd w:val="clear" w:color="auto" w:fill="CCEEFF"/>
          </w:tcPr>
          <w:p>
            <w:pPr>
              <w:spacing w:after="0"/>
              <w:rPr>
                <w:sz w:val="20"/>
                <w:szCs w:val="20"/>
                <w:color w:val="auto"/>
              </w:rPr>
            </w:pPr>
          </w:p>
        </w:tc>
        <w:tc>
          <w:tcPr>
            <w:tcW w:w="8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w:t>
            </w:r>
            <w:r>
              <w:rPr>
                <w:rFonts w:ascii="Times New Roman" w:cs="Times New Roman" w:eastAsia="Times New Roman" w:hAnsi="Times New Roman"/>
                <w:sz w:val="14"/>
                <w:szCs w:val="14"/>
                <w:color w:val="000000"/>
              </w:rPr>
              <w:t>876)</w:t>
            </w:r>
          </w:p>
        </w:tc>
        <w:tc>
          <w:tcPr>
            <w:tcW w:w="248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4"/>
                <w:szCs w:val="14"/>
                <w:color w:val="auto"/>
                <w:w w:val="92"/>
              </w:rPr>
              <w:t>F-2</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87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2023 and 2022</w:t>
            </w:r>
          </w:p>
        </w:tc>
        <w:tc>
          <w:tcPr>
            <w:tcW w:w="2480" w:type="dxa"/>
            <w:vAlign w:val="bottom"/>
          </w:tcPr>
          <w:p>
            <w:pPr>
              <w:ind w:left="2280"/>
              <w:spacing w:after="0"/>
              <w:rPr>
                <w:sz w:val="20"/>
                <w:szCs w:val="20"/>
                <w:color w:val="auto"/>
              </w:rPr>
            </w:pPr>
            <w:r>
              <w:rPr>
                <w:rFonts w:ascii="Times New Roman" w:cs="Times New Roman" w:eastAsia="Times New Roman" w:hAnsi="Times New Roman"/>
                <w:sz w:val="14"/>
                <w:szCs w:val="14"/>
                <w:color w:val="auto"/>
                <w:w w:val="92"/>
              </w:rPr>
              <w:t>F-4</w:t>
            </w:r>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8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2023 and 2022</w:t>
            </w:r>
          </w:p>
        </w:tc>
        <w:tc>
          <w:tcPr>
            <w:tcW w:w="248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4"/>
                <w:szCs w:val="14"/>
                <w:color w:val="auto"/>
                <w:w w:val="92"/>
              </w:rPr>
              <w:t>F-5</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98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87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years ended December 31, 2023 and 2022</w:t>
            </w:r>
          </w:p>
        </w:tc>
        <w:tc>
          <w:tcPr>
            <w:tcW w:w="2480" w:type="dxa"/>
            <w:vAlign w:val="bottom"/>
          </w:tcPr>
          <w:p>
            <w:pPr>
              <w:ind w:left="2280"/>
              <w:spacing w:after="0"/>
              <w:rPr>
                <w:sz w:val="20"/>
                <w:szCs w:val="20"/>
                <w:color w:val="auto"/>
              </w:rPr>
            </w:pPr>
            <w:r>
              <w:rPr>
                <w:rFonts w:ascii="Times New Roman" w:cs="Times New Roman" w:eastAsia="Times New Roman" w:hAnsi="Times New Roman"/>
                <w:sz w:val="14"/>
                <w:szCs w:val="14"/>
                <w:color w:val="auto"/>
                <w:w w:val="92"/>
              </w:rPr>
              <w:t>F-6</w:t>
            </w:r>
          </w:p>
        </w:tc>
      </w:tr>
      <w:tr>
        <w:trPr>
          <w:trHeight w:val="97"/>
        </w:trPr>
        <w:tc>
          <w:tcPr>
            <w:tcW w:w="20" w:type="dxa"/>
            <w:vAlign w:val="bottom"/>
          </w:tcPr>
          <w:p>
            <w:pPr>
              <w:spacing w:after="0"/>
              <w:rPr>
                <w:sz w:val="8"/>
                <w:szCs w:val="8"/>
                <w:color w:val="auto"/>
              </w:rPr>
            </w:pPr>
          </w:p>
        </w:tc>
        <w:tc>
          <w:tcPr>
            <w:tcW w:w="248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980" w:type="dxa"/>
            <w:vAlign w:val="bottom"/>
            <w:tcBorders>
              <w:top w:val="single" w:sz="8" w:color="0000FF"/>
            </w:tcBorders>
          </w:tcPr>
          <w:p>
            <w:pPr>
              <w:spacing w:after="0"/>
              <w:rPr>
                <w:sz w:val="8"/>
                <w:szCs w:val="8"/>
                <w:color w:val="auto"/>
              </w:rPr>
            </w:pPr>
          </w:p>
        </w:tc>
        <w:tc>
          <w:tcPr>
            <w:tcW w:w="120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8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and 2022</w:t>
            </w:r>
          </w:p>
        </w:tc>
        <w:tc>
          <w:tcPr>
            <w:tcW w:w="248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4"/>
                <w:szCs w:val="14"/>
                <w:color w:val="auto"/>
                <w:w w:val="92"/>
              </w:rPr>
              <w:t>F-7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0000FF"/>
            </w:tcBorders>
            <w:shd w:val="clear" w:color="auto" w:fill="CCEEFF"/>
          </w:tcPr>
          <w:p>
            <w:pPr>
              <w:spacing w:after="0"/>
              <w:rPr>
                <w:sz w:val="8"/>
                <w:szCs w:val="8"/>
                <w:color w:val="auto"/>
              </w:rPr>
            </w:pPr>
          </w:p>
        </w:tc>
        <w:tc>
          <w:tcPr>
            <w:tcW w:w="118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980" w:type="dxa"/>
            <w:vAlign w:val="bottom"/>
            <w:tcBorders>
              <w:top w:val="single" w:sz="8" w:color="0000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300" w:type="dxa"/>
            <w:vAlign w:val="bottom"/>
            <w:gridSpan w:val="6"/>
          </w:tcPr>
          <w:p>
            <w:pPr>
              <w:spacing w:after="0"/>
              <w:rPr>
                <w:sz w:val="20"/>
                <w:szCs w:val="20"/>
                <w:color w:val="auto"/>
              </w:rPr>
            </w:pPr>
          </w:p>
        </w:tc>
        <w:tc>
          <w:tcPr>
            <w:tcW w:w="2480" w:type="dxa"/>
            <w:vAlign w:val="bottom"/>
          </w:tcPr>
          <w:p>
            <w:pPr>
              <w:ind w:left="2280"/>
              <w:spacing w:after="0"/>
              <w:rPr>
                <w:sz w:val="20"/>
                <w:szCs w:val="20"/>
                <w:color w:val="auto"/>
              </w:rPr>
            </w:pPr>
            <w:r>
              <w:rPr>
                <w:rFonts w:ascii="Times New Roman" w:cs="Times New Roman" w:eastAsia="Times New Roman" w:hAnsi="Times New Roman"/>
                <w:sz w:val="14"/>
                <w:szCs w:val="14"/>
                <w:color w:val="auto"/>
                <w:w w:val="92"/>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Verona Pharma plc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Verona Pharma plc and its subsidiaries (the “Company”) as of December 31, 2023 and 2022, and the related consolidated statements of operations and comprehensive loss, of shareholders’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color w:val="auto"/>
        </w:rPr>
        <w:t>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the modification of a term loan facility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described in Note 1, 2 and 5 to the consolidated financial statements, on December 27, 2023 (the “2023 Effective Date”) the Company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replaced the Company’s existing $150.0 million facility. The Company received net proceeds from the Term A Loan partially offset by the repayment, in full, of the existing outstanding indebtedness owed by the Company under the previous Term Loan of $20 million. Debt may be considered extinguished when it has been modified and the terms of the new debt instruments and old debt instruments are “substantially different”. Based upon management’s evaluation of the accounting for the Loan Agreement, management has applied modification accounting to a portion of the Term A Loan in accordance with ASC 470-50 “</w:t>
      </w:r>
      <w:r>
        <w:rPr>
          <w:rFonts w:ascii="Times New Roman" w:cs="Times New Roman" w:eastAsia="Times New Roman" w:hAnsi="Times New Roman"/>
          <w:sz w:val="14"/>
          <w:szCs w:val="14"/>
          <w:i w:val="1"/>
          <w:iCs w:val="1"/>
          <w:color w:val="auto"/>
        </w:rPr>
        <w:t>Debt-Modifications and Extinguishments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accounting for the modification of a term loan facility is a critical audit matter are (i) the matter represented a significant transaction, and (ii) a high degree of auditor effort in performing procedures and evaluating audit evidence related to the Company’s accounting for the term loan facility modification and extinguishment assessment.</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accounting for significant transactions in connection with debt modification. These procedures also included, among others, (i) evaluating management’s assessment regarding the accounting for the new term facility, in particular with respect to their assessment of modification and extinguishment in accordance with the applicable accounting guidance; and (ii) evaluating the sufficiency of the disclosures in the consolidated financial statements.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29,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106" w:name="page107"/>
    <w:bookmarkEnd w:id="10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 incentive receivables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242,996</w:t>
            </w:r>
          </w:p>
        </w:tc>
        <w:tc>
          <w:tcPr>
            <w:tcW w:w="0" w:type="dxa"/>
            <w:vAlign w:val="bottom"/>
          </w:tcPr>
          <w:p>
            <w:pPr>
              <w:spacing w:after="0"/>
              <w:rPr>
                <w:sz w:val="1"/>
                <w:szCs w:val="1"/>
                <w:color w:val="auto"/>
              </w:rPr>
            </w:pPr>
          </w:p>
        </w:tc>
      </w:tr>
      <w:tr>
        <w:trPr>
          <w:trHeight w:val="127"/>
        </w:trPr>
        <w:tc>
          <w:tcPr>
            <w:tcW w:w="8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Furniture and equipment, net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16,472</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308,124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 payable</w:t>
            </w: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71"/>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19,029</w:t>
            </w:r>
          </w:p>
        </w:tc>
        <w:tc>
          <w:tcPr>
            <w:tcW w:w="0" w:type="dxa"/>
            <w:vAlign w:val="bottom"/>
          </w:tcPr>
          <w:p>
            <w:pPr>
              <w:spacing w:after="0"/>
              <w:rPr>
                <w:sz w:val="1"/>
                <w:szCs w:val="1"/>
                <w:color w:val="auto"/>
              </w:rPr>
            </w:pPr>
          </w:p>
        </w:tc>
      </w:tr>
      <w:tr>
        <w:trPr>
          <w:trHeight w:val="127"/>
        </w:trPr>
        <w:tc>
          <w:tcPr>
            <w:tcW w:w="8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Term loan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0" w:type="dxa"/>
            <w:vAlign w:val="bottom"/>
          </w:tcPr>
          <w:p>
            <w:pPr>
              <w:spacing w:after="0"/>
              <w:rPr>
                <w:sz w:val="1"/>
                <w:szCs w:val="1"/>
                <w:color w:val="auto"/>
              </w:rPr>
            </w:pPr>
          </w:p>
        </w:tc>
      </w:tr>
      <w:tr>
        <w:trPr>
          <w:trHeight w:val="171"/>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29,002</w:t>
            </w:r>
          </w:p>
        </w:tc>
        <w:tc>
          <w:tcPr>
            <w:tcW w:w="0" w:type="dxa"/>
            <w:vAlign w:val="bottom"/>
          </w:tcPr>
          <w:p>
            <w:pPr>
              <w:spacing w:after="0"/>
              <w:rPr>
                <w:sz w:val="1"/>
                <w:szCs w:val="1"/>
                <w:color w:val="auto"/>
              </w:rPr>
            </w:pPr>
          </w:p>
        </w:tc>
      </w:tr>
      <w:tr>
        <w:trPr>
          <w:trHeight w:val="127"/>
        </w:trPr>
        <w:tc>
          <w:tcPr>
            <w:tcW w:w="8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£0.05 par value shares: 667,659,630 and 631,338,246 issued, and 643,536,094 and 606,301,054 outstanding, at December 31, 2023</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40,526</w:t>
            </w:r>
          </w:p>
        </w:tc>
        <w:tc>
          <w:tcPr>
            <w:tcW w:w="0" w:type="dxa"/>
            <w:vAlign w:val="bottom"/>
          </w:tcPr>
          <w:p>
            <w:pPr>
              <w:spacing w:after="0"/>
              <w:rPr>
                <w:sz w:val="1"/>
                <w:szCs w:val="1"/>
                <w:color w:val="auto"/>
              </w:rPr>
            </w:pPr>
          </w:p>
        </w:tc>
      </w:tr>
      <w:tr>
        <w:trPr>
          <w:trHeight w:val="116"/>
        </w:trPr>
        <w:tc>
          <w:tcPr>
            <w:tcW w:w="8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2022, respectively</w:t>
            </w:r>
          </w:p>
        </w:tc>
        <w:tc>
          <w:tcPr>
            <w:tcW w:w="32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8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529,187</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Ordinary shares held in treasury</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180"/>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(388,433)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(333,097)</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249,283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230,466</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308,124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Pr>
          <w:p>
            <w:pPr>
              <w:spacing w:after="0"/>
              <w:rPr>
                <w:sz w:val="12"/>
                <w:szCs w:val="12"/>
                <w:color w:val="auto"/>
              </w:rPr>
            </w:pP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71"/>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6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65"/>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(Note 11)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49,283</w:t>
            </w: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50,353</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26,579</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67,569</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75,862</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(75,750)</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w:t>
            </w: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 net</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(68,448)</w:t>
            </w:r>
          </w:p>
        </w:tc>
      </w:tr>
      <w:tr>
        <w:trPr>
          <w:trHeight w:val="265"/>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85"/>
        </w:trPr>
        <w:tc>
          <w:tcPr>
            <w:tcW w:w="84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r>
      <w:tr>
        <w:trPr>
          <w:trHeight w:val="150"/>
        </w:trPr>
        <w:tc>
          <w:tcPr>
            <w:tcW w:w="84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(54,369)</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4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(68,701)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8"/>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per ordinary share —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634,142,660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529,071,526</w:t>
            </w:r>
          </w:p>
        </w:tc>
      </w:tr>
      <w:tr>
        <w:trPr>
          <w:trHeight w:val="318"/>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560" w:type="dxa"/>
        <w:tblCellMar>
          <w:top w:w="0" w:type="dxa"/>
          <w:left w:w="0" w:type="dxa"/>
          <w:bottom w:w="0" w:type="dxa"/>
          <w:right w:w="0" w:type="dxa"/>
        </w:tblCellMar>
      </w:tblPr>
      <w:tr>
        <w:trPr>
          <w:trHeight w:val="149"/>
        </w:trPr>
        <w:tc>
          <w:tcPr>
            <w:tcW w:w="156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700" w:type="dxa"/>
            <w:vAlign w:val="bottom"/>
          </w:tcPr>
          <w:p>
            <w:pPr>
              <w:spacing w:after="0"/>
              <w:rPr>
                <w:sz w:val="12"/>
                <w:szCs w:val="12"/>
                <w:color w:val="auto"/>
              </w:rPr>
            </w:pPr>
          </w:p>
        </w:tc>
        <w:tc>
          <w:tcPr>
            <w:tcW w:w="114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28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400" w:type="dxa"/>
            <w:vAlign w:val="bottom"/>
          </w:tcPr>
          <w:p>
            <w:pPr>
              <w:spacing w:after="0"/>
              <w:rPr>
                <w:sz w:val="12"/>
                <w:szCs w:val="12"/>
                <w:color w:val="auto"/>
              </w:rPr>
            </w:pPr>
          </w:p>
        </w:tc>
        <w:tc>
          <w:tcPr>
            <w:tcW w:w="1100" w:type="dxa"/>
            <w:vAlign w:val="bottom"/>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3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4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10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19050</wp:posOffset>
            </wp:positionV>
            <wp:extent cx="7114540" cy="134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30" w:lineRule="exact"/>
        <w:rPr>
          <w:sz w:val="20"/>
          <w:szCs w:val="20"/>
          <w:color w:val="auto"/>
        </w:rPr>
      </w:pPr>
    </w:p>
    <w:p>
      <w:pPr>
        <w:ind w:left="220" w:right="240"/>
        <w:spacing w:after="0" w:line="239" w:lineRule="auto"/>
        <w:rPr>
          <w:sz w:val="20"/>
          <w:szCs w:val="20"/>
          <w:color w:val="auto"/>
        </w:rPr>
      </w:pPr>
      <w:r>
        <w:rPr>
          <w:rFonts w:ascii="Times New Roman" w:cs="Times New Roman" w:eastAsia="Times New Roman" w:hAnsi="Times New Roman"/>
          <w:sz w:val="14"/>
          <w:szCs w:val="14"/>
          <w:color w:val="auto"/>
        </w:rPr>
        <w:t>Issuance of ordinary shares, net of issuance costs</w:t>
      </w:r>
    </w:p>
    <w:p>
      <w:pPr>
        <w:spacing w:after="0" w:line="8"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4"/>
          <w:szCs w:val="14"/>
          <w:color w:val="auto"/>
        </w:rPr>
        <w:t>Issuance of common shares under at-the-market sales agreement</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Issuance of ordinary shares to treasury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Restricted share units vested</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Share options exercised</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9" w:lineRule="exact"/>
        <w:rPr>
          <w:sz w:val="20"/>
          <w:szCs w:val="20"/>
          <w:color w:val="auto"/>
        </w:rPr>
      </w:pPr>
    </w:p>
    <w:p>
      <w:pPr>
        <w:ind w:left="220" w:right="20"/>
        <w:spacing w:after="0" w:line="237" w:lineRule="auto"/>
        <w:rPr>
          <w:sz w:val="20"/>
          <w:szCs w:val="20"/>
          <w:color w:val="auto"/>
        </w:rPr>
      </w:pPr>
      <w:r>
        <w:rPr>
          <w:rFonts w:ascii="Times New Roman" w:cs="Times New Roman" w:eastAsia="Times New Roman" w:hAnsi="Times New Roman"/>
          <w:sz w:val="14"/>
          <w:szCs w:val="14"/>
          <w:color w:val="auto"/>
        </w:rPr>
        <w:t>Common shares withheld for taxes on vested stock awards</w:t>
      </w:r>
    </w:p>
    <w:p>
      <w:pPr>
        <w:spacing w:after="0" w:line="7" w:lineRule="exact"/>
        <w:rPr>
          <w:sz w:val="20"/>
          <w:szCs w:val="20"/>
          <w:color w:val="auto"/>
        </w:rPr>
      </w:pPr>
    </w:p>
    <w:p>
      <w:pPr>
        <w:ind w:left="220" w:right="220"/>
        <w:spacing w:after="0" w:line="225" w:lineRule="auto"/>
        <w:rPr>
          <w:sz w:val="20"/>
          <w:szCs w:val="20"/>
          <w:color w:val="auto"/>
        </w:rPr>
      </w:pPr>
      <w:r>
        <w:rPr>
          <w:rFonts w:ascii="Times New Roman" w:cs="Times New Roman" w:eastAsia="Times New Roman" w:hAnsi="Times New Roman"/>
          <w:sz w:val="14"/>
          <w:szCs w:val="14"/>
          <w:color w:val="auto"/>
        </w:rPr>
        <w:t>Equity settled share-based compensation reclassified as cash-</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settled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860" w:val="left"/>
          <w:tab w:leader="none" w:pos="1280" w:val="left"/>
          <w:tab w:leader="none" w:pos="1820" w:val="left"/>
        </w:tabs>
        <w:rPr>
          <w:sz w:val="20"/>
          <w:szCs w:val="20"/>
          <w:color w:val="auto"/>
        </w:rPr>
      </w:pPr>
      <w:r>
        <w:rPr>
          <w:rFonts w:ascii="Times New Roman" w:cs="Times New Roman" w:eastAsia="Times New Roman" w:hAnsi="Times New Roman"/>
          <w:sz w:val="14"/>
          <w:szCs w:val="14"/>
          <w:color w:val="auto"/>
        </w:rPr>
        <w:t>489,177,550</w:t>
        <w:tab/>
        <w:t>$</w:t>
      </w:r>
      <w:r>
        <w:rPr>
          <w:sz w:val="20"/>
          <w:szCs w:val="20"/>
          <w:color w:val="auto"/>
        </w:rPr>
        <w:tab/>
      </w:r>
      <w:r>
        <w:rPr>
          <w:rFonts w:ascii="Times New Roman" w:cs="Times New Roman" w:eastAsia="Times New Roman" w:hAnsi="Times New Roman"/>
          <w:sz w:val="14"/>
          <w:szCs w:val="14"/>
          <w:color w:val="auto"/>
        </w:rPr>
        <w:t>31,855</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34925</wp:posOffset>
            </wp:positionV>
            <wp:extent cx="14420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1442085" cy="6985"/>
                    </a:xfrm>
                    <a:prstGeom prst="rect">
                      <a:avLst/>
                    </a:prstGeom>
                    <a:noFill/>
                  </pic:spPr>
                </pic:pic>
              </a:graphicData>
            </a:graphic>
          </wp:anchor>
        </w:drawing>
      </w:r>
    </w:p>
    <w:p>
      <w:pPr>
        <w:spacing w:after="0" w:line="42"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4"/>
          <w:szCs w:val="14"/>
          <w:color w:val="auto"/>
        </w:rPr>
        <w:t>114,080,000</w:t>
      </w:r>
      <w:r>
        <w:rPr>
          <w:sz w:val="20"/>
          <w:szCs w:val="20"/>
          <w:color w:val="auto"/>
        </w:rPr>
        <w:tab/>
      </w:r>
      <w:r>
        <w:rPr>
          <w:rFonts w:ascii="Times New Roman" w:cs="Times New Roman" w:eastAsia="Times New Roman" w:hAnsi="Times New Roman"/>
          <w:sz w:val="14"/>
          <w:szCs w:val="14"/>
          <w:color w:val="auto"/>
        </w:rPr>
        <w:t>6,918</w:t>
      </w:r>
    </w:p>
    <w:p>
      <w:pPr>
        <w:spacing w:after="0" w:line="168" w:lineRule="exact"/>
        <w:rPr>
          <w:sz w:val="20"/>
          <w:szCs w:val="20"/>
          <w:color w:val="auto"/>
        </w:rPr>
      </w:pPr>
    </w:p>
    <w:p>
      <w:pPr>
        <w:ind w:left="320"/>
        <w:spacing w:after="0"/>
        <w:tabs>
          <w:tab w:leader="none" w:pos="1580" w:val="left"/>
        </w:tabs>
        <w:rPr>
          <w:sz w:val="20"/>
          <w:szCs w:val="20"/>
          <w:color w:val="auto"/>
        </w:rPr>
      </w:pPr>
      <w:r>
        <w:rPr>
          <w:rFonts w:ascii="Times New Roman" w:cs="Times New Roman" w:eastAsia="Times New Roman" w:hAnsi="Times New Roman"/>
          <w:sz w:val="14"/>
          <w:szCs w:val="14"/>
          <w:color w:val="auto"/>
        </w:rPr>
        <w:t>80,696</w:t>
      </w:r>
      <w:r>
        <w:rPr>
          <w:sz w:val="20"/>
          <w:szCs w:val="20"/>
          <w:color w:val="auto"/>
        </w:rPr>
        <w:tab/>
      </w:r>
      <w:r>
        <w:rPr>
          <w:rFonts w:ascii="Times New Roman" w:cs="Times New Roman" w:eastAsia="Times New Roman" w:hAnsi="Times New Roman"/>
          <w:sz w:val="14"/>
          <w:szCs w:val="14"/>
          <w:color w:val="auto"/>
        </w:rPr>
        <w:t>5</w:t>
      </w:r>
    </w:p>
    <w:p>
      <w:pPr>
        <w:spacing w:after="0" w:line="94"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4"/>
          <w:szCs w:val="14"/>
          <w:color w:val="auto"/>
        </w:rPr>
        <w:t>28,000,000</w:t>
      </w:r>
      <w:r>
        <w:rPr>
          <w:sz w:val="20"/>
          <w:szCs w:val="20"/>
          <w:color w:val="auto"/>
        </w:rPr>
        <w:tab/>
      </w:r>
      <w:r>
        <w:rPr>
          <w:rFonts w:ascii="Times New Roman" w:cs="Times New Roman" w:eastAsia="Times New Roman" w:hAnsi="Times New Roman"/>
          <w:sz w:val="14"/>
          <w:szCs w:val="14"/>
          <w:color w:val="auto"/>
        </w:rPr>
        <w:t>1,748</w:t>
      </w:r>
    </w:p>
    <w:p>
      <w:pPr>
        <w:spacing w:after="0" w:line="23"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32"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385,070</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(263,716)</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148,005</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(68,701)</w:t>
            </w:r>
          </w:p>
        </w:tc>
        <w:tc>
          <w:tcPr>
            <w:tcW w:w="0" w:type="dxa"/>
            <w:vAlign w:val="bottom"/>
          </w:tcPr>
          <w:p>
            <w:pPr>
              <w:spacing w:after="0"/>
              <w:rPr>
                <w:sz w:val="1"/>
                <w:szCs w:val="1"/>
                <w:color w:val="auto"/>
              </w:rPr>
            </w:pPr>
          </w:p>
        </w:tc>
      </w:tr>
      <w:tr>
        <w:trPr>
          <w:trHeight w:val="25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133,279</w:t>
            </w:r>
          </w:p>
        </w:tc>
        <w:tc>
          <w:tcPr>
            <w:tcW w:w="3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140,197</w:t>
            </w:r>
          </w:p>
        </w:tc>
        <w:tc>
          <w:tcPr>
            <w:tcW w:w="0" w:type="dxa"/>
            <w:vAlign w:val="bottom"/>
          </w:tcPr>
          <w:p>
            <w:pPr>
              <w:spacing w:after="0"/>
              <w:rPr>
                <w:sz w:val="1"/>
                <w:szCs w:val="1"/>
                <w:color w:val="auto"/>
              </w:rPr>
            </w:pPr>
          </w:p>
        </w:tc>
      </w:tr>
      <w:tr>
        <w:trPr>
          <w:trHeight w:val="329"/>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w:t>
            </w:r>
          </w:p>
        </w:tc>
        <w:tc>
          <w:tcPr>
            <w:tcW w:w="3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5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1,250</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14,121</w:t>
            </w:r>
          </w:p>
        </w:tc>
        <w:tc>
          <w:tcPr>
            <w:tcW w:w="3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14,121</w:t>
            </w:r>
          </w:p>
        </w:tc>
        <w:tc>
          <w:tcPr>
            <w:tcW w:w="0" w:type="dxa"/>
            <w:vAlign w:val="bottom"/>
          </w:tcPr>
          <w:p>
            <w:pPr>
              <w:spacing w:after="0"/>
              <w:rPr>
                <w:sz w:val="1"/>
                <w:szCs w:val="1"/>
                <w:color w:val="auto"/>
              </w:rPr>
            </w:pPr>
          </w:p>
        </w:tc>
      </w:tr>
      <w:tr>
        <w:trPr>
          <w:trHeight w:val="255"/>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(4,723)</w:t>
            </w:r>
          </w:p>
        </w:tc>
        <w:tc>
          <w:tcPr>
            <w:tcW w:w="36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0" w:type="dxa"/>
            <w:vAlign w:val="bottom"/>
          </w:tcPr>
          <w:p>
            <w:pPr>
              <w:spacing w:after="0"/>
              <w:rPr>
                <w:sz w:val="1"/>
                <w:szCs w:val="1"/>
                <w:color w:val="auto"/>
              </w:rPr>
            </w:pPr>
          </w:p>
        </w:tc>
      </w:tr>
      <w:tr>
        <w:trPr>
          <w:trHeight w:val="393"/>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-1285875</wp:posOffset>
            </wp:positionV>
            <wp:extent cx="7114540" cy="2089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14540" cy="20891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-868045</wp:posOffset>
            </wp:positionV>
            <wp:extent cx="711454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14540" cy="11430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-638810</wp:posOffset>
            </wp:positionV>
            <wp:extent cx="7114540" cy="114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14540" cy="11430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-410210</wp:posOffset>
            </wp:positionV>
            <wp:extent cx="7114540" cy="208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14540" cy="20891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94615</wp:posOffset>
            </wp:positionV>
            <wp:extent cx="7114540"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14540" cy="134620"/>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-1407160</wp:posOffset>
            </wp:positionV>
            <wp:extent cx="65341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3">
            <w:col w:w="2400" w:space="680"/>
            <w:col w:w="1900" w:space="440"/>
            <w:col w:w="5840"/>
          </w:cols>
          <w:pgMar w:left="300" w:top="123" w:right="339" w:bottom="1440" w:gutter="0" w:footer="0" w:header="0"/>
          <w:type w:val="continuous"/>
        </w:sectPr>
      </w:pPr>
    </w:p>
    <w:tbl>
      <w:tblPr>
        <w:tblLayout w:type="fixed"/>
        <w:tblInd w:w="60" w:type="dxa"/>
        <w:tblCellMar>
          <w:top w:w="0" w:type="dxa"/>
          <w:left w:w="0" w:type="dxa"/>
          <w:bottom w:w="0" w:type="dxa"/>
          <w:right w:w="0" w:type="dxa"/>
        </w:tblCellMar>
      </w:tblPr>
      <w:tr>
        <w:trPr>
          <w:trHeight w:val="17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631,338,246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500" w:type="dxa"/>
            <w:vAlign w:val="bottom"/>
            <w:vMerge w:val="continue"/>
          </w:tcPr>
          <w:p>
            <w:pPr>
              <w:spacing w:after="0"/>
              <w:rPr>
                <w:sz w:val="13"/>
                <w:szCs w:val="13"/>
                <w:color w:val="auto"/>
              </w:rPr>
            </w:pPr>
          </w:p>
        </w:tc>
        <w:tc>
          <w:tcPr>
            <w:tcW w:w="13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Issuance of common shares under at-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20,321,384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5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the-market sales agreement</w:t>
            </w: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0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ordinary shares to treasury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options 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Common shares withheld for taxes on</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5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vested stock awards</w:t>
            </w:r>
          </w:p>
        </w:tc>
        <w:tc>
          <w:tcPr>
            <w:tcW w:w="13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0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5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Equity settled share-based</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compensation reclassified as cash-</w:t>
            </w: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settled</w:t>
            </w: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667,659,630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529,187</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(333,097)</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230,466</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0" w:type="dxa"/>
            <w:vAlign w:val="bottom"/>
          </w:tcPr>
          <w:p>
            <w:pPr>
              <w:spacing w:after="0"/>
              <w:rPr>
                <w:sz w:val="1"/>
                <w:szCs w:val="1"/>
                <w:color w:val="auto"/>
              </w:rPr>
            </w:pPr>
          </w:p>
        </w:tc>
      </w:tr>
      <w:tr>
        <w:trPr>
          <w:trHeight w:val="25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55,682</w:t>
            </w:r>
          </w:p>
        </w:tc>
        <w:tc>
          <w:tcPr>
            <w:tcW w:w="3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56,909</w:t>
            </w:r>
          </w:p>
        </w:tc>
        <w:tc>
          <w:tcPr>
            <w:tcW w:w="0" w:type="dxa"/>
            <w:vAlign w:val="bottom"/>
          </w:tcPr>
          <w:p>
            <w:pPr>
              <w:spacing w:after="0"/>
              <w:rPr>
                <w:sz w:val="1"/>
                <w:szCs w:val="1"/>
                <w:color w:val="auto"/>
              </w:rPr>
            </w:pPr>
          </w:p>
        </w:tc>
      </w:tr>
      <w:tr>
        <w:trPr>
          <w:trHeight w:val="25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1,866</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1,949</w:t>
            </w:r>
          </w:p>
        </w:tc>
        <w:tc>
          <w:tcPr>
            <w:tcW w:w="0" w:type="dxa"/>
            <w:vAlign w:val="bottom"/>
          </w:tcPr>
          <w:p>
            <w:pPr>
              <w:spacing w:after="0"/>
              <w:rPr>
                <w:sz w:val="1"/>
                <w:szCs w:val="1"/>
                <w:color w:val="auto"/>
              </w:rPr>
            </w:pP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19,012</w:t>
            </w:r>
          </w:p>
        </w:tc>
        <w:tc>
          <w:tcPr>
            <w:tcW w:w="3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19,012</w:t>
            </w:r>
          </w:p>
        </w:tc>
        <w:tc>
          <w:tcPr>
            <w:tcW w:w="0" w:type="dxa"/>
            <w:vAlign w:val="bottom"/>
          </w:tcPr>
          <w:p>
            <w:pPr>
              <w:spacing w:after="0"/>
              <w:rPr>
                <w:sz w:val="1"/>
                <w:szCs w:val="1"/>
                <w:color w:val="auto"/>
              </w:rPr>
            </w:pPr>
          </w:p>
        </w:tc>
      </w:tr>
      <w:tr>
        <w:trPr>
          <w:trHeight w:val="255"/>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(4,389)</w:t>
            </w:r>
          </w:p>
        </w:tc>
        <w:tc>
          <w:tcPr>
            <w:tcW w:w="36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0" w:type="dxa"/>
            <w:vAlign w:val="bottom"/>
          </w:tcPr>
          <w:p>
            <w:pPr>
              <w:spacing w:after="0"/>
              <w:rPr>
                <w:sz w:val="1"/>
                <w:szCs w:val="1"/>
                <w:color w:val="auto"/>
              </w:rPr>
            </w:pPr>
          </w:p>
        </w:tc>
      </w:tr>
      <w:tr>
        <w:trPr>
          <w:trHeight w:val="393"/>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(295)</w:t>
            </w:r>
          </w:p>
        </w:tc>
        <w:tc>
          <w:tcPr>
            <w:tcW w:w="3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9"/>
        </w:trPr>
        <w:tc>
          <w:tcPr>
            <w:tcW w:w="6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96"/>
              </w:rPr>
              <w:t>601,063</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 w:type="dxa"/>
            <w:vAlign w:val="bottom"/>
            <w:vMerge w:val="continue"/>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(388,433)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249,283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-1320165</wp:posOffset>
            </wp:positionV>
            <wp:extent cx="7114540" cy="208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14540" cy="20891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-996315</wp:posOffset>
            </wp:positionV>
            <wp:extent cx="711454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14540" cy="11430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-767715</wp:posOffset>
            </wp:positionV>
            <wp:extent cx="711454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14540" cy="11430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-443865</wp:posOffset>
            </wp:positionV>
            <wp:extent cx="7114540" cy="444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14540" cy="444500"/>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-1441450</wp:posOffset>
            </wp:positionV>
            <wp:extent cx="65341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4980" w:space="440"/>
            <w:col w:w="5840"/>
          </w:cols>
          <w:pgMar w:left="30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to net cash used in operating activities: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0" w:type="dxa"/>
            <w:vAlign w:val="bottom"/>
          </w:tcPr>
          <w:p>
            <w:pPr>
              <w:spacing w:after="0"/>
              <w:rPr>
                <w:sz w:val="1"/>
                <w:szCs w:val="1"/>
                <w:color w:val="auto"/>
              </w:rPr>
            </w:pPr>
          </w:p>
        </w:tc>
      </w:tr>
      <w:tr>
        <w:trPr>
          <w:trHeight w:val="184"/>
        </w:trPr>
        <w:tc>
          <w:tcPr>
            <w:tcW w:w="8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81"/>
        </w:trPr>
        <w:tc>
          <w:tcPr>
            <w:tcW w:w="84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redemption premium on debt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incentive receivables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(7,146)</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(8,504)</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84"/>
        </w:trPr>
        <w:tc>
          <w:tcPr>
            <w:tcW w:w="84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81"/>
        </w:trPr>
        <w:tc>
          <w:tcPr>
            <w:tcW w:w="84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(59,862)</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furniture and equipment</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149,797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offering costs in connection with the issuance of ordinary shares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0" w:type="dxa"/>
            <w:vAlign w:val="bottom"/>
          </w:tcPr>
          <w:p>
            <w:pPr>
              <w:spacing w:after="0"/>
              <w:rPr>
                <w:sz w:val="1"/>
                <w:szCs w:val="1"/>
                <w:color w:val="auto"/>
              </w:rPr>
            </w:pPr>
          </w:p>
        </w:tc>
      </w:tr>
      <w:tr>
        <w:trPr>
          <w:trHeight w:val="184"/>
        </w:trPr>
        <w:tc>
          <w:tcPr>
            <w:tcW w:w="8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Proceeds from Oxford Term Loan</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81"/>
        </w:trPr>
        <w:tc>
          <w:tcPr>
            <w:tcW w:w="84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8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2023 Term Loan, net of repayment of Oxford Term Loan and debt issuance costs incurred</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84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4"/>
        </w:trPr>
        <w:tc>
          <w:tcPr>
            <w:tcW w:w="8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SVB Term Loan</w:t>
            </w: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81"/>
        </w:trPr>
        <w:tc>
          <w:tcPr>
            <w:tcW w:w="84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8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SVB Term Loan repayment costs</w:t>
            </w:r>
          </w:p>
        </w:tc>
        <w:tc>
          <w:tcPr>
            <w:tcW w:w="3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81"/>
        </w:trPr>
        <w:tc>
          <w:tcPr>
            <w:tcW w:w="84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withholding taxes from share-based awards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75"/>
        </w:trPr>
        <w:tc>
          <w:tcPr>
            <w:tcW w:w="84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92,869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140,818</w:t>
            </w:r>
          </w:p>
        </w:tc>
        <w:tc>
          <w:tcPr>
            <w:tcW w:w="0" w:type="dxa"/>
            <w:vAlign w:val="bottom"/>
          </w:tcPr>
          <w:p>
            <w:pPr>
              <w:spacing w:after="0"/>
              <w:rPr>
                <w:sz w:val="1"/>
                <w:szCs w:val="1"/>
                <w:color w:val="auto"/>
              </w:rPr>
            </w:pPr>
          </w:p>
        </w:tc>
      </w:tr>
      <w:tr>
        <w:trPr>
          <w:trHeight w:val="70"/>
        </w:trPr>
        <w:tc>
          <w:tcPr>
            <w:tcW w:w="840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43,945</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79,447</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year</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148,380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year</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paid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0" w:name="page111"/>
    <w:bookmarkEnd w:id="110"/>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 operations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August 2023, the U.S. Food and Drug Administration (“FDA”) accepted for review the Company’s New Drug Application (“NDA”) seeking approval of ensifentrine for the maintenance treatment of chronic obstructive pulmonary disease (“COPD”) and assigned a Prescription Drug User Fee Act (“PDUFA”) target action date of June 26, 2024. The FDA stated it is not currently planning to hold an advisory committee meeting to discuss the application. The Company is preparing for a potential commercial launch in 2024, subject to approval of the NDA.</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conjunction with the submission of the NDA in June 2023, the Company paid a $3.2 million PDUFA application fee to the FDA. The Company requested a small business waiver of this application fee which was approved by the FDA and refunded in the three months ended December 31,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has incurred recurring losses and negative cashflows from operations since inception, and has an accumulated deficit of $388.4 million as of December 31, 2023. The Company expects to incur additional losses and negative cash flows from operations until its products potentially gain regulatory approval and reach commercial profitability, if at all.</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expects that its cash and cash equivalents as of December 31, 2023, will be sufficient to fund its operating expenses and capital expenditure requirements for at least the next 12 months from the date of issuance.</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August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$140.2 million after deducting underwriting discounts and commissions and estimated offering expenses payable.</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the year ended December 31, 2022, the Company sold 80,696 ordinary shares (equivalent to 10,087 ADSs) under its at the market offering program entered into in March 2021 (the “2021 ATM Program”), at an average price of approximately $0.86 per share (equivalent to $6.86 per ADS), raising aggregate net proceeds of $0.1 million after deducting issuance costs. As of December 31, 2022, there remained $99.2 million of ordinary shares, in the form of ADSs, available for sale under the 2021 ATM Program.</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year ended December 31, 2023, the Company sold 20,321,384 ordinary shares (equivalent to 2,540,173 ADSs) under the 2021 ATM Program, at an average price of approximately $2.88 per share (equivalent to $23.08 per ADS), raising aggregate net proceeds of $56.9 million after deducting issuance costs.</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March 2023, through a registration statement on Form S-3, the Company replaced the 2021 ATM Program, with an open market sale agreement with Jefferies LLC (“Jefferies”) to sell its ordinary shares, in the form of ADSs, with aggregate gross proceeds of up to $200.0 million, from time-to-time, through an “at the market” equity offering program under which Jefferies will act as sales agent (the “2023 ATM Program”). Jefferies is entitled to a commission at a rate of up to 3.0% of the gross proceeds.</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December 2023, the Company entered into a term loan facility (the “2023 Term Loan”) of up to $400.0 million with Oxford Finance LLC (“Oxford”), as collateral agent, and certain funds managed by Oxford and Hercules Capital, Inc. At closing $50.0 million was funded with up to four additional advances of an aggregate $350.0 million available subject to the Company meeting certain regulatory and commercial milestones. The 2023 Term Loan replaced the Company’s existing $150.0 million facility with Oxford Finance Luxembourg S.A R.L. Refer to Note 5 - Debt for additional details.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Company’s commercial revenue, if any, will be derived from sales of products that are not expected to be commercially available until the second half of 2024, if ever. Additionally, the Company may enter into out-licensing transactions from time to time but there can be no assurance that the Company can secure such transactions in the future. Accordingly, the Company may need to obtain substantial additional funds to achieve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objectives including to further advance clinical and regulatory activities, to fund launch related costs and to create an effective sales and marketing organization to commercialize ensifentrine, if approved.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Verona Pharma plc and its wholly-owned subsidiary Verona Pharma, Inc. All inter-company balances and transactions have been eliminated.</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("U.S. GAAP") and the following accounting policies have been consistently applied.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Actual results could differ from the Company’s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original maturities of ninety days or less at acquisition to be cash equivalents. Cash and cash equivalents includes deposits held at call with banks, and in money market funds investing in U.S. and U.K. government debt and liquid securities from highly rated institutions.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interest</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part of the Nuance Agreement, the Company received an equity interest in Nuance Biotech, the parent company of Nuance Pharma (see Note 6 - Significant Agreements).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Furniture and equipment, net</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Furniture and equipment comprise office furniture, computer equipment and leasehold improvements and are stated at cost less accumulated depreciation. Depreciation on furniture and equipment is calculated on a straight-line basis over the expected useful economic lives, generally two to five years. Depreciation on leasehold improvements is over the lesser of the economic life of the asset or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3" w:name="page114"/>
    <w:bookmarkEnd w:id="113"/>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consists of goodwill related to the acquisition of Rhinopharma. Goodwill is not amortized but periodically tested for impairment.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reviews long-lived assets for impairment annually or whenever events or changes in circumstances indicate that the carrying amount of assets may not be fully recoverable.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and debt issuance costs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issuance of a new debt instrument, the Company recognizes a liability equal to the proceeds received, less any allocation of proceeds to other instruments issued with the debt, other elements of the transaction, or features within the debt instrument itself. The proceeds generally approximate the present value of interest and principal payments of the debt.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situations where, for economic or legal reasons related to the Company’s financial difficulties, the borrower grants a concession to the Company that it would not otherwise consider, the related loan is classified as a troubled debt restructuring. If a restructuring does not constitute a troubled debt restructuring, it will be evaluated to consider if it should be accounted for as an extinguishment or as a modification.</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Debt may be considered extinguished when it has been modified and the terms of the new debt instruments and old debt instruments are “substantially different” (as defined in the debt modification guidance in ASC 470-50 “Debt-Modifications and Extinguishments”).</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Debt issuance costs relating to the Company’s debt instruments are recorded in Term loan on the Consolidated Balance Sheets as a direct reduction of the carrying amount of the related debt; these costs are deferred and amortized to interest expense using the effective interest method, over the respective terms of the related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Company’s revenue consists of revenue from the Company’s strategic agreements for the development and commercialization of ensifentrine. The terms of the agreements may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determining the appropriate amount of revenue to be recognized as it fulfills its obligations under agreements within the scope of ASC Topic 606,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the unit of account in ASC Topic 606. The Company’s performance obligations may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allocates the total transaction price to each performance obligation based on the estimated relative standalone selling prices of the promised goods or service underlying each performance obligation.</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the inception of the arrangement, the Company evaluates whether the development milestones are considered probable of being achieved and estimates the amount to be included in the transaction price using the most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Research and development (“R&amp;D”) costs are expensed as incurred. Research and development expenses include salaries, share-based compensation and benefits of employees, and other costs related to the Company’s R&amp;D activities, including pre-approval manufacturing costs, contracts with clinical research organizations and contract manufacturers.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Consolidated Financial Statements by matching those expenses with the period in which services and efforts are expended. The Company accounts for these expenses according to the progress of the trials and other development activities. Judgment is applied in determining assumptions related to patient progression and the timing of various aspects of the trial used to measure progress. The Company determines prepaid and accrual estimates through discussions with applicable personnel and outside service providers as to the progress of clinical trials, or other services completed. During the course of a clinical trial, the Company adjusts its rate of clinical trial expense recognition if actual results differ from its estimates. The Company makes estimates of its prepaid and accrued expenses as of each balance sheet date in its Consolidated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compensation</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has a share-based compensation plan under which various types of equity-based awards may be granted, including stock options, restricted stock units (“RSUs”) and performance restricted stock units (“PRSUs”). The fair value of share options and RSUs, which are subject to milestone or service conditions with graded vesting, are recognized as compensation expense on a straight-line basis using the graded-vesting method; forfeitures are recognized as they occur.</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fair value of PRSUs, which are subject to certain performance and service conditions, will be recognized over the remaining service period using the graded-vesting method once the performance conditions are determined to be probable of occurring.</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Company uses the fair-value based method to determine compensation for all arrangements under which employees receive shares. The fair value of stock options is estimated on the date of grant using the Black-Scholes valuation model that uses assumptions for expected volatility, expected dividends, expected term, and the risk-free interest rate. Expected volatility is based on the historical volatility of the Company’s ordinary shares over the expected term of the options. The expected term of options granted is derived using the simplified method, which computes the expected term as the average of the sum of the vesting term plus the contract term. Historically the risk-free rate has been based on the appropriate U.K. government debt yield. After delisting its Ordinary shares from AIM on October 30, 2020, the Company used U.S. government debt yields.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fair-value of RSUs and PRSUs is calculated using the closing price of the Company’s ordinary shares on the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assumptions used are set out in Note 7 - Share-based compensation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 United Kingdom R&amp;D tax credits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Research and development tax credit relates to R&amp;D tax credits receivable in the U.K. As a company that carries out extensive research and development activities, the Company is subject to the U.K. R&amp;D Small and Medium Enterprise (“SME”) Program. Qualifying expenditures largely comprise employment costs for research staff, consumables, a proportion of relevant, permitted sub-contract costs and certain internal overhead costs incurred as part of research projects for which it does not receive income.</w:t>
      </w:r>
    </w:p>
    <w:p>
      <w:pPr>
        <w:spacing w:after="0" w:line="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Tax credits related to the SME Program are received as cash and are recorded as other income, as they are akin to grant income, in the Consolidated Statements of Operations and Comprehensive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740, “Income Taxes” (“ASC 740”). ASC 740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loss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accounts for comprehensive loss in accordance with ASC 220, “Income Statement - Reporting Comprehensive Income”. Comprehensive loss represents all changes in shareholders’ equity during the period except those resulting from investments by, or distributions to, shareholders.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Reporting and functional currencies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Consolidated Financial Statements are reported in U.S. dollars, which is also the functional currency of the Company’s subsidiary. Transactions in foreign currencies are remeasured into the Company’s functional currency at the rate of exchange prevailing at the date of the transaction. Any monetary assets and liabilities arising from these transactions are remeasured into our functional currency at exchange rates prevailing at the balance sheet date or on settlement. Resulting gains and losses are recorded in foreign exchange gain/(loss)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shares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the year ended December 31, 2020, the Company incorporated a trust to facilitate the acquisition of shares, by or for the benefit of employees and former employees. In the years ended December 31, 2023 and December 31, 2022 the Company issued 16.0 million ordinary shares (equivalent to 2.0 million ADSs) and 28.0 million (equivalent to 3.5 million ADSs), respectively, to the trust to cover expected shares issued upon the vesting of share awards to employees.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Sheets as Ordinary shares held in treasury.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financial instruments include cash equivalents, equity interest, other assets, accounts payable and accrued expenses and other liabilities. Fair value estimates of these instruments are made at a specific point in time, based on relevant market information. These estimates may be subjective in nature and involve uncertainties and matters of significant judgement and therefore cannot be determined with precision. The carrying amounts of the other instruments are considered to be representative of their fair values because of their short-term nature.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 of credit risk consist of principally cash and cash equivalents, bank deposits and certain receivables.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holds cash and cash equivalents with highly rated financial institutions and in highly rated money market funds. Our deposits at these institutions may exceed insured limits, however the Company has not experienced any significant credit losses in these accounts and does not believe the Company is exposed to any significant credit risk on these instruments.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accounting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ROU assets and liabilities are recognized at the commencement date based on the present value of lease payments over the term of the lease. For this purpose, the Company considers only payments that are fixed and determinable at the time of commencement.</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leases are included in Right-of-use assets and in Current and Non-current operating lease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June 2016, the FASB issued ASU 2016-13, Financial Instruments-Credit Losses (Topic 326)-Measurement of Credit Losses on Financial Instruments. This guidance replaces the current incurred loss impairment methodology.</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Under this model,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The guidance requires a modified retrospective transition approach through a cumulative-effect adjustment to retained earnings as of the beginning of the period of adoption. This update became effective for the Company on January 1, 2023 and the adoption of this update did not have a material impact on the Company’s financial statements and related disclosures.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 not yet adopted</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on January 1, 2025,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on January 1, 2024 and interim periods beginning on January 1, 2025, and should be applied on a retrospective basis for all periods presented. This ASU will have no impact on the Company's Consolidated Balance Sheets or Consolidated Statements of Operations and Comprehensive Loss. The Company is currently evaluating the impact to its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Property leases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Right-of-use assets (“ROU”) relate to rented office space in London, Georgia and two in North Carolina with leases ending in 2025, 2025, 2024 and 2027, respectively.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the year ended December 31, 2023, the Company entered into a lease arrangement in North Carolina for office space and extended its existing London lease. As a result of these two agreements, the Company recognized a lease liability and a corresponding ROU asset of $2.7 million. Additionally, the supplemental noncash ROU asset obtained in exchange for operating lease liabilities is $2.7 million.</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year ended December 31, 2022, the Company entered into a lease arrangement in Georgia for office space and extended its existing London lease recognizing a lease liability and a corresponding ROU asset of $0.7 million.</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To calculate lease liabilities the Company used a weighted average discount rate of 11% and 4% for the years ended December 31, 2023 and December 31, 2022, respectively. The weighted average remaining lease term as of December 31, 2023 and December 31, 2022 was 3.3 years and 1.5 years,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Minimum annual payments over the remaining lease periods as of December 31, 2023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future lease payments</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total operating lease expense included in selling, general and administrative costs was $0.7 million for the year ended December 31, 2023.</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vMerge w:val="continue"/>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Accrued expenses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 and other development costs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12,314</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 listing and general corporate costs</w:t>
            </w:r>
          </w:p>
        </w:tc>
        <w:tc>
          <w:tcPr>
            <w:tcW w:w="9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People related costs</w:t>
            </w: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Debt</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October 14, 2022 (the “2022 Effective Date”), the Company entered into a loan and security agreement with Oxford Finance Luxembourg S.À R.L. for an aggregate amount of up to $150.0 million (the “Oxford Term Loan”). The Oxford Term Loan provided for an initial term loan advance in an aggregate amount of $10.0 million funded on the 2022 Effective Date (the “Oxford Term A Loan”), and up to four additional term loan advances in an aggregate amount of $140.0 million, contingent upon the achievement of certain clinical and regulatory development milestones as well as other specified conditions. The proceeds from the Oxford Term Loan were used for general corporate and working capital purposes, and a portion of the proceeds of the Oxford Term A Loan were used to repay in full the existing outstanding indebtedness owed under the SVB Term Loan. On March 24, 2023, the Company received $10.0 million under the second term loan advance (the “Oxford Term B Loan”).</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December 27, 2023 (the “2023 Effective Date”), the Company entered into a term loan facility of up to $400.0 million (the “2023 Term Loan” or “Loan Agreement”), consisting of a term loan advance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amount of $50.0 million funded on the 2023 Effective Date (the “Term A Loan”) and four additional term loan advances subject to certain terms and conditions, as discussed below, in the amounts of $100.0 million (the “Term B Loan”), $75.0 million (the “Term C Loan”), $75.0 million (the “Term D Loan”) and $100.0 million (the “Term E Loan”). The 2023 Term Loan was entered into with Oxford Finance LLC, a Delaware limited liability company (“Oxford”), as collateral agent, and certain funds managed by Oxford and Hercules Capital, Inc. party thereto (collectively, the “Lenders”). The net proceeds of the 2023 Term Loan will be used for general corporate and working capital purposes.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received net proceeds from the Term A Loan of $28.4 million which primarily consisted of the Term A Loan proceeds of $50.0 million partially offset by the repayment, in full, of the existing outstanding indebtedness owed by the Company under the Oxford Term Loan of $20.0 million, lender and third-party fees related to the Loan Agreement of $1.4 million and interest amounts of $0.2 million.</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Based upon the Company’s accounting evaluation of the Loan Agreement, as well as the Oxford entities involved and terms of both the 2023 Term Loan and the Oxford Term Loan, the Company has applied modification accounting to the portion of the Term A Loan associated with Oxford. As such, no gain or loss is recorded upon the modification with the unamortized debt issuance costs at the 2023 Effective Date from the Oxford Term Loans included as amounts the outstanding amount under the 2023 Term Loan. Additionally, certain fees included in the net proceeds were expensed based on the applicable guidance under ASC 470.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portion of the Term A Loan associated with Hercules Capital, Inc. has been accounted for as the issuance of new debt with the applicable accounting applied under ASC 470.</w:t>
      </w:r>
    </w:p>
    <w:p>
      <w:pPr>
        <w:spacing w:after="0" w:line="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Term B Loan will be available, subject to customary terms and conditions, during the period commencing on the date the Company receives approval from the United States Food and Drug Administration for its New Drug Application for ensifentrine through and including the earliest of (i) the date that is 30 days immediately following the date the Company receives such approval and</w:t>
      </w:r>
    </w:p>
    <w:p>
      <w:pPr>
        <w:jc w:val="both"/>
        <w:ind w:firstLine="5"/>
        <w:spacing w:after="0" w:line="236" w:lineRule="auto"/>
        <w:tabs>
          <w:tab w:leader="none" w:pos="21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15, 2024. The Term C Loan will be available, subject to customary terms and conditions (including the prior borrowing of the Term B Loan), during the period commencing on the later of (i) September 15, 2025 and (ii) prior to September 30, 2025, the achievement by the Company of a specified net sales milestone. The Term D Loan will be available, subject to customary terms and conditions (including the prior borrowing of the Term C Loan), during the period commencing on the later of (i) February 15, 2026 and (ii) prior to March 31, 2026, the achievement by the Company of a specified net sales milestone. The Term E Loan will be available, subject to customary terms and conditions (including the prior borrowing of the Term D Loan) prior to June 1, 2028 at the Lenders sole discretion and upon the Company’s request.</w:t>
      </w:r>
    </w:p>
    <w:p>
      <w:pPr>
        <w:spacing w:after="0" w:line="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2023 Term Loan will mature on December 1, 2028. Each advance under the Loan Agreement accrues interest at a floating per annum rate (the “Basic Rate”) equal to (a) the greater of (i) the 1-Month CME Term SOFR (as defined in the Loan Agreement) reference rate on the last business day of the month that immediately precedes the month in which the interest will accrue and (ii) 5.34%, plus (b) 5.85%. Notwithstanding the foregoing, (i) in no event shall the Basic Rate (x) for the Term A Loan be less than 11.19% and (y) for each other 2023 Term Loan be less than the Basic Rate on the business day immediately prior to the funding date of such 2023 Term Loan, (ii) the Basic Rate for the Term A Loan for the period from the Effective Date through and including December 31, 2023 was 11.19% and (iii) the Basic Rate for each 2023 Term Loan shall not increase by more than 2.00% above the applicable Basic Rate as of the funding date of each such 2023 Term Loan. The 2023 Term Loan provides for interest-only payments on a monthly basis until the payment date immediately preceding June 1, 2028. Thereafter, amortization payments will be payable monthly in equal installments of principal plus monthly payments of accrued interest.</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Upon repayment (whether at maturity, upon acceleration or by prepayment or otherwise), the Borrower shall make a final payment to the Lenders in the amount of 2.50% to 3.50% of the aggregate 2023 Term Loan advanced, depending on when a 2023 Term Loan is repaid (the “Final Payment”). The Borrower may prepay the 2023 Term Loan in full or in part provided that the Borrower (i) provides ten (10) days’ prior written notice to Oxford and the Lenders, (ii) pays on the date of such prepayment (A) all outstanding principal plus accrued and unpaid interest, (B) a prepayment fee of 2.00% of the 2023 Term Loan advanced if paid on or before December 27, 2025; 1.50% of the 2023 Term Loan advanced if paid after December 27, 2025 and before December 27, 2026; 1.00% of the 2023 Term Loan advanced if paid after December 27, 2026, (C) the Final Payment and (D) all other sums, if any, that shall become due and payable under the Loan Agreement, including interest at the default rate with respect to any past due amounts. Amounts outstanding during an event of default are payable upon the Required Lenders’ (as defined in the Loan Agreement) demand and shall accrue interest at an additional rate of 5.00% per annum and (iii) any partial prepayment of the 2023 Term Loans shall be in a denomination that is a whole number multiple of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2023 Term Loan is secured by a lien on substantially all of the assets of the Company, other than intellectual property, provided that a lien on intellectual property will be granted on the earlier of</w:t>
      </w:r>
    </w:p>
    <w:p>
      <w:pPr>
        <w:spacing w:after="0" w:line="14" w:lineRule="exact"/>
        <w:rPr>
          <w:sz w:val="20"/>
          <w:szCs w:val="20"/>
          <w:color w:val="auto"/>
        </w:rPr>
      </w:pPr>
    </w:p>
    <w:p>
      <w:pPr>
        <w:jc w:val="both"/>
        <w:ind w:firstLine="5"/>
        <w:spacing w:after="0" w:line="236" w:lineRule="auto"/>
        <w:tabs>
          <w:tab w:leader="none" w:pos="17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funding date of any 2023 Term Loan that would cause the aggregate principal amount of outstanding 2023 Term Loan drawn pursuant to the Loan Agreement to exceed $50.0 million and (ii) prior to the Borrower or the Company entering into a Permitted Royalty Financing (as defined in the Loan Agreement). The Company has also granted Oxford and the Lenders a negative pledge with respect to its intellectual property.</w:t>
      </w:r>
    </w:p>
    <w:p>
      <w:pPr>
        <w:spacing w:after="0" w:line="6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 Loan Agreement contains customary representations and warranties, covenants and events of default, including two financial covenants: (i) commencing on July 1, 2025, the Borrower is required to maintain certain levels of cash in the United States subject to control agreements in favor of Oxford; provided that such liquidity covenant shall not apply at any given time if the market capitalization of the Company at such time is at least $3.0 billion and (ii) commencing on September 30, 2025, the Borrower and the Company are required to maintain quarterly trailing six-month net product revenue from the sale of ensifentrine; provided that such revenue covenant will be waived at any time (x) the Borrower and the Company’s unrestricted cash balance on the last calendar day of each month during such quarter is equal to or greater than the product of 1.25 multiplied by the aggregate principal amount of outstanding 2023 Term Loan on such date, (y)(1) the Borrower and the Company’s unrestricted cash balance on the last calendar day of each month during such quarter is equal to or greater than the product of 0.5 multiplied by the aggregate principal amount of outstanding 2023 Term Loan on such date and (2)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$1.5 billion, or (z)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$3.0 billion. The Loan Agreement also contains other customary provisions, such as expense reimbursement, as well as indemnification rights for the benefit of Oxford and the Lenders.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interest rate was approximately 11% per annum and there was no material difference between the carrying value and the estimated fair value of the 2023 Term Loan.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principal payments, which exclude the end of term charge, in connection with the 2023 Term Loan as of December 31, 2023 are as follows (in thousands):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7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7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720" w:type="dxa"/>
            <w:vAlign w:val="bottom"/>
            <w:shd w:val="clear" w:color="auto" w:fill="CCEEFF"/>
          </w:tcPr>
          <w:p>
            <w:pPr>
              <w:spacing w:after="0"/>
              <w:rPr>
                <w:sz w:val="23"/>
                <w:szCs w:val="2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60" w:type="dxa"/>
            <w:vAlign w:val="bottom"/>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Significant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Ligand agreement</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is obligated to pay a milestone payment of £5.0 million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each contingency is resolved, the Company will record the contingent consideration payment (or payable) in connection with the Ligand Agreement as an expense.</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2022, the Company entered into an Amendment Agreement (the “Amendment”) with Ligand whereby the Ligand Agreement was amended to clarify certain ambiguous terms in the Ligand Agreement. Pursuant to the Amendment:</w:t>
      </w:r>
    </w:p>
    <w:p>
      <w:pPr>
        <w:spacing w:after="0" w:line="40" w:lineRule="exact"/>
        <w:rPr>
          <w:sz w:val="20"/>
          <w:szCs w:val="20"/>
          <w:color w:val="auto"/>
        </w:rPr>
      </w:pPr>
    </w:p>
    <w:p>
      <w:pPr>
        <w:jc w:val="both"/>
        <w:ind w:left="260" w:hanging="255"/>
        <w:spacing w:after="0" w:line="246" w:lineRule="auto"/>
        <w:tabs>
          <w:tab w:leader="none" w:pos="25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Ligand Agreement shall expire on March 24, 2042 unless terminated earlier by either party in accordance with its terms;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 payment may be paid in cash or, at the Company’s discretion, by issuing to Ligand shares in the Company of equivalent value; and</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accounted for the $2.0 million payment at execution of the Amendment as selling, general and administrative expense in the consolidated statements of operations and comprehensive loss as the payment is related to a contract modification.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Nuance agreement</w:t>
      </w:r>
    </w:p>
    <w:p>
      <w:pPr>
        <w:spacing w:after="0" w:line="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entered into a collaboration and license agreement (the “Nuance Agreement”) with Nuance Pharma Limited (“Nuance Pharma”) effective June 9, 2021 (the “Nuance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Nuance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2023, the $15.0 million equity interest was recorded as Equity interest on the Consolidated Balance Sheet. The equity interest is recorded at cost as the Company has elected to use the measurement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year ended December 31, 2023.</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April 13, 2022, the Company formalized the Agreement for the Manufacture and Supply of ensifentrine (“Nuance Supply Agreement”) with Nuance Pharma. The Company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The Company has determined it is acting as principal in relation to the manufacture and supply under the Agreement. In its capacity as principal, the Company will recognize the associated revenue on a gross basis. In the year ended December 31, 2022, the Company recognized $0.5 million of revenue in relation to the clinical supply of ensifentrine to Nuance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Share-based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operates various share based incentive plans for its staff and issues ordinary shares or ADSs when share-based awards are exercised.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records share-based compensation expense related to share options and RSUs granted to employees and directors. The expense is included in Research and development and Selling,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Options are issued with an exercise price of the closing market price on the day before the grant and generally vest over a period of one to four years and the contractual life of all options is ten years.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allocation of share-based compensation between research and development and selling, general and administrative costs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0" w:type="dxa"/>
            <w:vAlign w:val="bottom"/>
          </w:tcPr>
          <w:p>
            <w:pPr>
              <w:spacing w:after="0"/>
              <w:rPr>
                <w:sz w:val="1"/>
                <w:szCs w:val="1"/>
                <w:color w:val="auto"/>
              </w:rPr>
            </w:pPr>
          </w:p>
        </w:tc>
      </w:tr>
      <w:tr>
        <w:trPr>
          <w:trHeight w:val="26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Pr>
          <w:p>
            <w:pPr>
              <w:spacing w:after="0"/>
              <w:rPr>
                <w:sz w:val="23"/>
                <w:szCs w:val="2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0" w:type="dxa"/>
            <w:vAlign w:val="bottom"/>
          </w:tcPr>
          <w:p>
            <w:pPr>
              <w:spacing w:after="0"/>
              <w:rPr>
                <w:sz w:val="1"/>
                <w:szCs w:val="1"/>
                <w:color w:val="auto"/>
              </w:rPr>
            </w:pPr>
          </w:p>
        </w:tc>
      </w:tr>
      <w:tr>
        <w:trPr>
          <w:trHeight w:val="85"/>
        </w:trPr>
        <w:tc>
          <w:tcPr>
            <w:tcW w:w="84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share-based compensation</w:t>
            </w:r>
          </w:p>
        </w:tc>
        <w:tc>
          <w:tcPr>
            <w:tcW w:w="3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19,012</w:t>
            </w:r>
          </w:p>
        </w:tc>
        <w:tc>
          <w:tcPr>
            <w:tcW w:w="12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14,121</w:t>
            </w:r>
          </w:p>
        </w:tc>
        <w:tc>
          <w:tcPr>
            <w:tcW w:w="0" w:type="dxa"/>
            <w:vAlign w:val="bottom"/>
          </w:tcPr>
          <w:p>
            <w:pPr>
              <w:spacing w:after="0"/>
              <w:rPr>
                <w:sz w:val="1"/>
                <w:szCs w:val="1"/>
                <w:color w:val="auto"/>
              </w:rPr>
            </w:pPr>
          </w:p>
        </w:tc>
      </w:tr>
      <w:tr>
        <w:trPr>
          <w:trHeight w:val="84"/>
        </w:trPr>
        <w:tc>
          <w:tcPr>
            <w:tcW w:w="84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vMerge w:val="continue"/>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auto"/>
            </w:tcBorders>
            <w:vMerge w:val="continue"/>
            <w:shd w:val="clear" w:color="auto" w:fill="CCEEFF"/>
          </w:tcPr>
          <w:p>
            <w:pPr>
              <w:spacing w:after="0"/>
              <w:rPr>
                <w:sz w:val="7"/>
                <w:szCs w:val="7"/>
                <w:color w:val="auto"/>
              </w:rPr>
            </w:pPr>
          </w:p>
        </w:tc>
        <w:tc>
          <w:tcPr>
            <w:tcW w:w="9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EMI Option Plan and Pre-IPO Option Plan</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EMI Option Plan and the Pre-IPO Option Plan were adopted by our board of directors on September 18, 2006, and July 24, 2012, respectively. The total number of shares that may be issued under these plans is the current number of outstanding options over 114,000 ordinary shares, or 14,250 ADSs, for the EMI Option Plan and 1,320,000 ordinary shares, or 165,000 ADSs, for the Pre-IPO Option Plan.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further awards have been granted under either plan since the 2017 Incentive Award Plan was adopted, and no further awards will be granted under them.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2017 Incentive Award Plan</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2017 Incentive Award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 activity</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share option activity and includes the options outstanding from all three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remaining contractual term</w:t>
            </w:r>
          </w:p>
        </w:tc>
        <w:tc>
          <w:tcPr>
            <w:tcW w:w="80" w:type="dxa"/>
            <w:vAlign w:val="bottom"/>
          </w:tcPr>
          <w:p>
            <w:pPr>
              <w:spacing w:after="0"/>
              <w:rPr>
                <w:sz w:val="11"/>
                <w:szCs w:val="1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Number of share options</w:t>
            </w:r>
          </w:p>
        </w:tc>
        <w:tc>
          <w:tcPr>
            <w:tcW w:w="3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 xml:space="preserve">price </w:t>
            </w:r>
            <w:r>
              <w:rPr>
                <w:rFonts w:ascii="Times New Roman" w:cs="Times New Roman" w:eastAsia="Times New Roman" w:hAnsi="Times New Roman"/>
                <w:sz w:val="7"/>
                <w:szCs w:val="7"/>
                <w:b w:val="1"/>
                <w:bCs w:val="1"/>
                <w:color w:val="auto"/>
              </w:rPr>
              <w:t>(1)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80" w:type="dxa"/>
            <w:vAlign w:val="bottom"/>
          </w:tcPr>
          <w:p>
            <w:pPr>
              <w:spacing w:after="0"/>
              <w:rPr>
                <w:sz w:val="13"/>
                <w:szCs w:val="13"/>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30"/>
        </w:trPr>
        <w:tc>
          <w:tcPr>
            <w:tcW w:w="54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January 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12,695,200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54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9,024,000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(1,822,688)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19,276,496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39,412</w:t>
            </w:r>
          </w:p>
        </w:tc>
        <w:tc>
          <w:tcPr>
            <w:tcW w:w="0" w:type="dxa"/>
            <w:vAlign w:val="bottom"/>
          </w:tcPr>
          <w:p>
            <w:pPr>
              <w:spacing w:after="0"/>
              <w:rPr>
                <w:sz w:val="1"/>
                <w:szCs w:val="1"/>
                <w:color w:val="auto"/>
              </w:rPr>
            </w:pPr>
          </w:p>
        </w:tc>
      </w:tr>
      <w:tr>
        <w:trPr>
          <w:trHeight w:val="89"/>
        </w:trPr>
        <w:tc>
          <w:tcPr>
            <w:tcW w:w="54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vMerge w:val="continue"/>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7,376,000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(1,258,192)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24,689,624</w:t>
            </w:r>
          </w:p>
        </w:tc>
        <w:tc>
          <w:tcPr>
            <w:tcW w:w="100" w:type="dxa"/>
            <w:vAlign w:val="bottom"/>
          </w:tcPr>
          <w:p>
            <w:pPr>
              <w:spacing w:after="0"/>
              <w:rPr>
                <w:sz w:val="21"/>
                <w:szCs w:val="21"/>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24,022</w:t>
            </w:r>
          </w:p>
        </w:tc>
        <w:tc>
          <w:tcPr>
            <w:tcW w:w="0" w:type="dxa"/>
            <w:vAlign w:val="bottom"/>
          </w:tcPr>
          <w:p>
            <w:pPr>
              <w:spacing w:after="0"/>
              <w:rPr>
                <w:sz w:val="1"/>
                <w:szCs w:val="1"/>
                <w:color w:val="auto"/>
              </w:rPr>
            </w:pPr>
          </w:p>
        </w:tc>
      </w:tr>
      <w:tr>
        <w:trPr>
          <w:trHeight w:val="64"/>
        </w:trPr>
        <w:tc>
          <w:tcPr>
            <w:tcW w:w="540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 at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12,904,640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w:t>
            </w:r>
          </w:p>
        </w:tc>
        <w:tc>
          <w:tcPr>
            <w:tcW w:w="0" w:type="dxa"/>
            <w:vAlign w:val="bottom"/>
          </w:tcPr>
          <w:p>
            <w:pPr>
              <w:spacing w:after="0"/>
              <w:rPr>
                <w:sz w:val="1"/>
                <w:szCs w:val="1"/>
                <w:color w:val="auto"/>
              </w:rPr>
            </w:pPr>
          </w:p>
        </w:tc>
      </w:tr>
      <w:tr>
        <w:trPr>
          <w:trHeight w:val="75"/>
        </w:trPr>
        <w:tc>
          <w:tcPr>
            <w:tcW w:w="54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40" w:hanging="135"/>
        <w:spacing w:after="0"/>
        <w:tabs>
          <w:tab w:leader="none" w:pos="140"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exercise prices relate to the equivalent price for an ordinary share, calculated as one eighth of the ADS price.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aggregate intrinsic value and cash receipts related to stock option exercise activity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78105</wp:posOffset>
            </wp:positionV>
            <wp:extent cx="1819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in thousands)</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04"/>
        </w:trPr>
        <w:tc>
          <w:tcPr>
            <w:tcW w:w="84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17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stock options exercised</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r>
      <w:tr>
        <w:trPr>
          <w:trHeight w:val="184"/>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receipts from stock options exercised</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r>
    </w:tbl>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Determining the fair value of share options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total fair values of the options, estimated using the Black-Scholes option-pricing model for equity-settled compensation, amounted to $13.2 million for options granted in the year ended December 31, 2023 and $5.9 million for instruments granted in the year ended December 31, 2022. The cost is amortized over the vesting period of the options on a straight-line basis using the graded-vesting method. The following assumptions were used for the Black-Scholes valuation of share options granted in 2023 and 2022.</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Expected volatility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Volatility is calculated using historical daily averages of the Company's share price over a period that is in line with the expected life of the options.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Fair value of ordinary shares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to delisting from the AIM in October 2020, the fair value of ordinary shares was based on the closing share price of the Company’s shares on AIM on the evening before the date of grant.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Subsequently, the fair value has been based on the closing price of ADSs traded on Nasdaq on the evening before the date of grant.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Risk-free interest rate</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Expected term</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the Company does not have sufficient history to estimate its expected term, the Company applied the simplified method of estimating the expected term of the options, as described in the SEC’s Staff Accounting Bulletins 107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5"/>
        <w:spacing w:after="0" w:line="271" w:lineRule="auto"/>
        <w:tabs>
          <w:tab w:leader="none" w:pos="28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calculated under the simplified method, is applied to all stock options which have similar contractual terms. Using this method, the expected term is determined using the average of the vesting period and the contractual life of the stock options granted.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Expected dividend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expected dividends.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weighted-average assumptions applicable to the share options granted in the applicable years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5"/>
          </w:tcPr>
          <w:p>
            <w:pPr>
              <w:jc w:val="right"/>
              <w:ind w:right="1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6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- 4.69%</w:t>
            </w:r>
          </w:p>
        </w:tc>
        <w:tc>
          <w:tcPr>
            <w:tcW w:w="10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 - 4.20%</w:t>
            </w:r>
          </w:p>
        </w:tc>
        <w:tc>
          <w:tcPr>
            <w:tcW w:w="0" w:type="dxa"/>
            <w:vAlign w:val="bottom"/>
          </w:tcPr>
          <w:p>
            <w:pPr>
              <w:spacing w:after="0"/>
              <w:rPr>
                <w:sz w:val="1"/>
                <w:szCs w:val="1"/>
                <w:color w:val="auto"/>
              </w:rPr>
            </w:pPr>
          </w:p>
        </w:tc>
      </w:tr>
      <w:tr>
        <w:trPr>
          <w:trHeight w:val="85"/>
        </w:trPr>
        <w:tc>
          <w:tcPr>
            <w:tcW w:w="69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lives, years</w:t>
            </w: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85"/>
        </w:trPr>
        <w:tc>
          <w:tcPr>
            <w:tcW w:w="6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 - 87.26%</w:t>
            </w:r>
          </w:p>
        </w:tc>
        <w:tc>
          <w:tcPr>
            <w:tcW w:w="10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 - 84.27%</w:t>
            </w:r>
          </w:p>
        </w:tc>
        <w:tc>
          <w:tcPr>
            <w:tcW w:w="0" w:type="dxa"/>
            <w:vAlign w:val="bottom"/>
          </w:tcPr>
          <w:p>
            <w:pPr>
              <w:spacing w:after="0"/>
              <w:rPr>
                <w:sz w:val="1"/>
                <w:szCs w:val="1"/>
                <w:color w:val="auto"/>
              </w:rPr>
            </w:pPr>
          </w:p>
        </w:tc>
      </w:tr>
      <w:tr>
        <w:trPr>
          <w:trHeight w:val="85"/>
        </w:trPr>
        <w:tc>
          <w:tcPr>
            <w:tcW w:w="69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 fair value (per share)</w:t>
            </w: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 $3.27</w:t>
            </w:r>
          </w:p>
        </w:tc>
        <w:tc>
          <w:tcPr>
            <w:tcW w:w="10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$0.34 - $1.33</w:t>
            </w:r>
          </w:p>
        </w:tc>
        <w:tc>
          <w:tcPr>
            <w:tcW w:w="0" w:type="dxa"/>
            <w:vAlign w:val="bottom"/>
          </w:tcPr>
          <w:p>
            <w:pPr>
              <w:spacing w:after="0"/>
              <w:rPr>
                <w:sz w:val="1"/>
                <w:szCs w:val="1"/>
                <w:color w:val="auto"/>
              </w:rPr>
            </w:pPr>
          </w:p>
        </w:tc>
      </w:tr>
      <w:tr>
        <w:trPr>
          <w:trHeight w:val="85"/>
        </w:trPr>
        <w:tc>
          <w:tcPr>
            <w:tcW w:w="69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 activity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RSU activity:</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27"/>
        </w:trPr>
        <w:tc>
          <w:tcPr>
            <w:tcW w:w="6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contractual term</w:t>
            </w:r>
          </w:p>
        </w:tc>
        <w:tc>
          <w:tcPr>
            <w:tcW w:w="0" w:type="dxa"/>
            <w:vAlign w:val="bottom"/>
          </w:tcPr>
          <w:p>
            <w:pPr>
              <w:spacing w:after="0"/>
              <w:rPr>
                <w:sz w:val="1"/>
                <w:szCs w:val="1"/>
                <w:color w:val="auto"/>
              </w:rPr>
            </w:pPr>
          </w:p>
        </w:tc>
      </w:tr>
      <w:tr>
        <w:trPr>
          <w:trHeight w:val="169"/>
        </w:trPr>
        <w:tc>
          <w:tcPr>
            <w:tcW w:w="69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Number of RSUs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25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January 1, 2022</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38,347,352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0.97</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85"/>
        </w:trPr>
        <w:tc>
          <w:tcPr>
            <w:tcW w:w="6940" w:type="dxa"/>
            <w:vAlign w:val="bottom"/>
            <w:shd w:val="clear" w:color="auto" w:fill="CCEEFF"/>
          </w:tcPr>
          <w:p>
            <w:pPr>
              <w:spacing w:after="0"/>
              <w:rPr>
                <w:sz w:val="7"/>
                <w:szCs w:val="7"/>
                <w:color w:val="auto"/>
              </w:rPr>
            </w:pPr>
          </w:p>
        </w:tc>
        <w:tc>
          <w:tcPr>
            <w:tcW w:w="1400" w:type="dxa"/>
            <w:vAlign w:val="bottom"/>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gridSpan w:val="2"/>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12,877,864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(1,006,264)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(15,676,608)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0.96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2022</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34,542,344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9"/>
        </w:trPr>
        <w:tc>
          <w:tcPr>
            <w:tcW w:w="6940" w:type="dxa"/>
            <w:vAlign w:val="bottom"/>
            <w:tcBorders>
              <w:bottom w:val="single" w:sz="8" w:color="CCEEFF"/>
            </w:tcBorders>
            <w:shd w:val="clear" w:color="auto" w:fill="CCEEFF"/>
          </w:tcPr>
          <w:p>
            <w:pPr>
              <w:spacing w:after="0"/>
              <w:rPr>
                <w:sz w:val="10"/>
                <w:szCs w:val="10"/>
                <w:color w:val="auto"/>
              </w:rPr>
            </w:pPr>
          </w:p>
        </w:tc>
        <w:tc>
          <w:tcPr>
            <w:tcW w:w="1400" w:type="dxa"/>
            <w:vAlign w:val="bottom"/>
            <w:tcBorders>
              <w:bottom w:val="single" w:sz="8" w:color="auto"/>
            </w:tcBorders>
            <w:gridSpan w:val="2"/>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gridSpan w:val="2"/>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940" w:type="dxa"/>
            <w:vAlign w:val="bottom"/>
            <w:tcBorders>
              <w:top w:val="single" w:sz="8" w:color="CCEEFF"/>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Borders>
              <w:top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3,596,872</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40"/>
              <w:spacing w:after="0" w:line="143"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(303,648)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(18,332,944)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0.99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19,502,624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89"/>
        </w:trPr>
        <w:tc>
          <w:tcPr>
            <w:tcW w:w="6940" w:type="dxa"/>
            <w:vAlign w:val="bottom"/>
            <w:tcBorders>
              <w:bottom w:val="single" w:sz="8" w:color="CCEEFF"/>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intrinsic value of RSUs that vested in the years ended December 31, 2023 and 2022, was $41.5 million and $14.3 million, respectively.</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December 31, 2023, total compensation cost related to share options and RSUs granted but not yet recognized was $20.0 million. This cost will be amortized to expense over a weighted average remaining period of 1.9 years and will be adjusted for subsequent forfeitures.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 (“PRSUs”)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Company began issuing PRSUs during 2023. PRSUs will begin to vest upon achievement of certain performance goals and are subject to continued service. The fair value of PRSUs will be recognized over the remaining service period using the graded-vesting method once the performance conditions are determined to be probable of occurring. Due to the presence of the performance conditions, which are not yet considered probable under the applicable accounting framework, the Company recognized no compensation expense for the PRSUs in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PRSU activity for the year ended December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6" w:name="page127"/>
    <w:bookmarkEnd w:id="126"/>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149"/>
        </w:trPr>
        <w:tc>
          <w:tcPr>
            <w:tcW w:w="6940" w:type="dxa"/>
            <w:vAlign w:val="bottom"/>
          </w:tcPr>
          <w:p>
            <w:pPr>
              <w:spacing w:after="0"/>
              <w:rPr>
                <w:sz w:val="12"/>
                <w:szCs w:val="12"/>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Number of PRSUs</w:t>
            </w:r>
          </w:p>
        </w:tc>
        <w:tc>
          <w:tcPr>
            <w:tcW w:w="10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240" w:type="dxa"/>
            <w:vAlign w:val="bottom"/>
          </w:tcPr>
          <w:p>
            <w:pPr>
              <w:spacing w:after="0"/>
              <w:rPr>
                <w:sz w:val="12"/>
                <w:szCs w:val="12"/>
                <w:color w:val="auto"/>
              </w:rPr>
            </w:pPr>
          </w:p>
        </w:tc>
        <w:tc>
          <w:tcPr>
            <w:tcW w:w="11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(thousands)</w:t>
            </w:r>
          </w:p>
        </w:tc>
      </w:tr>
      <w:tr>
        <w:trPr>
          <w:trHeight w:val="30"/>
        </w:trPr>
        <w:tc>
          <w:tcPr>
            <w:tcW w:w="69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January 1, 2023</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85"/>
        </w:trPr>
        <w:tc>
          <w:tcPr>
            <w:tcW w:w="69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r>
      <w:tr>
        <w:trPr>
          <w:trHeight w:val="245"/>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10,730,144</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21"/>
                <w:szCs w:val="21"/>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w:t>
            </w:r>
          </w:p>
        </w:tc>
      </w:tr>
      <w:tr>
        <w:trPr>
          <w:trHeight w:val="64"/>
        </w:trPr>
        <w:tc>
          <w:tcPr>
            <w:tcW w:w="694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total compensation cost not yet recognized as of December 31, 2023 related to non-vested PRSUs was $17.8 million, which will be recognized over a weighted-average period of approximately one year, once the performance condition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7" w:name="page128"/>
    <w:bookmarkEnd w:id="127"/>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Benefit plans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Company maintains a 401(k) defined contribution retirement plan in the U.S. and a defined contribution plan in the U.K. for its employees and executive directors. The assets of the plans are held separately from those of the Company in independently administered funds.</w:t>
      </w:r>
    </w:p>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retirement plan cost represents the contributions payable by the Company to the plans during the year. Defined contribution costs during the years ended December 31, 2023 and 2022 amounted to $0.6 million and $0.3 million,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Taxation</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Verona Pharma plc operates in the United Kingdom and Verona Pharma, Inc. in the United States and they are subject to income taxes in those countries. For the year ended December 31, 2023 the U.K. corporation tax is charged at 23.5% and the U.S. Federal Income tax rate is 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(profit)/loss before income taxes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5"/>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61,324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72,316</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53,895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68,448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components of income tax expense are as follows (in thousands):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gridSpan w:val="5"/>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5"/>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tax expense</w:t>
            </w:r>
          </w:p>
        </w:tc>
        <w:tc>
          <w:tcPr>
            <w:tcW w:w="800" w:type="dxa"/>
            <w:vAlign w:val="bottom"/>
            <w:tcBorders>
              <w:top w:val="single" w:sz="8" w:color="auto"/>
            </w:tcBorders>
            <w:vMerge w:val="restart"/>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84"/>
        </w:trPr>
        <w:tc>
          <w:tcPr>
            <w:tcW w:w="82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58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80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expense</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5"/>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income tax expense</w:t>
            </w:r>
          </w:p>
        </w:tc>
        <w:tc>
          <w:tcPr>
            <w:tcW w:w="80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69"/>
        </w:trPr>
        <w:tc>
          <w:tcPr>
            <w:tcW w:w="8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 reconciliation of the U.K. statutory income tax rate to our effective income tax rate is as follows (in percentages):</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gridSpan w:val="5"/>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tax rate</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incentive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options exercised</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tax valuation allowance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differences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income tax rate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8" w:name="page129"/>
    <w:bookmarkEnd w:id="128"/>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the Company’s deferred tax assets and liabilities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Contingent liability </w:t>
            </w:r>
            <w:r>
              <w:rPr>
                <w:rFonts w:ascii="Times New Roman" w:cs="Times New Roman" w:eastAsia="Times New Roman" w:hAnsi="Times New Roman"/>
                <w:sz w:val="18"/>
                <w:szCs w:val="18"/>
                <w:color w:val="auto"/>
                <w:vertAlign w:val="superscript"/>
              </w:rPr>
              <w:t>(1)</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(53,851)</w:t>
            </w:r>
          </w:p>
        </w:tc>
        <w:tc>
          <w:tcPr>
            <w:tcW w:w="120" w:type="dxa"/>
            <w:vAlign w:val="bottom"/>
          </w:tcPr>
          <w:p>
            <w:pPr>
              <w:spacing w:after="0"/>
              <w:rPr>
                <w:sz w:val="24"/>
                <w:szCs w:val="2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(34,565)</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(53,851)</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(34,565)</w:t>
            </w:r>
          </w:p>
        </w:tc>
        <w:tc>
          <w:tcPr>
            <w:tcW w:w="0" w:type="dxa"/>
            <w:vAlign w:val="bottom"/>
          </w:tcPr>
          <w:p>
            <w:pPr>
              <w:spacing w:after="0"/>
              <w:rPr>
                <w:sz w:val="1"/>
                <w:szCs w:val="1"/>
                <w:color w:val="auto"/>
              </w:rPr>
            </w:pPr>
          </w:p>
        </w:tc>
      </w:tr>
      <w:tr>
        <w:trPr>
          <w:trHeight w:val="150"/>
        </w:trPr>
        <w:tc>
          <w:tcPr>
            <w:tcW w:w="8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38,893</w:t>
            </w:r>
          </w:p>
        </w:tc>
        <w:tc>
          <w:tcPr>
            <w:tcW w:w="0" w:type="dxa"/>
            <w:vAlign w:val="bottom"/>
          </w:tcPr>
          <w:p>
            <w:pPr>
              <w:spacing w:after="0"/>
              <w:rPr>
                <w:sz w:val="1"/>
                <w:szCs w:val="1"/>
                <w:color w:val="auto"/>
              </w:rPr>
            </w:pPr>
          </w:p>
        </w:tc>
      </w:tr>
      <w:tr>
        <w:trPr>
          <w:trHeight w:val="3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IPR&amp;D asset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32,700</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exercisable shares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11,964</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83,041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(55,523)</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(48,476)</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 net of valuation allowance</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Movements in the deferred tax valuation allowance</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at January 1</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48,476</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30,252</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tax rates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valuation allowance</w:t>
            </w:r>
          </w:p>
        </w:tc>
        <w:tc>
          <w:tcPr>
            <w:tcW w:w="340" w:type="dxa"/>
            <w:vAlign w:val="bottom"/>
          </w:tcPr>
          <w:p>
            <w:pPr>
              <w:spacing w:after="0"/>
              <w:rPr>
                <w:sz w:val="23"/>
                <w:szCs w:val="2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18,224</w:t>
            </w:r>
          </w:p>
        </w:tc>
        <w:tc>
          <w:tcPr>
            <w:tcW w:w="0" w:type="dxa"/>
            <w:vAlign w:val="bottom"/>
          </w:tcPr>
          <w:p>
            <w:pPr>
              <w:spacing w:after="0"/>
              <w:rPr>
                <w:sz w:val="1"/>
                <w:szCs w:val="1"/>
                <w:color w:val="auto"/>
              </w:rPr>
            </w:pPr>
          </w:p>
        </w:tc>
      </w:tr>
      <w:tr>
        <w:trPr>
          <w:trHeight w:val="85"/>
        </w:trPr>
        <w:tc>
          <w:tcPr>
            <w:tcW w:w="84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at December 31</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55,523</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40" w:hanging="135"/>
        <w:spacing w:after="0"/>
        <w:tabs>
          <w:tab w:leader="none" w:pos="14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relate to the difference in the tax base of the IP R&amp;D asset and assumed contingent liability and the financial reporting base, which is nil under U.S. GAAP.</w:t>
      </w:r>
    </w:p>
    <w:p>
      <w:pPr>
        <w:spacing w:after="0" w:line="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December 31, 2023 and December 31, 2022, the Company had U.K. net operating losses (“NOLs”) of $216.0 million and $155.6 million, respectively.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files separate income tax returns in the U.K. and the U.S. All necessary income tax filings have been completed for all years up to and including December 31, 2022. The Company’s R&amp;D Tax Incentive Claim for the year ended December 31, 2022 is currently under routine review by HMRC. No material adjustments are expected to be made to the claimed amount as a result of this review. No interest or penalties were recognized in the Consolidated Statements of Operations and Comprehensive Loss or Consolidated Balance Sheets. As of December 31, 2023, the Company has no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ind w:left="5060"/>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Net loss per share</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Net loss per share is calculated on an ordinary share basis. The Company’s ADSs that are listed on the Nasdaq Global Market each represent eight ordinary shares. The following table shows the computation of basic and diluted earnings per share for 2023 and 2022 (in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Pr>
          <w:p>
            <w:pPr>
              <w:spacing w:after="0"/>
              <w:rPr>
                <w:sz w:val="12"/>
                <w:szCs w:val="12"/>
                <w:color w:val="auto"/>
              </w:rPr>
            </w:pP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(68,701)</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available to ordinary shareholders - basic and diluted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(68,701)</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634,142,660</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529,071,526</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years ended December 31, 2023 and 2022, outstanding share options, RSUs and PRSUs of 54.9 million and 53.8 million, respectively, were not included in the computation of diluted earnings per ordinary share, because to do so would be antidilutive.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Commitments and contingencies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the three months ended March 31, 2023, the Company accrued up to the maximum exposure of $6.9 million related to a matter with a supplier and also had certain invoices in the amount of $1.5 million in accounts payable to the same supplier. Both items were settled in June 2023 for $2.1 million. This resulted in a net reversal of $6.3 million in the three months ended June 30, 2023 and a net reversal of $1.5 million in the year ended December 31, 2023 in Research and development costs in the Consolidated Statement of Operations and Comprehensive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Related party transactions and other shareholder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years ended December 31, 2023 and 2022 there were no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F-27</w:t>
      </w:r>
    </w:p>
    <w:p>
      <w:pPr>
        <w:sectPr>
          <w:pgSz w:w="11900" w:h="16838" w:orient="portrait"/>
          <w:cols w:equalWidth="0" w:num="1">
            <w:col w:w="11280"/>
          </w:cols>
          <w:pgMar w:left="300" w:top="123" w:right="319" w:bottom="1440" w:gutter="0" w:footer="0" w:header="0"/>
        </w:sectPr>
      </w:pPr>
    </w:p>
    <w:bookmarkStart w:id="130" w:name="page131"/>
    <w:bookmarkEnd w:id="130"/>
    <w:p>
      <w:pPr>
        <w:spacing w:after="0" w:line="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DESCRIPTION OF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SHARE CAPITAL AND ARTICLES OF ASSOCIATION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Set forth below is a summary of certain information concerning the share capital of Verona Pharma plc (the “Company,” “we,” “us,” and “our”) as well as a description of certain</w:t>
      </w:r>
    </w:p>
    <w:p>
      <w:pPr>
        <w:ind w:right="180"/>
        <w:spacing w:after="0" w:line="210" w:lineRule="auto"/>
        <w:rPr>
          <w:sz w:val="20"/>
          <w:szCs w:val="20"/>
          <w:color w:val="auto"/>
        </w:rPr>
      </w:pPr>
      <w:r>
        <w:rPr>
          <w:rFonts w:ascii="Arial" w:cs="Arial" w:eastAsia="Arial" w:hAnsi="Arial"/>
          <w:sz w:val="14"/>
          <w:szCs w:val="14"/>
          <w:i w:val="1"/>
          <w:iCs w:val="1"/>
          <w:color w:val="auto"/>
        </w:rPr>
        <w:t>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the Company’s Annual Report on Form 10-K for the year ended December 31, 2023 (the “Annual Report”). The summary below does not purport to be complete and is qualified in its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entirety by reference to applicable English law and our articles of association, which have been publicly filed with the Securities and Exchange Commission.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as a public limited company with the legal name Isis Resources plc under the laws of England and Wales on February 24, 2005 with the company number</w:t>
      </w:r>
    </w:p>
    <w:p>
      <w:pPr>
        <w:spacing w:after="0" w:line="2" w:lineRule="exact"/>
        <w:rPr>
          <w:sz w:val="20"/>
          <w:szCs w:val="20"/>
          <w:color w:val="auto"/>
        </w:rPr>
      </w:pPr>
    </w:p>
    <w:p>
      <w:pPr>
        <w:ind w:right="240"/>
        <w:spacing w:after="0" w:line="222" w:lineRule="auto"/>
        <w:rPr>
          <w:sz w:val="20"/>
          <w:szCs w:val="20"/>
          <w:color w:val="auto"/>
        </w:rPr>
      </w:pPr>
      <w:r>
        <w:rPr>
          <w:rFonts w:ascii="Arial" w:cs="Arial" w:eastAsia="Arial" w:hAnsi="Arial"/>
          <w:sz w:val="14"/>
          <w:szCs w:val="14"/>
          <w:color w:val="auto"/>
        </w:rPr>
        <w:t>5375156. In September 2006, we acquired Rhinopharma Limited, a company incorporated under the laws of the province of British Columbia, Canada and changed our name to Verona Pharma plc. Our registered office is One Central Square, Cardiff, CF10 1FS, Wales. The principal legislation under which we operate and our shares are issued is the Companies Act 2006.</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Articles of Association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summary of relevant information concerning our share capital and material provisions of our Articles of Association and applicable UK law.</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Ordinary Shares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the Articles, the following summarizes the rights of holders of our ordinary shares:</w:t>
      </w:r>
    </w:p>
    <w:p>
      <w:pPr>
        <w:spacing w:after="0" w:line="158"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4"/>
          <w:szCs w:val="14"/>
          <w:color w:val="auto"/>
        </w:rPr>
        <w:t>each holder of our voting ordinary shares is entitled to one vote per ordinary share on all matters to be voted on by shareholders generally;</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4"/>
          <w:szCs w:val="14"/>
          <w:color w:val="auto"/>
        </w:rPr>
        <w:t>the holders of our voting ordinary shares shall be entitled to receive notice of, attend, speak and vote at our general meetings; and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4"/>
          <w:szCs w:val="14"/>
          <w:color w:val="auto"/>
        </w:rPr>
        <w:t>holders of our voting and non-voting ordinary shares are entitled to receive such dividends as are recommended by our directors and declared by our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Registered Shares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We are required by the Companies Act 2006 to keep a register of our shareholders. Under English law, the ordinary shares are deemed to be issued when the name of the</w:t>
      </w:r>
    </w:p>
    <w:p>
      <w:pPr>
        <w:spacing w:after="0" w:line="2"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133"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33"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Under the Companies Act 2006, we must enter an allotment of shares in our share register as soon as practicable and in any event within two months of the allotment. We also are required by the Companies</w:t>
      </w:r>
    </w:p>
    <w:p>
      <w:pPr>
        <w:sectPr>
          <w:pgSz w:w="11900" w:h="16838" w:orient="portrait"/>
          <w:cols w:equalWidth="0" w:num="1">
            <w:col w:w="11280"/>
          </w:cols>
          <w:pgMar w:left="300" w:top="1440" w:right="319" w:bottom="1440" w:gutter="0" w:footer="0" w:header="0"/>
        </w:sectPr>
      </w:pPr>
    </w:p>
    <w:bookmarkStart w:id="131" w:name="page132"/>
    <w:bookmarkEnd w:id="131"/>
    <w:p>
      <w:pPr>
        <w:spacing w:after="0" w:line="242" w:lineRule="auto"/>
        <w:rPr>
          <w:sz w:val="20"/>
          <w:szCs w:val="20"/>
          <w:color w:val="auto"/>
        </w:rPr>
      </w:pPr>
      <w:r>
        <w:rPr>
          <w:rFonts w:ascii="Arial" w:cs="Arial" w:eastAsia="Arial" w:hAnsi="Arial"/>
          <w:sz w:val="14"/>
          <w:szCs w:val="14"/>
          <w:color w:val="auto"/>
        </w:rPr>
        <w:t>Act 2006 to register a transfer of shares (or give the transferee notice of and reasons for refusal) as soon as practicable and in any event within two months of receiving notice of the transfer.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any of our shareholders or any other affected person may apply to the court for rectification of the share register if:</w:t>
      </w:r>
    </w:p>
    <w:p>
      <w:pPr>
        <w:spacing w:after="0" w:line="200" w:lineRule="exact"/>
        <w:rPr>
          <w:sz w:val="20"/>
          <w:szCs w:val="20"/>
          <w:color w:val="auto"/>
        </w:rPr>
      </w:pPr>
    </w:p>
    <w:p>
      <w:pPr>
        <w:spacing w:after="0" w:line="319" w:lineRule="exact"/>
        <w:rPr>
          <w:sz w:val="20"/>
          <w:szCs w:val="20"/>
          <w:color w:val="auto"/>
        </w:rPr>
      </w:pPr>
    </w:p>
    <w:p>
      <w:pPr>
        <w:ind w:left="500" w:hanging="240"/>
        <w:spacing w:after="0"/>
        <w:tabs>
          <w:tab w:leader="none" w:pos="50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4"/>
          <w:szCs w:val="14"/>
          <w:color w:val="auto"/>
        </w:rPr>
        <w:t>the name of any person, without sufficient cause, is wrongly entered in or omitted from our register of members; or</w:t>
      </w:r>
    </w:p>
    <w:p>
      <w:pPr>
        <w:spacing w:after="0" w:line="153" w:lineRule="exact"/>
        <w:rPr>
          <w:rFonts w:ascii="Times New Roman" w:cs="Times New Roman" w:eastAsia="Times New Roman" w:hAnsi="Times New Roman"/>
          <w:sz w:val="17"/>
          <w:szCs w:val="17"/>
          <w:color w:val="auto"/>
        </w:rPr>
      </w:pPr>
    </w:p>
    <w:p>
      <w:pPr>
        <w:ind w:left="520" w:right="380" w:hanging="260"/>
        <w:spacing w:after="0" w:line="225" w:lineRule="auto"/>
        <w:tabs>
          <w:tab w:leader="none" w:pos="516"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4"/>
          <w:szCs w:val="14"/>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Preemptive Rights</w:t>
      </w:r>
    </w:p>
    <w:p>
      <w:pPr>
        <w:spacing w:after="0" w:line="155" w:lineRule="exact"/>
        <w:rPr>
          <w:sz w:val="20"/>
          <w:szCs w:val="20"/>
          <w:color w:val="auto"/>
        </w:rPr>
      </w:pPr>
    </w:p>
    <w:p>
      <w:pPr>
        <w:ind w:right="60"/>
        <w:spacing w:after="0" w:line="217" w:lineRule="auto"/>
        <w:rPr>
          <w:sz w:val="20"/>
          <w:szCs w:val="20"/>
          <w:color w:val="auto"/>
        </w:rPr>
      </w:pPr>
      <w:r>
        <w:rPr>
          <w:rFonts w:ascii="Arial" w:cs="Arial" w:eastAsia="Arial" w:hAnsi="Arial"/>
          <w:sz w:val="14"/>
          <w:szCs w:val="14"/>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w:t>
      </w:r>
    </w:p>
    <w:p>
      <w:pPr>
        <w:spacing w:after="0" w:line="2" w:lineRule="exact"/>
        <w:rPr>
          <w:sz w:val="20"/>
          <w:szCs w:val="20"/>
          <w:color w:val="auto"/>
        </w:rPr>
      </w:pPr>
    </w:p>
    <w:p>
      <w:pPr>
        <w:ind w:right="660"/>
        <w:spacing w:after="0" w:line="231" w:lineRule="auto"/>
        <w:rPr>
          <w:sz w:val="20"/>
          <w:szCs w:val="20"/>
          <w:color w:val="auto"/>
        </w:rPr>
      </w:pPr>
      <w:r>
        <w:rPr>
          <w:rFonts w:ascii="Arial" w:cs="Arial" w:eastAsia="Arial" w:hAnsi="Arial"/>
          <w:sz w:val="14"/>
          <w:szCs w:val="14"/>
          <w:color w:val="auto"/>
        </w:rPr>
        <w:t>exclusion would need to be renewed by our shareholders upon its expiration (i.e., at least every five years). On April 27, 2023, our shareholders approved the exclusion of preemptive rights up to an aggregate nominal amount of £8,145,745 which shall expire on June 1, 2024 unless renewed, revoked or varied sooner.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and Rights Attaching to Them</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Objects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 objects of our company are unrestricted.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Rights</w:t>
      </w:r>
    </w:p>
    <w:p>
      <w:pPr>
        <w:spacing w:after="0" w:line="155" w:lineRule="exact"/>
        <w:rPr>
          <w:sz w:val="20"/>
          <w:szCs w:val="20"/>
          <w:color w:val="auto"/>
        </w:rPr>
      </w:pPr>
    </w:p>
    <w:p>
      <w:pPr>
        <w:ind w:right="620"/>
        <w:spacing w:after="0" w:line="242" w:lineRule="auto"/>
        <w:rPr>
          <w:sz w:val="20"/>
          <w:szCs w:val="20"/>
          <w:color w:val="auto"/>
        </w:rPr>
      </w:pPr>
      <w:r>
        <w:rPr>
          <w:rFonts w:ascii="Arial" w:cs="Arial" w:eastAsia="Arial" w:hAnsi="Arial"/>
          <w:sz w:val="14"/>
          <w:szCs w:val="14"/>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55" w:lineRule="exact"/>
        <w:rPr>
          <w:sz w:val="20"/>
          <w:szCs w:val="20"/>
          <w:color w:val="auto"/>
        </w:rPr>
      </w:pPr>
    </w:p>
    <w:p>
      <w:pPr>
        <w:ind w:right="500"/>
        <w:spacing w:after="0" w:line="242" w:lineRule="auto"/>
        <w:rPr>
          <w:sz w:val="20"/>
          <w:szCs w:val="20"/>
          <w:color w:val="auto"/>
        </w:rPr>
      </w:pPr>
      <w:r>
        <w:rPr>
          <w:rFonts w:ascii="Arial" w:cs="Arial" w:eastAsia="Arial" w:hAnsi="Arial"/>
          <w:sz w:val="14"/>
          <w:szCs w:val="14"/>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142" w:lineRule="exact"/>
        <w:rPr>
          <w:sz w:val="20"/>
          <w:szCs w:val="20"/>
          <w:color w:val="auto"/>
        </w:rPr>
      </w:pPr>
    </w:p>
    <w:p>
      <w:pPr>
        <w:ind w:left="520" w:right="260" w:hanging="260"/>
        <w:spacing w:after="0" w:line="225" w:lineRule="auto"/>
        <w:tabs>
          <w:tab w:leader="none" w:pos="516"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4"/>
          <w:szCs w:val="14"/>
          <w:color w:val="auto"/>
        </w:rPr>
        <w:t>on a show of hands, every shareholder who (being an individual) is present in person and (being a corporation) is present by a duly authorized representative shall have one vote;</w:t>
      </w:r>
    </w:p>
    <w:p>
      <w:pPr>
        <w:spacing w:after="0" w:line="153" w:lineRule="exact"/>
        <w:rPr>
          <w:rFonts w:ascii="Times New Roman" w:cs="Times New Roman" w:eastAsia="Times New Roman" w:hAnsi="Times New Roman"/>
          <w:sz w:val="17"/>
          <w:szCs w:val="17"/>
          <w:color w:val="auto"/>
        </w:rPr>
      </w:pPr>
    </w:p>
    <w:p>
      <w:pPr>
        <w:ind w:left="520" w:right="220" w:hanging="260"/>
        <w:spacing w:after="0" w:line="225" w:lineRule="auto"/>
        <w:tabs>
          <w:tab w:leader="none" w:pos="516"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4"/>
          <w:szCs w:val="14"/>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43" w:lineRule="exact"/>
        <w:rPr>
          <w:rFonts w:ascii="Times New Roman" w:cs="Times New Roman" w:eastAsia="Times New Roman" w:hAnsi="Times New Roman"/>
          <w:sz w:val="17"/>
          <w:szCs w:val="17"/>
          <w:color w:val="auto"/>
        </w:rPr>
      </w:pPr>
    </w:p>
    <w:p>
      <w:pPr>
        <w:ind w:left="520" w:right="220" w:hanging="260"/>
        <w:spacing w:after="0" w:line="219" w:lineRule="auto"/>
        <w:tabs>
          <w:tab w:leader="none" w:pos="516"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4"/>
          <w:szCs w:val="14"/>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w:t>
      </w:r>
    </w:p>
    <w:p>
      <w:pPr>
        <w:sectPr>
          <w:pgSz w:w="11900" w:h="16838" w:orient="portrait"/>
          <w:cols w:equalWidth="0" w:num="1">
            <w:col w:w="11280"/>
          </w:cols>
          <w:pgMar w:left="300" w:top="1302" w:right="319" w:bottom="1440" w:gutter="0" w:footer="0" w:header="0"/>
        </w:sectPr>
      </w:pPr>
    </w:p>
    <w:bookmarkStart w:id="132" w:name="page133"/>
    <w:bookmarkEnd w:id="132"/>
    <w:p>
      <w:pPr>
        <w:ind w:left="520" w:right="160"/>
        <w:spacing w:after="0" w:line="242" w:lineRule="auto"/>
        <w:rPr>
          <w:sz w:val="20"/>
          <w:szCs w:val="20"/>
          <w:color w:val="auto"/>
        </w:rPr>
      </w:pPr>
      <w:r>
        <w:rPr>
          <w:rFonts w:ascii="Arial" w:cs="Arial" w:eastAsia="Arial" w:hAnsi="Arial"/>
          <w:sz w:val="14"/>
          <w:szCs w:val="14"/>
          <w:color w:val="auto"/>
        </w:rPr>
        <w:t>been instructed by one or more of those shareholders to vote against the resolution and has been given any discretion by one or more other of those shareholders to vote and the proxy exercises that discretion to vote for it; and</w:t>
      </w:r>
    </w:p>
    <w:p>
      <w:pPr>
        <w:spacing w:after="0" w:line="143" w:lineRule="exact"/>
        <w:rPr>
          <w:sz w:val="20"/>
          <w:szCs w:val="20"/>
          <w:color w:val="auto"/>
        </w:rPr>
      </w:pPr>
    </w:p>
    <w:p>
      <w:pPr>
        <w:ind w:left="500" w:hanging="240"/>
        <w:spacing w:after="0"/>
        <w:tabs>
          <w:tab w:leader="none" w:pos="50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4"/>
          <w:szCs w:val="14"/>
          <w:color w:val="auto"/>
        </w:rPr>
        <w:t>on a poll every shareholder who is present in person or by proxy shall have one vote for each share of which he is the holder.</w:t>
      </w:r>
    </w:p>
    <w:p>
      <w:pPr>
        <w:spacing w:after="0" w:line="132"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133" w:lineRule="exact"/>
        <w:rPr>
          <w:sz w:val="20"/>
          <w:szCs w:val="20"/>
          <w:color w:val="auto"/>
        </w:rPr>
      </w:pPr>
    </w:p>
    <w:p>
      <w:pPr>
        <w:ind w:left="500" w:hanging="240"/>
        <w:spacing w:after="0"/>
        <w:tabs>
          <w:tab w:leader="none" w:pos="50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4"/>
          <w:szCs w:val="14"/>
          <w:color w:val="auto"/>
        </w:rPr>
        <w:t>the chairman of the meeting;</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4"/>
          <w:szCs w:val="14"/>
          <w:color w:val="auto"/>
        </w:rPr>
        <w:t>at least five shareholders present in person or by proxy and entitled to vote;</w:t>
      </w:r>
    </w:p>
    <w:p>
      <w:pPr>
        <w:spacing w:after="0" w:line="153" w:lineRule="exact"/>
        <w:rPr>
          <w:rFonts w:ascii="Times New Roman" w:cs="Times New Roman" w:eastAsia="Times New Roman" w:hAnsi="Times New Roman"/>
          <w:sz w:val="17"/>
          <w:szCs w:val="17"/>
          <w:color w:val="auto"/>
        </w:rPr>
      </w:pPr>
    </w:p>
    <w:p>
      <w:pPr>
        <w:ind w:left="520" w:right="220" w:hanging="260"/>
        <w:spacing w:after="0" w:line="225" w:lineRule="auto"/>
        <w:tabs>
          <w:tab w:leader="none" w:pos="516"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4"/>
          <w:szCs w:val="14"/>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153" w:lineRule="exact"/>
        <w:rPr>
          <w:rFonts w:ascii="Times New Roman" w:cs="Times New Roman" w:eastAsia="Times New Roman" w:hAnsi="Times New Roman"/>
          <w:sz w:val="17"/>
          <w:szCs w:val="17"/>
          <w:color w:val="auto"/>
        </w:rPr>
      </w:pPr>
    </w:p>
    <w:p>
      <w:pPr>
        <w:ind w:left="520" w:right="360" w:hanging="260"/>
        <w:spacing w:after="0" w:line="225" w:lineRule="auto"/>
        <w:tabs>
          <w:tab w:leader="none" w:pos="516"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4"/>
          <w:szCs w:val="14"/>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Restrictions on Voting</w:t>
      </w:r>
    </w:p>
    <w:p>
      <w:pPr>
        <w:spacing w:after="0" w:line="145"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110"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No holders of non-voting ordinary shares shall be entitled to receive notice of, attend or vote at any general meeting.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We may by ordinary resolution of shareholders declare dividends out of profits available for distribution in accordance with the respective rights of shareholders but no such dividend</w:t>
      </w:r>
    </w:p>
    <w:p>
      <w:pPr>
        <w:spacing w:after="0" w:line="2" w:lineRule="exact"/>
        <w:rPr>
          <w:sz w:val="20"/>
          <w:szCs w:val="20"/>
          <w:color w:val="auto"/>
        </w:rPr>
      </w:pPr>
    </w:p>
    <w:p>
      <w:pPr>
        <w:ind w:right="100"/>
        <w:spacing w:after="0" w:line="222" w:lineRule="auto"/>
        <w:rPr>
          <w:sz w:val="20"/>
          <w:szCs w:val="20"/>
          <w:color w:val="auto"/>
        </w:rPr>
      </w:pPr>
      <w:r>
        <w:rPr>
          <w:rFonts w:ascii="Arial" w:cs="Arial" w:eastAsia="Arial" w:hAnsi="Arial"/>
          <w:sz w:val="14"/>
          <w:szCs w:val="14"/>
          <w:color w:val="auto"/>
        </w:rPr>
        <w:t>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33" w:lineRule="exact"/>
        <w:rPr>
          <w:sz w:val="20"/>
          <w:szCs w:val="20"/>
          <w:color w:val="auto"/>
        </w:rPr>
      </w:pPr>
    </w:p>
    <w:p>
      <w:pPr>
        <w:ind w:right="240"/>
        <w:spacing w:after="0" w:line="242" w:lineRule="auto"/>
        <w:rPr>
          <w:sz w:val="20"/>
          <w:szCs w:val="20"/>
          <w:color w:val="auto"/>
        </w:rPr>
      </w:pPr>
      <w:r>
        <w:rPr>
          <w:rFonts w:ascii="Arial" w:cs="Arial" w:eastAsia="Arial" w:hAnsi="Arial"/>
          <w:sz w:val="14"/>
          <w:szCs w:val="14"/>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21"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110"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Dividends may be declared or paid in any currency and the board may decide the rate of exchange for any currency conversions that may be required, and how any costs involved are to be met, in relation to the currency of any dividend.</w:t>
      </w:r>
    </w:p>
    <w:p>
      <w:pPr>
        <w:sectPr>
          <w:pgSz w:w="11900" w:h="16838" w:orient="portrait"/>
          <w:cols w:equalWidth="0" w:num="1">
            <w:col w:w="11280"/>
          </w:cols>
          <w:pgMar w:left="300" w:top="1302" w:right="319" w:bottom="1440" w:gutter="0" w:footer="0" w:header="0"/>
        </w:sectPr>
      </w:pPr>
    </w:p>
    <w:bookmarkStart w:id="133" w:name="page134"/>
    <w:bookmarkEnd w:id="133"/>
    <w:p>
      <w:pPr>
        <w:ind w:right="40"/>
        <w:spacing w:after="0" w:line="223" w:lineRule="auto"/>
        <w:rPr>
          <w:sz w:val="20"/>
          <w:szCs w:val="20"/>
          <w:color w:val="auto"/>
        </w:rPr>
      </w:pPr>
      <w:r>
        <w:rPr>
          <w:rFonts w:ascii="Arial" w:cs="Arial" w:eastAsia="Arial" w:hAnsi="Arial"/>
          <w:sz w:val="14"/>
          <w:szCs w:val="14"/>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w:t>
      </w:r>
    </w:p>
    <w:p>
      <w:pPr>
        <w:spacing w:after="0" w:line="1"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22"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No shareholder shall be entitled to receive any dividend or other distribution in respect of any share held by him unless all calls or other sums payable by him in respect of that share have been paid.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There is no specific provision in our articles of association that would have the effect of delaying, deferring or preventing a change of control.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Distributions on Winding Up</w:t>
      </w:r>
    </w:p>
    <w:p>
      <w:pPr>
        <w:spacing w:after="0" w:line="145"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w:t>
      </w:r>
    </w:p>
    <w:p>
      <w:pPr>
        <w:spacing w:after="0" w:line="1" w:lineRule="exact"/>
        <w:rPr>
          <w:sz w:val="20"/>
          <w:szCs w:val="20"/>
          <w:color w:val="auto"/>
        </w:rPr>
      </w:pPr>
    </w:p>
    <w:p>
      <w:pPr>
        <w:ind w:right="120"/>
        <w:spacing w:after="0" w:line="210" w:lineRule="auto"/>
        <w:rPr>
          <w:sz w:val="20"/>
          <w:szCs w:val="20"/>
          <w:color w:val="auto"/>
        </w:rPr>
      </w:pPr>
      <w:r>
        <w:rPr>
          <w:rFonts w:ascii="Arial" w:cs="Arial" w:eastAsia="Arial" w:hAnsi="Arial"/>
          <w:sz w:val="14"/>
          <w:szCs w:val="14"/>
          <w:color w:val="auto"/>
        </w:rPr>
        <w:t>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shareholder shall be compelled to accept any shares or other assets upon which there is any liability or potential liability.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Variation of Rights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All or any of the rights and restrictions attached to any class of shares issued may be altered, added to or revoked with the consent in writing of the holders of not less than three-</w:t>
      </w:r>
    </w:p>
    <w:p>
      <w:pPr>
        <w:spacing w:after="0" w:line="2" w:lineRule="exact"/>
        <w:rPr>
          <w:sz w:val="20"/>
          <w:szCs w:val="20"/>
          <w:color w:val="auto"/>
        </w:rPr>
      </w:pPr>
    </w:p>
    <w:p>
      <w:pPr>
        <w:ind w:right="100"/>
        <w:spacing w:after="0" w:line="210" w:lineRule="auto"/>
        <w:rPr>
          <w:sz w:val="20"/>
          <w:szCs w:val="20"/>
          <w:color w:val="auto"/>
        </w:rPr>
      </w:pPr>
      <w:r>
        <w:rPr>
          <w:rFonts w:ascii="Arial" w:cs="Arial" w:eastAsia="Arial" w:hAnsi="Arial"/>
          <w:sz w:val="14"/>
          <w:szCs w:val="14"/>
          <w:color w:val="auto"/>
        </w:rPr>
        <w:t>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cancelled, the variation shall have no effect unless and until it is confirmed by the court.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Alteration to Share Capital</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We may, by ordinary resolution of shareholders, consolidate and divide all or any of our share capital into shares of larger amount than our existing shares, or sub-divide our shares</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14"/>
          <w:szCs w:val="14"/>
          <w:color w:val="auto"/>
        </w:rPr>
        <w:t>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Preemption Rights</w:t>
      </w:r>
    </w:p>
    <w:p>
      <w:pPr>
        <w:spacing w:after="0" w:line="145" w:lineRule="exact"/>
        <w:rPr>
          <w:sz w:val="20"/>
          <w:szCs w:val="20"/>
          <w:color w:val="auto"/>
        </w:rPr>
      </w:pPr>
    </w:p>
    <w:p>
      <w:pPr>
        <w:ind w:right="560"/>
        <w:spacing w:after="0" w:line="242" w:lineRule="auto"/>
        <w:rPr>
          <w:sz w:val="20"/>
          <w:szCs w:val="20"/>
          <w:color w:val="auto"/>
        </w:rPr>
      </w:pPr>
      <w:r>
        <w:rPr>
          <w:rFonts w:ascii="Arial" w:cs="Arial" w:eastAsia="Arial" w:hAnsi="Arial"/>
          <w:sz w:val="14"/>
          <w:szCs w:val="14"/>
          <w:color w:val="auto"/>
        </w:rPr>
        <w:t>In certain circumstances, our shareholders may have statutory preemption rights under the Companies Act 2006 in respect of the allotment of new shares as described in "-Preemptive Rights" and "- Differences in Corporate Law - Preemptive Rights" below.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 of Shares</w:t>
      </w:r>
    </w:p>
    <w:p>
      <w:pPr>
        <w:spacing w:after="0" w:line="14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ectPr>
          <w:pgSz w:w="11900" w:h="16838" w:orient="portrait"/>
          <w:cols w:equalWidth="0" w:num="1">
            <w:col w:w="11280"/>
          </w:cols>
          <w:pgMar w:left="300" w:top="1302" w:right="319" w:bottom="1440" w:gutter="0" w:footer="0" w:header="0"/>
        </w:sectPr>
      </w:pPr>
    </w:p>
    <w:bookmarkStart w:id="134" w:name="page135"/>
    <w:bookmarkEnd w:id="134"/>
    <w:p>
      <w:pPr>
        <w:ind w:right="280"/>
        <w:spacing w:after="0" w:line="223" w:lineRule="auto"/>
        <w:rPr>
          <w:sz w:val="20"/>
          <w:szCs w:val="20"/>
          <w:color w:val="auto"/>
        </w:rPr>
      </w:pPr>
      <w:r>
        <w:rPr>
          <w:rFonts w:ascii="Arial" w:cs="Arial" w:eastAsia="Arial" w:hAnsi="Arial"/>
          <w:sz w:val="14"/>
          <w:szCs w:val="14"/>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computer-based system.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board may decline to register any transfer of any share:</w:t>
      </w:r>
    </w:p>
    <w:p>
      <w:pPr>
        <w:spacing w:after="0" w:line="349" w:lineRule="exact"/>
        <w:rPr>
          <w:sz w:val="20"/>
          <w:szCs w:val="20"/>
          <w:color w:val="auto"/>
        </w:rPr>
      </w:pPr>
    </w:p>
    <w:p>
      <w:pPr>
        <w:ind w:left="500" w:hanging="243"/>
        <w:spacing w:after="0"/>
        <w:tabs>
          <w:tab w:leader="none" w:pos="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which is not a fully paid share;</w:t>
      </w:r>
    </w:p>
    <w:p>
      <w:pPr>
        <w:spacing w:after="0" w:line="144" w:lineRule="exact"/>
        <w:rPr>
          <w:rFonts w:ascii="Times New Roman" w:cs="Times New Roman" w:eastAsia="Times New Roman" w:hAnsi="Times New Roman"/>
          <w:sz w:val="17"/>
          <w:szCs w:val="17"/>
          <w:color w:val="auto"/>
        </w:rPr>
      </w:pPr>
    </w:p>
    <w:p>
      <w:pPr>
        <w:ind w:left="500" w:hanging="243"/>
        <w:spacing w:after="0"/>
        <w:tabs>
          <w:tab w:leader="none" w:pos="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to a person known to be a minor, bankrupt or person who is mentally disordered or a patient for the purpose of any statute relating to mental health;</w:t>
      </w:r>
    </w:p>
    <w:p>
      <w:pPr>
        <w:spacing w:after="0" w:line="144" w:lineRule="exact"/>
        <w:rPr>
          <w:rFonts w:ascii="Times New Roman" w:cs="Times New Roman" w:eastAsia="Times New Roman" w:hAnsi="Times New Roman"/>
          <w:sz w:val="17"/>
          <w:szCs w:val="17"/>
          <w:color w:val="auto"/>
        </w:rPr>
      </w:pPr>
    </w:p>
    <w:p>
      <w:pPr>
        <w:ind w:left="500" w:hanging="243"/>
        <w:spacing w:after="0"/>
        <w:tabs>
          <w:tab w:leader="none" w:pos="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to an entity which is not a natural or legal person;</w:t>
      </w:r>
    </w:p>
    <w:p>
      <w:pPr>
        <w:spacing w:after="0" w:line="153" w:lineRule="exact"/>
        <w:rPr>
          <w:rFonts w:ascii="Times New Roman" w:cs="Times New Roman" w:eastAsia="Times New Roman" w:hAnsi="Times New Roman"/>
          <w:sz w:val="17"/>
          <w:szCs w:val="17"/>
          <w:color w:val="auto"/>
        </w:rPr>
      </w:pPr>
    </w:p>
    <w:p>
      <w:pPr>
        <w:ind w:left="500" w:right="380" w:hanging="243"/>
        <w:spacing w:after="0" w:line="225" w:lineRule="auto"/>
        <w:tabs>
          <w:tab w:leader="none" w:pos="498"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unless any written instrument of transfer, duly stamped, is lodged with us at our registered office or such other place as the board may appoint accompanied by the certificate for the shares to which it relates;</w:t>
      </w:r>
    </w:p>
    <w:p>
      <w:pPr>
        <w:spacing w:after="0" w:line="153" w:lineRule="exact"/>
        <w:rPr>
          <w:rFonts w:ascii="Times New Roman" w:cs="Times New Roman" w:eastAsia="Times New Roman" w:hAnsi="Times New Roman"/>
          <w:sz w:val="17"/>
          <w:szCs w:val="17"/>
          <w:color w:val="auto"/>
        </w:rPr>
      </w:pPr>
    </w:p>
    <w:p>
      <w:pPr>
        <w:ind w:left="500" w:right="220" w:hanging="243"/>
        <w:spacing w:after="0" w:line="225" w:lineRule="auto"/>
        <w:tabs>
          <w:tab w:leader="none" w:pos="498"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133" w:lineRule="exact"/>
        <w:rPr>
          <w:rFonts w:ascii="Times New Roman" w:cs="Times New Roman" w:eastAsia="Times New Roman" w:hAnsi="Times New Roman"/>
          <w:sz w:val="17"/>
          <w:szCs w:val="17"/>
          <w:color w:val="auto"/>
        </w:rPr>
      </w:pPr>
    </w:p>
    <w:p>
      <w:pPr>
        <w:ind w:left="500" w:hanging="243"/>
        <w:spacing w:after="0"/>
        <w:tabs>
          <w:tab w:leader="none" w:pos="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where the transfer is in respect of more than one class of share; and</w:t>
      </w:r>
    </w:p>
    <w:p>
      <w:pPr>
        <w:spacing w:after="0" w:line="144" w:lineRule="exact"/>
        <w:rPr>
          <w:rFonts w:ascii="Times New Roman" w:cs="Times New Roman" w:eastAsia="Times New Roman" w:hAnsi="Times New Roman"/>
          <w:sz w:val="17"/>
          <w:szCs w:val="17"/>
          <w:color w:val="auto"/>
        </w:rPr>
      </w:pPr>
    </w:p>
    <w:p>
      <w:pPr>
        <w:ind w:left="500" w:hanging="243"/>
        <w:spacing w:after="0"/>
        <w:tabs>
          <w:tab w:leader="none" w:pos="5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4"/>
          <w:szCs w:val="14"/>
          <w:color w:val="auto"/>
        </w:rPr>
        <w:t>in the case of a transfer to joint holders, the number of joint holders to whom the share is to be transferred exceeds four.</w:t>
      </w:r>
    </w:p>
    <w:p>
      <w:pPr>
        <w:spacing w:after="0" w:line="200" w:lineRule="exact"/>
        <w:rPr>
          <w:sz w:val="20"/>
          <w:szCs w:val="20"/>
          <w:color w:val="auto"/>
        </w:rPr>
      </w:pPr>
    </w:p>
    <w:p>
      <w:pPr>
        <w:spacing w:after="0" w:line="29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 Meetings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Annual General Meetings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the Companies Act 2006, we are required in each year to hold an annual general meeting in addition to any other general meetings in that year and to specify</w:t>
      </w:r>
    </w:p>
    <w:p>
      <w:pPr>
        <w:spacing w:after="0" w:line="2"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The arrangements for the calling of general meetings are described in "- Differences in Corporate Law - Notice of General Meetings" below.</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Quorum of General Meetings</w:t>
      </w:r>
    </w:p>
    <w:p>
      <w:pPr>
        <w:spacing w:after="0" w:line="145" w:lineRule="exact"/>
        <w:rPr>
          <w:sz w:val="20"/>
          <w:szCs w:val="20"/>
          <w:color w:val="auto"/>
        </w:rPr>
      </w:pPr>
    </w:p>
    <w:p>
      <w:pPr>
        <w:ind w:right="200"/>
        <w:spacing w:after="0" w:line="223" w:lineRule="auto"/>
        <w:rPr>
          <w:sz w:val="20"/>
          <w:szCs w:val="20"/>
          <w:color w:val="auto"/>
        </w:rPr>
      </w:pPr>
      <w:r>
        <w:rPr>
          <w:rFonts w:ascii="Arial" w:cs="Arial" w:eastAsia="Arial" w:hAnsi="Arial"/>
          <w:sz w:val="14"/>
          <w:szCs w:val="14"/>
          <w:color w:val="auto"/>
        </w:rPr>
        <w:t>No business shall be transacted at any general meeting unless a quorum is present. At least two shareholders present in person or by proxy and entitled to vote, holding or representing at least 33 1/3% of the issued and outstanding shares of the Company’s ordinary voting shares present at such general meeting in person or by proxy, shall be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quorum for all purposes.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Class Meetings</w:t>
      </w:r>
    </w:p>
    <w:p>
      <w:pPr>
        <w:sectPr>
          <w:pgSz w:w="11900" w:h="16838" w:orient="portrait"/>
          <w:cols w:equalWidth="0" w:num="1">
            <w:col w:w="11060"/>
          </w:cols>
          <w:pgMar w:left="300" w:top="1302" w:right="5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The provisions in the Articles of Association relating to general meetings apply to every separate general meeting of the holders of a class of shares except that:</w:t>
      </w:r>
    </w:p>
    <w:p>
      <w:pPr>
        <w:spacing w:after="0" w:line="168" w:lineRule="exact"/>
        <w:rPr>
          <w:sz w:val="20"/>
          <w:szCs w:val="20"/>
          <w:color w:val="auto"/>
        </w:rPr>
      </w:pPr>
    </w:p>
    <w:p>
      <w:pPr>
        <w:ind w:left="520" w:right="580" w:hanging="260"/>
        <w:spacing w:after="0" w:line="225" w:lineRule="auto"/>
        <w:tabs>
          <w:tab w:leader="none" w:pos="516"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4"/>
          <w:szCs w:val="14"/>
          <w:color w:val="auto"/>
        </w:rPr>
        <w:t>the quorum for such class meeting shall be two holders in person or by proxy representing not less than 33 1/3% in nominal value of the issued shares of the class (excluding any shares held in treasury);</w:t>
      </w:r>
    </w:p>
    <w:p>
      <w:pPr>
        <w:spacing w:after="0" w:line="153" w:lineRule="exact"/>
        <w:rPr>
          <w:rFonts w:ascii="Times New Roman" w:cs="Times New Roman" w:eastAsia="Times New Roman" w:hAnsi="Times New Roman"/>
          <w:sz w:val="17"/>
          <w:szCs w:val="17"/>
          <w:color w:val="auto"/>
        </w:rPr>
      </w:pPr>
    </w:p>
    <w:p>
      <w:pPr>
        <w:ind w:left="520" w:right="60" w:hanging="260"/>
        <w:spacing w:after="0" w:line="225" w:lineRule="auto"/>
        <w:tabs>
          <w:tab w:leader="none" w:pos="516"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4"/>
          <w:szCs w:val="14"/>
          <w:color w:val="auto"/>
        </w:rPr>
        <w:t>at the class meeting, a holder of shares of the class present in person or by proxy may demand a poll and shall on a poll be entitled to one vote for every share of the class held by him; and</w:t>
      </w:r>
    </w:p>
    <w:p>
      <w:pPr>
        <w:spacing w:after="0" w:line="143" w:lineRule="exact"/>
        <w:rPr>
          <w:rFonts w:ascii="Times New Roman" w:cs="Times New Roman" w:eastAsia="Times New Roman" w:hAnsi="Times New Roman"/>
          <w:sz w:val="17"/>
          <w:szCs w:val="17"/>
          <w:color w:val="auto"/>
        </w:rPr>
      </w:pPr>
    </w:p>
    <w:p>
      <w:pPr>
        <w:ind w:left="520" w:right="60" w:hanging="260"/>
        <w:spacing w:after="0" w:line="225" w:lineRule="auto"/>
        <w:tabs>
          <w:tab w:leader="none" w:pos="516"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4"/>
          <w:szCs w:val="14"/>
          <w:color w:val="auto"/>
        </w:rPr>
        <w:t>at the class meeting, a holder of shares of the class present in person or by proxy may demand a poll and shall on a poll be entitled to one vote for every share of the class held by him; and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Number of Directors</w:t>
      </w:r>
    </w:p>
    <w:p>
      <w:pPr>
        <w:spacing w:after="0" w:line="145"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We may not have less than two directors on the board of directors. We may, by ordinary resolution of the shareholders, vary the minimum and maximum number of directors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Appointment of Directors</w:t>
      </w:r>
    </w:p>
    <w:p>
      <w:pPr>
        <w:spacing w:after="0" w:line="145"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Subject to the provisions of the Articles of Association,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than 21 days before the day of the appointment in order to be eligible for election.</w:t>
      </w:r>
    </w:p>
    <w:p>
      <w:pPr>
        <w:spacing w:after="0" w:line="133" w:lineRule="exact"/>
        <w:rPr>
          <w:sz w:val="20"/>
          <w:szCs w:val="20"/>
          <w:color w:val="auto"/>
        </w:rPr>
      </w:pPr>
    </w:p>
    <w:p>
      <w:pPr>
        <w:ind w:right="240"/>
        <w:spacing w:after="0" w:line="223" w:lineRule="auto"/>
        <w:rPr>
          <w:sz w:val="20"/>
          <w:szCs w:val="20"/>
          <w:color w:val="auto"/>
        </w:rPr>
      </w:pPr>
      <w:r>
        <w:rPr>
          <w:rFonts w:ascii="Arial" w:cs="Arial" w:eastAsia="Arial" w:hAnsi="Arial"/>
          <w:sz w:val="14"/>
          <w:szCs w:val="14"/>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Association.</w:t>
      </w:r>
    </w:p>
    <w:p>
      <w:pPr>
        <w:spacing w:after="0" w:line="133"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by rotation at such meeting.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Rotation of Directors</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At every annual general meeting, one-third of the directors or, if their number is not a multiple of three, then the number nearest to and not exceeding one-third, shall retire from office.</w:t>
      </w:r>
    </w:p>
    <w:p>
      <w:pPr>
        <w:spacing w:after="0" w:line="110" w:lineRule="exact"/>
        <w:rPr>
          <w:sz w:val="20"/>
          <w:szCs w:val="20"/>
          <w:color w:val="auto"/>
        </w:rPr>
      </w:pPr>
    </w:p>
    <w:p>
      <w:pPr>
        <w:ind w:right="460"/>
        <w:spacing w:after="0" w:line="242" w:lineRule="auto"/>
        <w:rPr>
          <w:sz w:val="20"/>
          <w:szCs w:val="20"/>
          <w:color w:val="auto"/>
        </w:rPr>
      </w:pPr>
      <w:r>
        <w:rPr>
          <w:rFonts w:ascii="Arial" w:cs="Arial" w:eastAsia="Arial" w:hAnsi="Arial"/>
          <w:sz w:val="14"/>
          <w:szCs w:val="14"/>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 director who retires at the annual general meeting shall be eligible for re-election.</w:t>
      </w:r>
    </w:p>
    <w:p>
      <w:pPr>
        <w:spacing w:after="0" w:line="147" w:lineRule="exact"/>
        <w:rPr>
          <w:sz w:val="20"/>
          <w:szCs w:val="20"/>
          <w:color w:val="auto"/>
        </w:rPr>
      </w:pPr>
    </w:p>
    <w:p>
      <w:pPr>
        <w:ind w:right="200"/>
        <w:spacing w:after="0" w:line="223" w:lineRule="auto"/>
        <w:rPr>
          <w:sz w:val="20"/>
          <w:szCs w:val="20"/>
          <w:color w:val="auto"/>
        </w:rPr>
      </w:pPr>
      <w:r>
        <w:rPr>
          <w:rFonts w:ascii="Arial" w:cs="Arial" w:eastAsia="Arial" w:hAnsi="Arial"/>
          <w:sz w:val="14"/>
          <w:szCs w:val="14"/>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been put to the meeting and lost.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Interests</w:t>
      </w:r>
    </w:p>
    <w:p>
      <w:pPr>
        <w:spacing w:after="0" w:line="145"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w:t>
      </w:r>
    </w:p>
    <w:p>
      <w:pPr>
        <w:sectPr>
          <w:pgSz w:w="11900" w:h="16838" w:orient="portrait"/>
          <w:cols w:equalWidth="0" w:num="1">
            <w:col w:w="11240"/>
          </w:cols>
          <w:pgMar w:left="300" w:top="1302" w:right="359" w:bottom="1440" w:gutter="0" w:footer="0" w:header="0"/>
        </w:sectPr>
      </w:pPr>
    </w:p>
    <w:bookmarkStart w:id="136" w:name="page137"/>
    <w:bookmarkEnd w:id="136"/>
    <w:p>
      <w:pPr>
        <w:ind w:right="200"/>
        <w:spacing w:after="0" w:line="242" w:lineRule="auto"/>
        <w:rPr>
          <w:sz w:val="20"/>
          <w:szCs w:val="20"/>
          <w:color w:val="auto"/>
        </w:rPr>
      </w:pPr>
      <w:r>
        <w:rPr>
          <w:rFonts w:ascii="Arial" w:cs="Arial" w:eastAsia="Arial" w:hAnsi="Arial"/>
          <w:sz w:val="14"/>
          <w:szCs w:val="14"/>
          <w:color w:val="auto"/>
        </w:rPr>
        <w:t>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32" w:lineRule="exact"/>
        <w:rPr>
          <w:sz w:val="20"/>
          <w:szCs w:val="20"/>
          <w:color w:val="auto"/>
        </w:rPr>
      </w:pPr>
    </w:p>
    <w:p>
      <w:pPr>
        <w:ind w:right="460"/>
        <w:spacing w:after="0" w:line="242" w:lineRule="auto"/>
        <w:rPr>
          <w:sz w:val="20"/>
          <w:szCs w:val="20"/>
          <w:color w:val="auto"/>
        </w:rPr>
      </w:pPr>
      <w:r>
        <w:rPr>
          <w:rFonts w:ascii="Arial" w:cs="Arial" w:eastAsia="Arial" w:hAnsi="Arial"/>
          <w:sz w:val="14"/>
          <w:szCs w:val="14"/>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In the case of interests arising where a director is in any way, directly or indirectly, interested in (a) a proposed transaction or arrangement with us or (b) a transaction or</w:t>
      </w:r>
    </w:p>
    <w:p>
      <w:pPr>
        <w:spacing w:after="0" w:line="2" w:lineRule="exact"/>
        <w:rPr>
          <w:sz w:val="20"/>
          <w:szCs w:val="20"/>
          <w:color w:val="auto"/>
        </w:rPr>
      </w:pPr>
    </w:p>
    <w:p>
      <w:pPr>
        <w:ind w:right="40"/>
        <w:spacing w:after="0" w:line="222" w:lineRule="auto"/>
        <w:rPr>
          <w:sz w:val="20"/>
          <w:szCs w:val="20"/>
          <w:color w:val="auto"/>
        </w:rPr>
      </w:pPr>
      <w:r>
        <w:rPr>
          <w:rFonts w:ascii="Arial" w:cs="Arial" w:eastAsia="Arial" w:hAnsi="Arial"/>
          <w:sz w:val="14"/>
          <w:szCs w:val="14"/>
          <w:color w:val="auto"/>
        </w:rPr>
        <w:t>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155" w:lineRule="exact"/>
        <w:rPr>
          <w:sz w:val="20"/>
          <w:szCs w:val="20"/>
          <w:color w:val="auto"/>
        </w:rPr>
      </w:pPr>
    </w:p>
    <w:p>
      <w:pPr>
        <w:ind w:left="520" w:right="160" w:hanging="260"/>
        <w:spacing w:after="0" w:line="225"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143" w:lineRule="exact"/>
        <w:rPr>
          <w:rFonts w:ascii="Times New Roman" w:cs="Times New Roman" w:eastAsia="Times New Roman" w:hAnsi="Times New Roman"/>
          <w:sz w:val="17"/>
          <w:szCs w:val="17"/>
          <w:color w:val="auto"/>
        </w:rPr>
      </w:pPr>
    </w:p>
    <w:p>
      <w:pPr>
        <w:ind w:left="520" w:right="320" w:hanging="260"/>
        <w:spacing w:after="0" w:line="225"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143" w:lineRule="exact"/>
        <w:rPr>
          <w:rFonts w:ascii="Times New Roman" w:cs="Times New Roman" w:eastAsia="Times New Roman" w:hAnsi="Times New Roman"/>
          <w:sz w:val="17"/>
          <w:szCs w:val="17"/>
          <w:color w:val="auto"/>
        </w:rPr>
      </w:pPr>
    </w:p>
    <w:p>
      <w:pPr>
        <w:ind w:left="520" w:right="80" w:hanging="260"/>
        <w:spacing w:after="0" w:line="225"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53" w:lineRule="exact"/>
        <w:rPr>
          <w:rFonts w:ascii="Times New Roman" w:cs="Times New Roman" w:eastAsia="Times New Roman" w:hAnsi="Times New Roman"/>
          <w:sz w:val="17"/>
          <w:szCs w:val="17"/>
          <w:color w:val="auto"/>
        </w:rPr>
      </w:pPr>
    </w:p>
    <w:p>
      <w:pPr>
        <w:ind w:left="520" w:right="100" w:hanging="260"/>
        <w:spacing w:after="0" w:line="219"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shareholders of such company;</w:t>
      </w:r>
    </w:p>
    <w:p>
      <w:pPr>
        <w:spacing w:after="0" w:line="143" w:lineRule="exact"/>
        <w:rPr>
          <w:rFonts w:ascii="Times New Roman" w:cs="Times New Roman" w:eastAsia="Times New Roman" w:hAnsi="Times New Roman"/>
          <w:sz w:val="17"/>
          <w:szCs w:val="17"/>
          <w:color w:val="auto"/>
        </w:rPr>
      </w:pPr>
    </w:p>
    <w:p>
      <w:pPr>
        <w:ind w:left="520" w:right="160" w:hanging="260"/>
        <w:spacing w:after="0" w:line="225"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53" w:lineRule="exact"/>
        <w:rPr>
          <w:rFonts w:ascii="Times New Roman" w:cs="Times New Roman" w:eastAsia="Times New Roman" w:hAnsi="Times New Roman"/>
          <w:sz w:val="17"/>
          <w:szCs w:val="17"/>
          <w:color w:val="auto"/>
        </w:rPr>
      </w:pPr>
    </w:p>
    <w:p>
      <w:pPr>
        <w:ind w:left="520" w:hanging="260"/>
        <w:spacing w:after="0" w:line="219"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43" w:lineRule="exact"/>
        <w:rPr>
          <w:rFonts w:ascii="Times New Roman" w:cs="Times New Roman" w:eastAsia="Times New Roman" w:hAnsi="Times New Roman"/>
          <w:sz w:val="17"/>
          <w:szCs w:val="17"/>
          <w:color w:val="auto"/>
        </w:rPr>
      </w:pPr>
    </w:p>
    <w:p>
      <w:pPr>
        <w:ind w:left="520" w:right="100" w:hanging="260"/>
        <w:spacing w:after="0" w:line="225" w:lineRule="auto"/>
        <w:tabs>
          <w:tab w:leader="none" w:pos="516"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4"/>
          <w:szCs w:val="14"/>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 director shall not be counted in the quorum present at a meeting in relation to a resolution on which he is not entitled to vote.</w:t>
      </w:r>
    </w:p>
    <w:p>
      <w:pPr>
        <w:spacing w:after="0" w:line="147"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w:t>
      </w:r>
    </w:p>
    <w:p>
      <w:pPr>
        <w:sectPr>
          <w:pgSz w:w="11900" w:h="16838" w:orient="portrait"/>
          <w:cols w:equalWidth="0" w:num="1">
            <w:col w:w="11280"/>
          </w:cols>
          <w:pgMar w:left="300" w:top="1302" w:right="319" w:bottom="1440" w:gutter="0" w:footer="0" w:header="0"/>
        </w:sectPr>
      </w:pPr>
    </w:p>
    <w:bookmarkStart w:id="137" w:name="page138"/>
    <w:bookmarkEnd w:id="137"/>
    <w:p>
      <w:pPr>
        <w:spacing w:after="0" w:line="242" w:lineRule="auto"/>
        <w:rPr>
          <w:sz w:val="20"/>
          <w:szCs w:val="20"/>
          <w:color w:val="auto"/>
        </w:rPr>
      </w:pPr>
      <w:r>
        <w:rPr>
          <w:rFonts w:ascii="Arial" w:cs="Arial" w:eastAsia="Arial" w:hAnsi="Arial"/>
          <w:sz w:val="14"/>
          <w:szCs w:val="14"/>
          <w:color w:val="auto"/>
        </w:rPr>
        <w:t>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Fees and Remuneration</w:t>
      </w:r>
    </w:p>
    <w:p>
      <w:pPr>
        <w:spacing w:after="0" w:line="145" w:lineRule="exact"/>
        <w:rPr>
          <w:sz w:val="20"/>
          <w:szCs w:val="20"/>
          <w:color w:val="auto"/>
        </w:rPr>
      </w:pPr>
    </w:p>
    <w:p>
      <w:pPr>
        <w:ind w:right="240"/>
        <w:spacing w:after="0" w:line="223" w:lineRule="auto"/>
        <w:rPr>
          <w:sz w:val="20"/>
          <w:szCs w:val="20"/>
          <w:color w:val="auto"/>
        </w:rPr>
      </w:pPr>
      <w:r>
        <w:rPr>
          <w:rFonts w:ascii="Arial" w:cs="Arial" w:eastAsia="Arial" w:hAnsi="Arial"/>
          <w:sz w:val="14"/>
          <w:szCs w:val="14"/>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ordinary resolution of shareholders.</w:t>
      </w:r>
    </w:p>
    <w:p>
      <w:pPr>
        <w:spacing w:after="0" w:line="133" w:lineRule="exact"/>
        <w:rPr>
          <w:sz w:val="20"/>
          <w:szCs w:val="20"/>
          <w:color w:val="auto"/>
        </w:rPr>
      </w:pPr>
    </w:p>
    <w:p>
      <w:pPr>
        <w:ind w:right="140"/>
        <w:spacing w:after="0" w:line="223" w:lineRule="auto"/>
        <w:rPr>
          <w:sz w:val="20"/>
          <w:szCs w:val="20"/>
          <w:color w:val="auto"/>
        </w:rPr>
      </w:pPr>
      <w:r>
        <w:rPr>
          <w:rFonts w:ascii="Arial" w:cs="Arial" w:eastAsia="Arial" w:hAnsi="Arial"/>
          <w:sz w:val="14"/>
          <w:szCs w:val="14"/>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duties as a director. Any director who, by request, performs special or extra services which in the opinion of the board go beyond the ordinary duties of a director may be paid such extra remuneration as the board may determine.</w:t>
      </w:r>
    </w:p>
    <w:p>
      <w:pPr>
        <w:spacing w:after="0" w:line="122" w:lineRule="exact"/>
        <w:rPr>
          <w:sz w:val="20"/>
          <w:szCs w:val="20"/>
          <w:color w:val="auto"/>
        </w:rPr>
      </w:pPr>
    </w:p>
    <w:p>
      <w:pPr>
        <w:ind w:right="700"/>
        <w:spacing w:after="0" w:line="466" w:lineRule="auto"/>
        <w:rPr>
          <w:sz w:val="20"/>
          <w:szCs w:val="20"/>
          <w:color w:val="auto"/>
        </w:rPr>
      </w:pPr>
      <w:r>
        <w:rPr>
          <w:rFonts w:ascii="Arial" w:cs="Arial" w:eastAsia="Arial" w:hAnsi="Arial"/>
          <w:sz w:val="14"/>
          <w:szCs w:val="14"/>
          <w:color w:val="auto"/>
        </w:rPr>
        <w:t xml:space="preserve">An executive director shall receive such remuneration as the board may determine, and either in addition to or in lieu of his remuneration as a director as detailed above. </w:t>
      </w:r>
      <w:r>
        <w:rPr>
          <w:rFonts w:ascii="Arial" w:cs="Arial" w:eastAsia="Arial" w:hAnsi="Arial"/>
          <w:sz w:val="14"/>
          <w:szCs w:val="14"/>
          <w:i w:val="1"/>
          <w:iCs w:val="1"/>
          <w:color w:val="auto"/>
        </w:rPr>
        <w:t>Borrowing Powers</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Indemnity</w:t>
      </w:r>
    </w:p>
    <w:p>
      <w:pPr>
        <w:spacing w:after="0" w:line="145" w:lineRule="exact"/>
        <w:rPr>
          <w:sz w:val="20"/>
          <w:szCs w:val="20"/>
          <w:color w:val="auto"/>
        </w:rPr>
      </w:pPr>
    </w:p>
    <w:p>
      <w:pPr>
        <w:ind w:right="120"/>
        <w:spacing w:after="0" w:line="223" w:lineRule="auto"/>
        <w:rPr>
          <w:sz w:val="20"/>
          <w:szCs w:val="20"/>
          <w:color w:val="auto"/>
        </w:rPr>
      </w:pPr>
      <w:r>
        <w:rPr>
          <w:rFonts w:ascii="Arial" w:cs="Arial" w:eastAsia="Arial" w:hAnsi="Arial"/>
          <w:sz w:val="14"/>
          <w:szCs w:val="14"/>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purported exercise of his powers or otherwise in relation to such members of our group.</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U.K. Law Considerations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Mandatory Purchases and Acquisitions</w:t>
      </w:r>
    </w:p>
    <w:p>
      <w:pPr>
        <w:spacing w:after="0" w:line="155"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w:t>
      </w:r>
    </w:p>
    <w:p>
      <w:pPr>
        <w:spacing w:after="0" w:line="2" w:lineRule="exact"/>
        <w:rPr>
          <w:sz w:val="20"/>
          <w:szCs w:val="20"/>
          <w:color w:val="auto"/>
        </w:rPr>
      </w:pPr>
    </w:p>
    <w:p>
      <w:pPr>
        <w:ind w:right="120"/>
        <w:spacing w:after="0" w:line="210" w:lineRule="auto"/>
        <w:rPr>
          <w:sz w:val="20"/>
          <w:szCs w:val="20"/>
          <w:color w:val="auto"/>
        </w:rPr>
      </w:pPr>
      <w:r>
        <w:rPr>
          <w:rFonts w:ascii="Arial" w:cs="Arial" w:eastAsia="Arial" w:hAnsi="Arial"/>
          <w:sz w:val="14"/>
          <w:szCs w:val="14"/>
          <w:color w:val="auto"/>
        </w:rPr>
        <w:t>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w:t>
      </w:r>
    </w:p>
    <w:p>
      <w:pPr>
        <w:spacing w:after="0" w:line="2" w:lineRule="exact"/>
        <w:rPr>
          <w:sz w:val="20"/>
          <w:szCs w:val="20"/>
          <w:color w:val="auto"/>
        </w:rPr>
      </w:pPr>
    </w:p>
    <w:p>
      <w:pPr>
        <w:ind w:right="120"/>
        <w:spacing w:after="0" w:line="222" w:lineRule="auto"/>
        <w:rPr>
          <w:sz w:val="20"/>
          <w:szCs w:val="20"/>
          <w:color w:val="auto"/>
        </w:rPr>
      </w:pPr>
      <w:r>
        <w:rPr>
          <w:rFonts w:ascii="Arial" w:cs="Arial" w:eastAsia="Arial" w:hAnsi="Arial"/>
          <w:sz w:val="14"/>
          <w:szCs w:val="14"/>
          <w:color w:val="auto"/>
        </w:rPr>
        <w:t>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 Out</w:t>
      </w:r>
    </w:p>
    <w:p>
      <w:pPr>
        <w:spacing w:after="0" w:line="145"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The Companies Act 2006 also gives our minority shareholders a right to be bought out in certain circumstances by an offeror who has made a takeover offer for all of our shares. The holder of shares to</w:t>
      </w:r>
    </w:p>
    <w:p>
      <w:pPr>
        <w:sectPr>
          <w:pgSz w:w="11900" w:h="16838" w:orient="portrait"/>
          <w:cols w:equalWidth="0" w:num="1">
            <w:col w:w="11240"/>
          </w:cols>
          <w:pgMar w:left="300" w:top="1302" w:right="359" w:bottom="1440" w:gutter="0" w:footer="0" w:header="0"/>
        </w:sectPr>
      </w:pPr>
    </w:p>
    <w:bookmarkStart w:id="138" w:name="page139"/>
    <w:bookmarkEnd w:id="138"/>
    <w:p>
      <w:pPr>
        <w:ind w:right="80"/>
        <w:spacing w:after="0" w:line="223" w:lineRule="auto"/>
        <w:rPr>
          <w:sz w:val="20"/>
          <w:szCs w:val="20"/>
          <w:color w:val="auto"/>
        </w:rPr>
      </w:pPr>
      <w:r>
        <w:rPr>
          <w:rFonts w:ascii="Arial" w:cs="Arial" w:eastAsia="Arial" w:hAnsi="Arial"/>
          <w:sz w:val="14"/>
          <w:szCs w:val="14"/>
          <w:color w:val="auto"/>
        </w:rPr>
        <w:t>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Disclosure of Interest in Shares</w:t>
      </w:r>
    </w:p>
    <w:p>
      <w:pPr>
        <w:spacing w:after="0" w:line="155"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3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42" w:lineRule="exact"/>
        <w:rPr>
          <w:sz w:val="20"/>
          <w:szCs w:val="20"/>
          <w:color w:val="auto"/>
        </w:rPr>
      </w:pPr>
    </w:p>
    <w:p>
      <w:pPr>
        <w:ind w:left="520" w:right="120" w:hanging="260"/>
        <w:spacing w:after="0" w:line="225" w:lineRule="auto"/>
        <w:tabs>
          <w:tab w:leader="none" w:pos="516"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4"/>
          <w:szCs w:val="14"/>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53" w:lineRule="exact"/>
        <w:rPr>
          <w:rFonts w:ascii="Times New Roman" w:cs="Times New Roman" w:eastAsia="Times New Roman" w:hAnsi="Times New Roman"/>
          <w:sz w:val="17"/>
          <w:szCs w:val="17"/>
          <w:color w:val="auto"/>
        </w:rPr>
      </w:pPr>
    </w:p>
    <w:p>
      <w:pPr>
        <w:ind w:left="520" w:right="20" w:hanging="260"/>
        <w:spacing w:after="0" w:line="219" w:lineRule="auto"/>
        <w:tabs>
          <w:tab w:leader="none" w:pos="516"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4"/>
          <w:szCs w:val="14"/>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43" w:lineRule="exact"/>
        <w:rPr>
          <w:rFonts w:ascii="Times New Roman" w:cs="Times New Roman" w:eastAsia="Times New Roman" w:hAnsi="Times New Roman"/>
          <w:sz w:val="17"/>
          <w:szCs w:val="17"/>
          <w:color w:val="auto"/>
        </w:rPr>
      </w:pPr>
    </w:p>
    <w:p>
      <w:pPr>
        <w:ind w:left="520" w:right="120" w:hanging="260"/>
        <w:spacing w:after="0" w:line="219" w:lineRule="auto"/>
        <w:tabs>
          <w:tab w:leader="none" w:pos="516"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4"/>
          <w:szCs w:val="14"/>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of Own Shares</w:t>
      </w:r>
    </w:p>
    <w:p>
      <w:pPr>
        <w:spacing w:after="0" w:line="155" w:lineRule="exact"/>
        <w:rPr>
          <w:sz w:val="20"/>
          <w:szCs w:val="20"/>
          <w:color w:val="auto"/>
        </w:rPr>
      </w:pPr>
    </w:p>
    <w:p>
      <w:pPr>
        <w:ind w:right="240"/>
        <w:spacing w:after="0" w:line="217" w:lineRule="auto"/>
        <w:rPr>
          <w:sz w:val="20"/>
          <w:szCs w:val="20"/>
          <w:color w:val="auto"/>
        </w:rPr>
      </w:pPr>
      <w:r>
        <w:rPr>
          <w:rFonts w:ascii="Arial" w:cs="Arial" w:eastAsia="Arial" w:hAnsi="Arial"/>
          <w:sz w:val="14"/>
          <w:szCs w:val="14"/>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repurchased.</w:t>
      </w:r>
    </w:p>
    <w:p>
      <w:pPr>
        <w:spacing w:after="0" w:line="133" w:lineRule="exact"/>
        <w:rPr>
          <w:sz w:val="20"/>
          <w:szCs w:val="20"/>
          <w:color w:val="auto"/>
        </w:rPr>
      </w:pPr>
    </w:p>
    <w:p>
      <w:pPr>
        <w:ind w:right="300"/>
        <w:spacing w:after="0" w:line="242" w:lineRule="auto"/>
        <w:rPr>
          <w:sz w:val="20"/>
          <w:szCs w:val="20"/>
          <w:color w:val="auto"/>
        </w:rPr>
      </w:pPr>
      <w:r>
        <w:rPr>
          <w:rFonts w:ascii="Arial" w:cs="Arial" w:eastAsia="Arial" w:hAnsi="Arial"/>
          <w:sz w:val="14"/>
          <w:szCs w:val="14"/>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43" w:lineRule="exact"/>
        <w:rPr>
          <w:sz w:val="20"/>
          <w:szCs w:val="20"/>
          <w:color w:val="auto"/>
        </w:rPr>
      </w:pPr>
    </w:p>
    <w:p>
      <w:pPr>
        <w:ind w:left="500" w:hanging="240"/>
        <w:spacing w:after="0"/>
        <w:tabs>
          <w:tab w:leader="none" w:pos="50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4"/>
          <w:szCs w:val="14"/>
          <w:color w:val="auto"/>
        </w:rPr>
        <w:t>specify the maximum number of shares authorized to be acquired;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4"/>
          <w:szCs w:val="14"/>
          <w:color w:val="auto"/>
        </w:rPr>
        <w:t>determine the maximum and minimum prices that may be paid for the shares; and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4"/>
          <w:szCs w:val="14"/>
          <w:color w:val="auto"/>
        </w:rPr>
        <w:t>specify a date, not being later than five years after the passing of the resolution, on which the authority to purchase is to expire.</w:t>
      </w:r>
    </w:p>
    <w:p>
      <w:pPr>
        <w:sectPr>
          <w:pgSz w:w="11900" w:h="16838" w:orient="portrait"/>
          <w:cols w:equalWidth="0" w:num="1">
            <w:col w:w="11240"/>
          </w:cols>
          <w:pgMar w:left="300" w:top="1302" w:right="359" w:bottom="1440" w:gutter="0" w:footer="0" w:header="0"/>
        </w:sectPr>
      </w:pPr>
    </w:p>
    <w:bookmarkStart w:id="139" w:name="page140"/>
    <w:bookmarkEnd w:id="139"/>
    <w:p>
      <w:pPr>
        <w:ind w:right="40"/>
        <w:spacing w:after="0" w:line="223" w:lineRule="auto"/>
        <w:rPr>
          <w:sz w:val="20"/>
          <w:szCs w:val="20"/>
          <w:color w:val="auto"/>
        </w:rPr>
      </w:pPr>
      <w:r>
        <w:rPr>
          <w:rFonts w:ascii="Arial" w:cs="Arial" w:eastAsia="Arial" w:hAnsi="Arial"/>
          <w:sz w:val="14"/>
          <w:szCs w:val="14"/>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w:t>
      </w:r>
    </w:p>
    <w:p>
      <w:pPr>
        <w:spacing w:after="0" w:line="1"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been passed if he had not done so. The resolution authorizing the purchase must specify a date, not being later than five years after the passing of the resolution, on which the authority to purchase is to expire.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Distributions and Dividends</w:t>
      </w:r>
    </w:p>
    <w:p>
      <w:pPr>
        <w:spacing w:after="0" w:line="155" w:lineRule="exact"/>
        <w:rPr>
          <w:sz w:val="20"/>
          <w:szCs w:val="20"/>
          <w:color w:val="auto"/>
        </w:rPr>
      </w:pPr>
    </w:p>
    <w:p>
      <w:pPr>
        <w:ind w:right="120"/>
        <w:spacing w:after="0" w:line="217" w:lineRule="auto"/>
        <w:rPr>
          <w:sz w:val="20"/>
          <w:szCs w:val="20"/>
          <w:color w:val="auto"/>
        </w:rPr>
      </w:pPr>
      <w:r>
        <w:rPr>
          <w:rFonts w:ascii="Arial" w:cs="Arial" w:eastAsia="Arial" w:hAnsi="Arial"/>
          <w:sz w:val="14"/>
          <w:szCs w:val="14"/>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sufficient distributable reserves before a distribution or dividend can be paid applies to us and to each of our subsidiaries that has been incorporated under English law.</w:t>
      </w:r>
    </w:p>
    <w:p>
      <w:pPr>
        <w:spacing w:after="0" w:line="133"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53" w:lineRule="exact"/>
        <w:rPr>
          <w:sz w:val="20"/>
          <w:szCs w:val="20"/>
          <w:color w:val="auto"/>
        </w:rPr>
      </w:pPr>
    </w:p>
    <w:p>
      <w:pPr>
        <w:ind w:left="520" w:hanging="260"/>
        <w:spacing w:after="0" w:line="225" w:lineRule="auto"/>
        <w:tabs>
          <w:tab w:leader="none" w:pos="516"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4"/>
          <w:szCs w:val="14"/>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3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4"/>
          <w:szCs w:val="14"/>
          <w:color w:val="auto"/>
        </w:rPr>
        <w:t>if, and to the extent that, the distribution itself, at the time that it is made, does not reduce the amount of the net assets to less than that total.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Takeovers and Mergers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Following our delisting from AIM, the U.K. Panel on Takeovers and Mergers has confirmed to us that the U.K. City Code on Takeovers and Mergers or the Code will not apply to us.</w:t>
      </w:r>
    </w:p>
    <w:p>
      <w:pPr>
        <w:spacing w:after="0" w:line="2" w:lineRule="exact"/>
        <w:rPr>
          <w:sz w:val="20"/>
          <w:szCs w:val="20"/>
          <w:color w:val="auto"/>
        </w:rPr>
      </w:pPr>
    </w:p>
    <w:p>
      <w:pPr>
        <w:jc w:val="both"/>
        <w:ind w:right="220"/>
        <w:spacing w:after="0" w:line="222" w:lineRule="auto"/>
        <w:rPr>
          <w:sz w:val="20"/>
          <w:szCs w:val="20"/>
          <w:color w:val="auto"/>
        </w:rPr>
      </w:pPr>
      <w:r>
        <w:rPr>
          <w:rFonts w:ascii="Arial" w:cs="Arial" w:eastAsia="Arial" w:hAnsi="Arial"/>
          <w:sz w:val="14"/>
          <w:szCs w:val="14"/>
          <w:color w:val="auto"/>
        </w:rPr>
        <w:t>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Differences in Corporate Law</w:t>
      </w:r>
    </w:p>
    <w:p>
      <w:pPr>
        <w:spacing w:after="0" w:line="149" w:lineRule="exact"/>
        <w:rPr>
          <w:sz w:val="20"/>
          <w:szCs w:val="20"/>
          <w:color w:val="auto"/>
        </w:rPr>
      </w:pPr>
    </w:p>
    <w:p>
      <w:pPr>
        <w:ind w:right="100"/>
        <w:spacing w:after="0" w:line="222" w:lineRule="auto"/>
        <w:rPr>
          <w:sz w:val="20"/>
          <w:szCs w:val="20"/>
          <w:color w:val="auto"/>
        </w:rPr>
      </w:pPr>
      <w:r>
        <w:rPr>
          <w:rFonts w:ascii="Arial" w:cs="Arial" w:eastAsia="Arial" w:hAnsi="Arial"/>
          <w:sz w:val="14"/>
          <w:szCs w:val="14"/>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is not intended to be a complete discussion of the respective rights and it is qualified in its entirety by reference to Delaware law and English law.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396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England and Wales</w:t>
            </w:r>
          </w:p>
        </w:tc>
        <w:tc>
          <w:tcPr>
            <w:tcW w:w="414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Delaware</w:t>
            </w:r>
          </w:p>
        </w:tc>
      </w:tr>
      <w:tr>
        <w:trPr>
          <w:trHeight w:val="182"/>
        </w:trPr>
        <w:tc>
          <w:tcPr>
            <w:tcW w:w="2260" w:type="dxa"/>
            <w:vAlign w:val="bottom"/>
          </w:tcPr>
          <w:p>
            <w:pPr>
              <w:spacing w:after="0"/>
              <w:rPr>
                <w:sz w:val="20"/>
                <w:szCs w:val="20"/>
                <w:color w:val="auto"/>
              </w:rPr>
            </w:pPr>
            <w:r>
              <w:rPr>
                <w:rFonts w:ascii="Arial" w:cs="Arial" w:eastAsia="Arial" w:hAnsi="Arial"/>
                <w:sz w:val="13"/>
                <w:szCs w:val="13"/>
                <w:color w:val="auto"/>
              </w:rPr>
              <w:t>Number of Directors</w:t>
            </w:r>
          </w:p>
        </w:tc>
        <w:tc>
          <w:tcPr>
            <w:tcW w:w="8100" w:type="dxa"/>
            <w:vAlign w:val="bottom"/>
            <w:gridSpan w:val="2"/>
          </w:tcPr>
          <w:p>
            <w:pPr>
              <w:ind w:left="20"/>
              <w:spacing w:after="0"/>
              <w:rPr>
                <w:sz w:val="20"/>
                <w:szCs w:val="20"/>
                <w:color w:val="auto"/>
              </w:rPr>
            </w:pPr>
            <w:r>
              <w:rPr>
                <w:rFonts w:ascii="Arial" w:cs="Arial" w:eastAsia="Arial" w:hAnsi="Arial"/>
                <w:sz w:val="13"/>
                <w:szCs w:val="13"/>
                <w:color w:val="auto"/>
                <w:w w:val="98"/>
              </w:rPr>
              <w:t>Under the Companies Act 2006, a public limited company must have at Under Delaware law, a corporation must have at least one director and</w:t>
            </w:r>
          </w:p>
        </w:tc>
      </w:tr>
      <w:tr>
        <w:trPr>
          <w:trHeight w:val="127"/>
        </w:trPr>
        <w:tc>
          <w:tcPr>
            <w:tcW w:w="2260" w:type="dxa"/>
            <w:vAlign w:val="bottom"/>
          </w:tcPr>
          <w:p>
            <w:pPr>
              <w:spacing w:after="0"/>
              <w:rPr>
                <w:sz w:val="11"/>
                <w:szCs w:val="11"/>
                <w:color w:val="auto"/>
              </w:rPr>
            </w:pPr>
          </w:p>
        </w:tc>
        <w:tc>
          <w:tcPr>
            <w:tcW w:w="3960" w:type="dxa"/>
            <w:vAlign w:val="bottom"/>
          </w:tcPr>
          <w:p>
            <w:pPr>
              <w:ind w:left="20"/>
              <w:spacing w:after="0" w:line="128" w:lineRule="exact"/>
              <w:rPr>
                <w:sz w:val="20"/>
                <w:szCs w:val="20"/>
                <w:color w:val="auto"/>
              </w:rPr>
            </w:pPr>
            <w:r>
              <w:rPr>
                <w:rFonts w:ascii="Arial" w:cs="Arial" w:eastAsia="Arial" w:hAnsi="Arial"/>
                <w:sz w:val="13"/>
                <w:szCs w:val="13"/>
                <w:color w:val="auto"/>
              </w:rPr>
              <w:t>least two directors and the number of directors may be fixed by or in</w:t>
            </w:r>
          </w:p>
        </w:tc>
        <w:tc>
          <w:tcPr>
            <w:tcW w:w="4140" w:type="dxa"/>
            <w:vAlign w:val="bottom"/>
          </w:tcPr>
          <w:p>
            <w:pPr>
              <w:ind w:left="100"/>
              <w:spacing w:after="0" w:line="128" w:lineRule="exact"/>
              <w:rPr>
                <w:sz w:val="20"/>
                <w:szCs w:val="20"/>
                <w:color w:val="auto"/>
              </w:rPr>
            </w:pPr>
            <w:r>
              <w:rPr>
                <w:rFonts w:ascii="Arial" w:cs="Arial" w:eastAsia="Arial" w:hAnsi="Arial"/>
                <w:sz w:val="13"/>
                <w:szCs w:val="13"/>
                <w:color w:val="auto"/>
              </w:rPr>
              <w:t>the number of directors shall be fixed by or in the manner provided in</w:t>
            </w:r>
          </w:p>
        </w:tc>
      </w:tr>
      <w:tr>
        <w:trPr>
          <w:trHeight w:val="167"/>
        </w:trPr>
        <w:tc>
          <w:tcPr>
            <w:tcW w:w="226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the manner provided in a company’s articles of association.</w:t>
            </w:r>
          </w:p>
        </w:tc>
        <w:tc>
          <w:tcPr>
            <w:tcW w:w="4140" w:type="dxa"/>
            <w:vAlign w:val="bottom"/>
          </w:tcPr>
          <w:p>
            <w:pPr>
              <w:ind w:left="100"/>
              <w:spacing w:after="0"/>
              <w:rPr>
                <w:sz w:val="20"/>
                <w:szCs w:val="20"/>
                <w:color w:val="auto"/>
              </w:rPr>
            </w:pPr>
            <w:r>
              <w:rPr>
                <w:rFonts w:ascii="Arial" w:cs="Arial" w:eastAsia="Arial" w:hAnsi="Arial"/>
                <w:sz w:val="13"/>
                <w:szCs w:val="13"/>
                <w:color w:val="auto"/>
              </w:rPr>
              <w:t>the bylaws.</w:t>
            </w:r>
          </w:p>
        </w:tc>
      </w:tr>
    </w:tbl>
    <w:p>
      <w:pPr>
        <w:sectPr>
          <w:pgSz w:w="11900" w:h="16838" w:orient="portrait"/>
          <w:cols w:equalWidth="0" w:num="1">
            <w:col w:w="11280"/>
          </w:cols>
          <w:pgMar w:left="300" w:top="1302" w:right="319" w:bottom="1440" w:gutter="0" w:footer="0" w:header="0"/>
        </w:sectPr>
      </w:pPr>
    </w:p>
    <w:bookmarkStart w:id="140" w:name="page141"/>
    <w:bookmarkEnd w:id="140"/>
    <w:p>
      <w:pPr>
        <w:spacing w:after="0"/>
        <w:tabs>
          <w:tab w:leader="none" w:pos="2260" w:val="left"/>
        </w:tabs>
        <w:rPr>
          <w:sz w:val="20"/>
          <w:szCs w:val="20"/>
          <w:color w:val="auto"/>
        </w:rPr>
      </w:pPr>
      <w:r>
        <w:rPr>
          <w:rFonts w:ascii="Arial" w:cs="Arial" w:eastAsia="Arial" w:hAnsi="Arial"/>
          <w:sz w:val="13"/>
          <w:szCs w:val="13"/>
          <w:color w:val="auto"/>
        </w:rPr>
        <w:t>Removal of Directors</w:t>
      </w:r>
      <w:r>
        <w:rPr>
          <w:sz w:val="20"/>
          <w:szCs w:val="20"/>
          <w:color w:val="auto"/>
        </w:rPr>
        <w:tab/>
      </w:r>
      <w:r>
        <w:rPr>
          <w:rFonts w:ascii="Arial" w:cs="Arial" w:eastAsia="Arial" w:hAnsi="Arial"/>
          <w:sz w:val="12"/>
          <w:szCs w:val="12"/>
          <w:color w:val="auto"/>
        </w:rPr>
        <w:t>Under the Companies Act 2006, shareholders may remove a director</w:t>
      </w:r>
    </w:p>
    <w:p>
      <w:pPr>
        <w:ind w:left="2280"/>
        <w:spacing w:after="0" w:line="226" w:lineRule="auto"/>
        <w:rPr>
          <w:sz w:val="20"/>
          <w:szCs w:val="20"/>
          <w:color w:val="auto"/>
        </w:rPr>
      </w:pPr>
      <w:r>
        <w:rPr>
          <w:rFonts w:ascii="Arial" w:cs="Arial" w:eastAsia="Arial" w:hAnsi="Arial"/>
          <w:sz w:val="12"/>
          <w:szCs w:val="12"/>
          <w:color w:val="auto"/>
        </w:rPr>
        <w:t>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121" w:lineRule="exact"/>
        <w:rPr>
          <w:sz w:val="20"/>
          <w:szCs w:val="20"/>
          <w:color w:val="auto"/>
        </w:rPr>
      </w:pPr>
    </w:p>
    <w:p>
      <w:pPr>
        <w:spacing w:after="0"/>
        <w:tabs>
          <w:tab w:leader="none" w:pos="2260" w:val="left"/>
        </w:tabs>
        <w:rPr>
          <w:sz w:val="20"/>
          <w:szCs w:val="20"/>
          <w:color w:val="auto"/>
        </w:rPr>
      </w:pPr>
      <w:r>
        <w:rPr>
          <w:rFonts w:ascii="Arial" w:cs="Arial" w:eastAsia="Arial" w:hAnsi="Arial"/>
          <w:sz w:val="13"/>
          <w:szCs w:val="13"/>
          <w:color w:val="auto"/>
        </w:rPr>
        <w:t>Vacancies on the Board of Directors</w:t>
      </w:r>
      <w:r>
        <w:rPr>
          <w:sz w:val="20"/>
          <w:szCs w:val="20"/>
          <w:color w:val="auto"/>
        </w:rPr>
        <w:tab/>
      </w:r>
      <w:r>
        <w:rPr>
          <w:rFonts w:ascii="Arial" w:cs="Arial" w:eastAsia="Arial" w:hAnsi="Arial"/>
          <w:sz w:val="12"/>
          <w:szCs w:val="12"/>
          <w:color w:val="auto"/>
        </w:rPr>
        <w:t>Under English law, the procedure by which directors, other than a</w:t>
      </w:r>
    </w:p>
    <w:p>
      <w:pPr>
        <w:ind w:left="2280" w:right="200"/>
        <w:spacing w:after="0" w:line="213" w:lineRule="auto"/>
        <w:rPr>
          <w:sz w:val="20"/>
          <w:szCs w:val="20"/>
          <w:color w:val="auto"/>
        </w:rPr>
      </w:pPr>
      <w:r>
        <w:rPr>
          <w:rFonts w:ascii="Arial" w:cs="Arial" w:eastAsia="Arial" w:hAnsi="Arial"/>
          <w:sz w:val="13"/>
          <w:szCs w:val="13"/>
          <w:color w:val="auto"/>
        </w:rPr>
        <w:t>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 w:lineRule="exact"/>
        <w:rPr>
          <w:sz w:val="20"/>
          <w:szCs w:val="20"/>
          <w:color w:val="auto"/>
        </w:rPr>
      </w:pPr>
      <w:r>
        <w:rPr>
          <w:sz w:val="20"/>
          <w:szCs w:val="20"/>
          <w:color w:val="auto"/>
        </w:rPr>
        <w:br w:type="column"/>
      </w:r>
    </w:p>
    <w:p>
      <w:pPr>
        <w:spacing w:after="0" w:line="209" w:lineRule="auto"/>
        <w:rPr>
          <w:sz w:val="20"/>
          <w:szCs w:val="20"/>
          <w:color w:val="auto"/>
        </w:rPr>
      </w:pPr>
      <w:r>
        <w:rPr>
          <w:rFonts w:ascii="Arial" w:cs="Arial" w:eastAsia="Arial" w:hAnsi="Arial"/>
          <w:sz w:val="13"/>
          <w:szCs w:val="13"/>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8" w:lineRule="exact"/>
        <w:rPr>
          <w:sz w:val="20"/>
          <w:szCs w:val="20"/>
          <w:color w:val="auto"/>
        </w:rPr>
      </w:pPr>
    </w:p>
    <w:p>
      <w:pPr>
        <w:ind w:right="20"/>
        <w:spacing w:after="0" w:line="212" w:lineRule="auto"/>
        <w:rPr>
          <w:sz w:val="20"/>
          <w:szCs w:val="20"/>
          <w:color w:val="auto"/>
        </w:rPr>
      </w:pPr>
      <w:r>
        <w:rPr>
          <w:rFonts w:ascii="Arial" w:cs="Arial" w:eastAsia="Arial" w:hAnsi="Arial"/>
          <w:sz w:val="13"/>
          <w:szCs w:val="13"/>
          <w:color w:val="auto"/>
        </w:rPr>
        <w:t>Under Delaware law, vacancies and newly created directorships may be filled by a majority of the directors then in office (even though less than a quorum) or by a sole remaining director unless (a) otherwise provided in the certificate of incorporation or by</w:t>
      </w:r>
      <w:r>
        <w:rPr>
          <w:rFonts w:ascii="Times New Roman" w:cs="Times New Roman" w:eastAsia="Times New Roman" w:hAnsi="Times New Roman"/>
          <w:sz w:val="13"/>
          <w:szCs w:val="13"/>
          <w:color w:val="auto"/>
        </w:rPr>
        <w:t>-</w:t>
      </w:r>
      <w:r>
        <w:rPr>
          <w:rFonts w:ascii="Arial" w:cs="Arial" w:eastAsia="Arial" w:hAnsi="Arial"/>
          <w:sz w:val="13"/>
          <w:szCs w:val="13"/>
          <w:color w:val="auto"/>
        </w:rPr>
        <w:t>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 w:lineRule="exact"/>
        <w:rPr>
          <w:sz w:val="20"/>
          <w:szCs w:val="20"/>
          <w:color w:val="auto"/>
        </w:rPr>
      </w:pPr>
    </w:p>
    <w:p>
      <w:pPr>
        <w:sectPr>
          <w:pgSz w:w="11900" w:h="16838" w:orient="portrait"/>
          <w:cols w:equalWidth="0" w:num="2">
            <w:col w:w="6240" w:space="80"/>
            <w:col w:w="4000"/>
          </w:cols>
          <w:pgMar w:left="340" w:top="1169" w:right="1239" w:bottom="1440" w:gutter="0" w:footer="0" w:header="0"/>
        </w:sectPr>
      </w:pPr>
    </w:p>
    <w:p>
      <w:pPr>
        <w:spacing w:after="0"/>
        <w:tabs>
          <w:tab w:leader="none" w:pos="6300" w:val="left"/>
        </w:tabs>
        <w:rPr>
          <w:sz w:val="20"/>
          <w:szCs w:val="20"/>
          <w:color w:val="auto"/>
        </w:rPr>
      </w:pPr>
      <w:r>
        <w:rPr>
          <w:rFonts w:ascii="Arial" w:cs="Arial" w:eastAsia="Arial" w:hAnsi="Arial"/>
          <w:sz w:val="13"/>
          <w:szCs w:val="13"/>
          <w:color w:val="auto"/>
        </w:rPr>
        <w:t>Annual General Meeting</w:t>
      </w:r>
      <w:r>
        <w:rPr>
          <w:sz w:val="20"/>
          <w:szCs w:val="20"/>
          <w:color w:val="auto"/>
        </w:rPr>
        <w:tab/>
      </w:r>
      <w:r>
        <w:rPr>
          <w:rFonts w:ascii="Arial" w:cs="Arial" w:eastAsia="Arial" w:hAnsi="Arial"/>
          <w:sz w:val="12"/>
          <w:szCs w:val="12"/>
          <w:color w:val="auto"/>
        </w:rPr>
        <w:t>Under Delaware law, the annual meeting of stockholders shall be held</w:t>
      </w:r>
    </w:p>
    <w:p>
      <w:pPr>
        <w:ind w:left="2280"/>
        <w:spacing w:after="0" w:line="221" w:lineRule="auto"/>
        <w:rPr>
          <w:sz w:val="20"/>
          <w:szCs w:val="20"/>
          <w:color w:val="auto"/>
        </w:rPr>
      </w:pPr>
      <w:r>
        <w:rPr>
          <w:rFonts w:ascii="Arial" w:cs="Arial" w:eastAsia="Arial" w:hAnsi="Arial"/>
          <w:sz w:val="12"/>
          <w:szCs w:val="12"/>
          <w:color w:val="auto"/>
        </w:rPr>
        <w:t>Under the Companies Act 2006, a public limited company must hold an at such place, on such date and at such time as may be designated</w:t>
      </w:r>
    </w:p>
    <w:p>
      <w:pPr>
        <w:ind w:left="2280"/>
        <w:spacing w:after="0" w:line="222" w:lineRule="auto"/>
        <w:tabs>
          <w:tab w:leader="none" w:pos="6300" w:val="left"/>
        </w:tabs>
        <w:rPr>
          <w:sz w:val="20"/>
          <w:szCs w:val="20"/>
          <w:color w:val="auto"/>
        </w:rPr>
      </w:pPr>
      <w:r>
        <w:rPr>
          <w:rFonts w:ascii="Arial" w:cs="Arial" w:eastAsia="Arial" w:hAnsi="Arial"/>
          <w:sz w:val="13"/>
          <w:szCs w:val="13"/>
          <w:color w:val="auto"/>
        </w:rPr>
        <w:t>annual general meeting in each six</w:t>
      </w:r>
      <w:r>
        <w:rPr>
          <w:rFonts w:ascii="Times New Roman" w:cs="Times New Roman" w:eastAsia="Times New Roman" w:hAnsi="Times New Roman"/>
          <w:sz w:val="13"/>
          <w:szCs w:val="13"/>
          <w:color w:val="auto"/>
        </w:rPr>
        <w:t>-</w:t>
      </w:r>
      <w:r>
        <w:rPr>
          <w:rFonts w:ascii="Arial" w:cs="Arial" w:eastAsia="Arial" w:hAnsi="Arial"/>
          <w:sz w:val="13"/>
          <w:szCs w:val="13"/>
          <w:color w:val="auto"/>
        </w:rPr>
        <w:t>month period following the</w:t>
      </w:r>
      <w:r>
        <w:rPr>
          <w:sz w:val="20"/>
          <w:szCs w:val="20"/>
          <w:color w:val="auto"/>
        </w:rPr>
        <w:tab/>
      </w:r>
      <w:r>
        <w:rPr>
          <w:rFonts w:ascii="Arial" w:cs="Arial" w:eastAsia="Arial" w:hAnsi="Arial"/>
          <w:sz w:val="12"/>
          <w:szCs w:val="12"/>
          <w:color w:val="auto"/>
        </w:rPr>
        <w:t>from time to time by the board of directors or as provided in the</w:t>
      </w:r>
    </w:p>
    <w:p>
      <w:pPr>
        <w:ind w:left="2280"/>
        <w:spacing w:after="0"/>
        <w:tabs>
          <w:tab w:leader="none" w:pos="6300" w:val="left"/>
        </w:tabs>
        <w:rPr>
          <w:sz w:val="20"/>
          <w:szCs w:val="20"/>
          <w:color w:val="auto"/>
        </w:rPr>
      </w:pPr>
      <w:r>
        <w:rPr>
          <w:rFonts w:ascii="Arial" w:cs="Arial" w:eastAsia="Arial" w:hAnsi="Arial"/>
          <w:sz w:val="13"/>
          <w:szCs w:val="13"/>
          <w:color w:val="auto"/>
        </w:rPr>
        <w:t>company’s annual accounting reference date.</w:t>
      </w:r>
      <w:r>
        <w:rPr>
          <w:sz w:val="20"/>
          <w:szCs w:val="20"/>
          <w:color w:val="auto"/>
        </w:rPr>
        <w:tab/>
      </w:r>
      <w:r>
        <w:rPr>
          <w:rFonts w:ascii="Arial" w:cs="Arial" w:eastAsia="Arial" w:hAnsi="Arial"/>
          <w:sz w:val="12"/>
          <w:szCs w:val="12"/>
          <w:color w:val="auto"/>
        </w:rPr>
        <w:t>certificate of incorporation or by the bylaws.</w:t>
      </w:r>
    </w:p>
    <w:p>
      <w:pPr>
        <w:sectPr>
          <w:pgSz w:w="11900" w:h="16838" w:orient="portrait"/>
          <w:cols w:equalWidth="0" w:num="1">
            <w:col w:w="10320"/>
          </w:cols>
          <w:pgMar w:left="340" w:top="1169" w:right="1239" w:bottom="1440" w:gutter="0" w:footer="0" w:header="0"/>
          <w:type w:val="continuous"/>
        </w:sectPr>
      </w:pPr>
    </w:p>
    <w:p>
      <w:pPr>
        <w:spacing w:after="0"/>
        <w:tabs>
          <w:tab w:leader="none" w:pos="2260" w:val="left"/>
        </w:tabs>
        <w:rPr>
          <w:sz w:val="20"/>
          <w:szCs w:val="20"/>
          <w:color w:val="auto"/>
        </w:rPr>
      </w:pPr>
      <w:r>
        <w:rPr>
          <w:rFonts w:ascii="Arial" w:cs="Arial" w:eastAsia="Arial" w:hAnsi="Arial"/>
          <w:sz w:val="13"/>
          <w:szCs w:val="13"/>
          <w:color w:val="auto"/>
        </w:rPr>
        <w:t>General Meeting</w:t>
      </w:r>
      <w:r>
        <w:rPr>
          <w:sz w:val="20"/>
          <w:szCs w:val="20"/>
          <w:color w:val="auto"/>
        </w:rPr>
        <w:tab/>
      </w:r>
      <w:r>
        <w:rPr>
          <w:rFonts w:ascii="Arial" w:cs="Arial" w:eastAsia="Arial" w:hAnsi="Arial"/>
          <w:sz w:val="12"/>
          <w:szCs w:val="12"/>
          <w:color w:val="auto"/>
        </w:rPr>
        <w:t>Under the Companies Act 2006, a general meeting of the shareholders</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of a public limited company may be called by the directors.</w:t>
      </w:r>
    </w:p>
    <w:p>
      <w:pPr>
        <w:spacing w:after="0" w:line="157" w:lineRule="exact"/>
        <w:rPr>
          <w:sz w:val="20"/>
          <w:szCs w:val="20"/>
          <w:color w:val="auto"/>
        </w:rPr>
      </w:pPr>
    </w:p>
    <w:p>
      <w:pPr>
        <w:ind w:left="2280"/>
        <w:spacing w:after="0" w:line="217" w:lineRule="auto"/>
        <w:rPr>
          <w:sz w:val="20"/>
          <w:szCs w:val="20"/>
          <w:color w:val="auto"/>
        </w:rPr>
      </w:pPr>
      <w:r>
        <w:rPr>
          <w:rFonts w:ascii="Arial" w:cs="Arial" w:eastAsia="Arial" w:hAnsi="Arial"/>
          <w:sz w:val="13"/>
          <w:szCs w:val="13"/>
          <w:color w:val="auto"/>
        </w:rPr>
        <w:t>Shareholders holding at least 5% of the paid</w:t>
      </w:r>
      <w:r>
        <w:rPr>
          <w:rFonts w:ascii="Times New Roman" w:cs="Times New Roman" w:eastAsia="Times New Roman" w:hAnsi="Times New Roman"/>
          <w:sz w:val="13"/>
          <w:szCs w:val="13"/>
          <w:color w:val="auto"/>
        </w:rPr>
        <w:t>-</w:t>
      </w:r>
      <w:r>
        <w:rPr>
          <w:rFonts w:ascii="Arial" w:cs="Arial" w:eastAsia="Arial" w:hAnsi="Arial"/>
          <w:sz w:val="13"/>
          <w:szCs w:val="13"/>
          <w:color w:val="auto"/>
        </w:rPr>
        <w:t>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2"/>
          <w:szCs w:val="12"/>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6280" w:space="40"/>
            <w:col w:w="4000"/>
          </w:cols>
          <w:pgMar w:left="340" w:top="1169" w:right="1239" w:bottom="1440" w:gutter="0" w:footer="0" w:header="0"/>
          <w:type w:val="continuous"/>
        </w:sectPr>
      </w:pPr>
    </w:p>
    <w:bookmarkStart w:id="141" w:name="page142"/>
    <w:bookmarkEnd w:id="141"/>
    <w:p>
      <w:pPr>
        <w:spacing w:after="0"/>
        <w:tabs>
          <w:tab w:leader="none" w:pos="2260" w:val="left"/>
        </w:tabs>
        <w:rPr>
          <w:sz w:val="20"/>
          <w:szCs w:val="20"/>
          <w:color w:val="auto"/>
        </w:rPr>
      </w:pPr>
      <w:r>
        <w:rPr>
          <w:rFonts w:ascii="Arial" w:cs="Arial" w:eastAsia="Arial" w:hAnsi="Arial"/>
          <w:sz w:val="13"/>
          <w:szCs w:val="13"/>
          <w:color w:val="auto"/>
        </w:rPr>
        <w:t>Notice of General Meetings</w:t>
      </w:r>
      <w:r>
        <w:rPr>
          <w:sz w:val="20"/>
          <w:szCs w:val="20"/>
          <w:color w:val="auto"/>
        </w:rPr>
        <w:tab/>
      </w:r>
      <w:r>
        <w:rPr>
          <w:rFonts w:ascii="Arial" w:cs="Arial" w:eastAsia="Arial" w:hAnsi="Arial"/>
          <w:sz w:val="12"/>
          <w:szCs w:val="12"/>
          <w:color w:val="auto"/>
        </w:rPr>
        <w:t>Under the Companies Act 2006, 21 clear days’ notice must be given</w:t>
      </w:r>
    </w:p>
    <w:p>
      <w:pPr>
        <w:ind w:left="2280"/>
        <w:spacing w:after="0" w:line="207" w:lineRule="auto"/>
        <w:rPr>
          <w:sz w:val="20"/>
          <w:szCs w:val="20"/>
          <w:color w:val="auto"/>
        </w:rPr>
      </w:pPr>
      <w:r>
        <w:rPr>
          <w:rFonts w:ascii="Arial" w:cs="Arial" w:eastAsia="Arial" w:hAnsi="Arial"/>
          <w:sz w:val="13"/>
          <w:szCs w:val="13"/>
          <w:color w:val="auto"/>
        </w:rPr>
        <w:t>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tabs>
          <w:tab w:leader="none" w:pos="2260" w:val="left"/>
        </w:tabs>
        <w:rPr>
          <w:sz w:val="20"/>
          <w:szCs w:val="20"/>
          <w:color w:val="auto"/>
        </w:rPr>
      </w:pPr>
      <w:r>
        <w:rPr>
          <w:rFonts w:ascii="Arial" w:cs="Arial" w:eastAsia="Arial" w:hAnsi="Arial"/>
          <w:sz w:val="13"/>
          <w:szCs w:val="13"/>
          <w:color w:val="auto"/>
        </w:rPr>
        <w:t>Proxy</w:t>
      </w:r>
      <w:r>
        <w:rPr>
          <w:sz w:val="20"/>
          <w:szCs w:val="20"/>
          <w:color w:val="auto"/>
        </w:rPr>
        <w:tab/>
      </w:r>
      <w:r>
        <w:rPr>
          <w:rFonts w:ascii="Arial" w:cs="Arial" w:eastAsia="Arial" w:hAnsi="Arial"/>
          <w:sz w:val="13"/>
          <w:szCs w:val="13"/>
          <w:color w:val="auto"/>
        </w:rPr>
        <w:t>Under the Companies Act 2006, at any meeting of shareholders, a</w:t>
      </w:r>
    </w:p>
    <w:p>
      <w:pPr>
        <w:ind w:left="2280" w:right="100"/>
        <w:spacing w:after="0" w:line="226" w:lineRule="auto"/>
        <w:rPr>
          <w:sz w:val="20"/>
          <w:szCs w:val="20"/>
          <w:color w:val="auto"/>
        </w:rPr>
      </w:pPr>
      <w:r>
        <w:rPr>
          <w:rFonts w:ascii="Arial" w:cs="Arial" w:eastAsia="Arial" w:hAnsi="Arial"/>
          <w:sz w:val="13"/>
          <w:szCs w:val="13"/>
          <w:color w:val="auto"/>
        </w:rPr>
        <w:t>shareholder may designate another person to attend, speak and vote at the meeting on their behalf by proxy.</w:t>
      </w:r>
    </w:p>
    <w:p>
      <w:pPr>
        <w:spacing w:after="0" w:line="20" w:lineRule="exact"/>
        <w:rPr>
          <w:sz w:val="20"/>
          <w:szCs w:val="20"/>
          <w:color w:val="auto"/>
        </w:rPr>
      </w:pPr>
      <w:r>
        <w:rPr>
          <w:sz w:val="20"/>
          <w:szCs w:val="20"/>
          <w:color w:val="auto"/>
        </w:rPr>
        <w:br w:type="column"/>
      </w:r>
    </w:p>
    <w:p>
      <w:pPr>
        <w:ind w:right="20"/>
        <w:spacing w:after="0" w:line="215" w:lineRule="auto"/>
        <w:rPr>
          <w:sz w:val="20"/>
          <w:szCs w:val="20"/>
          <w:color w:val="auto"/>
        </w:rPr>
      </w:pPr>
      <w:r>
        <w:rPr>
          <w:rFonts w:ascii="Arial" w:cs="Arial" w:eastAsia="Arial" w:hAnsi="Arial"/>
          <w:sz w:val="13"/>
          <w:szCs w:val="13"/>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15" w:lineRule="auto"/>
        <w:rPr>
          <w:sz w:val="20"/>
          <w:szCs w:val="20"/>
          <w:color w:val="auto"/>
        </w:rPr>
      </w:pPr>
      <w:r>
        <w:rPr>
          <w:rFonts w:ascii="Arial" w:cs="Arial" w:eastAsia="Arial" w:hAnsi="Arial"/>
          <w:sz w:val="13"/>
          <w:szCs w:val="13"/>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1" w:lineRule="exact"/>
        <w:rPr>
          <w:sz w:val="20"/>
          <w:szCs w:val="20"/>
          <w:color w:val="auto"/>
        </w:rPr>
      </w:pPr>
    </w:p>
    <w:p>
      <w:pPr>
        <w:sectPr>
          <w:pgSz w:w="11900" w:h="16838" w:orient="portrait"/>
          <w:cols w:equalWidth="0" w:num="2">
            <w:col w:w="6280" w:space="40"/>
            <w:col w:w="4000"/>
          </w:cols>
          <w:pgMar w:left="340" w:top="1169" w:right="1239" w:bottom="1440" w:gutter="0" w:footer="0" w:header="0"/>
        </w:sectPr>
      </w:pPr>
    </w:p>
    <w:tbl>
      <w:tblPr>
        <w:tblLayout w:type="fixed"/>
        <w:tblInd w:w="0" w:type="dxa"/>
        <w:tblCellMar>
          <w:top w:w="0" w:type="dxa"/>
          <w:left w:w="0" w:type="dxa"/>
          <w:bottom w:w="0" w:type="dxa"/>
          <w:right w:w="0" w:type="dxa"/>
        </w:tblCellMar>
      </w:tblPr>
      <w:tr>
        <w:trPr>
          <w:trHeight w:val="130"/>
        </w:trPr>
        <w:tc>
          <w:tcPr>
            <w:tcW w:w="1680" w:type="dxa"/>
            <w:vAlign w:val="bottom"/>
          </w:tcPr>
          <w:p>
            <w:pPr>
              <w:spacing w:after="0"/>
              <w:rPr>
                <w:sz w:val="11"/>
                <w:szCs w:val="11"/>
                <w:color w:val="auto"/>
              </w:rPr>
            </w:pPr>
          </w:p>
        </w:tc>
        <w:tc>
          <w:tcPr>
            <w:tcW w:w="4580" w:type="dxa"/>
            <w:vAlign w:val="bottom"/>
          </w:tcPr>
          <w:p>
            <w:pPr>
              <w:ind w:left="600"/>
              <w:spacing w:after="0" w:line="130" w:lineRule="exact"/>
              <w:rPr>
                <w:sz w:val="20"/>
                <w:szCs w:val="20"/>
                <w:color w:val="auto"/>
              </w:rPr>
            </w:pPr>
            <w:r>
              <w:rPr>
                <w:rFonts w:ascii="Arial" w:cs="Arial" w:eastAsia="Arial" w:hAnsi="Arial"/>
                <w:sz w:val="13"/>
                <w:szCs w:val="13"/>
                <w:color w:val="auto"/>
                <w:w w:val="98"/>
              </w:rPr>
              <w:t>Under the Companies Act 2006, “equity securities”, being (i) shares in</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the company other than shares that, with respect to dividends and</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capital, carry a right to participate only up to a specified amount in a</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distribution (“ordinary shares”) or (ii) rights to subscribe for, or to</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convert securities into, ordinary shares, proposed to be allotted for</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cash must be offered first to the existing equity shareholders in the</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company in proportion to the respective nominal value of their</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holdings, unless an exception applies or a special resolution to the</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w w:val="98"/>
              </w:rPr>
              <w:t>contrary has been passed by shareholders in a general meeting or the</w:t>
            </w:r>
          </w:p>
        </w:tc>
        <w:tc>
          <w:tcPr>
            <w:tcW w:w="0" w:type="dxa"/>
            <w:vAlign w:val="bottom"/>
          </w:tcPr>
          <w:p>
            <w:pPr>
              <w:spacing w:after="0"/>
              <w:rPr>
                <w:sz w:val="1"/>
                <w:szCs w:val="1"/>
                <w:color w:val="auto"/>
              </w:rPr>
            </w:pPr>
          </w:p>
        </w:tc>
      </w:tr>
      <w:tr>
        <w:trPr>
          <w:trHeight w:val="127"/>
        </w:trPr>
        <w:tc>
          <w:tcPr>
            <w:tcW w:w="1680" w:type="dxa"/>
            <w:vAlign w:val="bottom"/>
            <w:vMerge w:val="restart"/>
          </w:tcPr>
          <w:p>
            <w:pPr>
              <w:spacing w:after="0"/>
              <w:rPr>
                <w:sz w:val="20"/>
                <w:szCs w:val="20"/>
                <w:color w:val="auto"/>
              </w:rPr>
            </w:pPr>
            <w:r>
              <w:rPr>
                <w:rFonts w:ascii="Arial" w:cs="Arial" w:eastAsia="Arial" w:hAnsi="Arial"/>
                <w:sz w:val="13"/>
                <w:szCs w:val="13"/>
                <w:color w:val="auto"/>
              </w:rPr>
              <w:t>Pre</w:t>
            </w:r>
            <w:r>
              <w:rPr>
                <w:rFonts w:ascii="Times New Roman" w:cs="Times New Roman" w:eastAsia="Times New Roman" w:hAnsi="Times New Roman"/>
                <w:sz w:val="13"/>
                <w:szCs w:val="13"/>
                <w:color w:val="auto"/>
              </w:rPr>
              <w:t>-</w:t>
            </w:r>
            <w:r>
              <w:rPr>
                <w:rFonts w:ascii="Arial" w:cs="Arial" w:eastAsia="Arial" w:hAnsi="Arial"/>
                <w:sz w:val="13"/>
                <w:szCs w:val="13"/>
                <w:color w:val="auto"/>
              </w:rPr>
              <w:t>emptive Rights</w:t>
            </w: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articles of association provide otherwise in each case in accordance</w:t>
            </w:r>
          </w:p>
        </w:tc>
        <w:tc>
          <w:tcPr>
            <w:tcW w:w="0" w:type="dxa"/>
            <w:vAlign w:val="bottom"/>
          </w:tcPr>
          <w:p>
            <w:pPr>
              <w:spacing w:after="0"/>
              <w:rPr>
                <w:sz w:val="1"/>
                <w:szCs w:val="1"/>
                <w:color w:val="auto"/>
              </w:rPr>
            </w:pPr>
          </w:p>
        </w:tc>
      </w:tr>
      <w:tr>
        <w:trPr>
          <w:trHeight w:val="167"/>
        </w:trPr>
        <w:tc>
          <w:tcPr>
            <w:tcW w:w="1680" w:type="dxa"/>
            <w:vAlign w:val="bottom"/>
            <w:vMerge w:val="continue"/>
          </w:tcPr>
          <w:p>
            <w:pPr>
              <w:spacing w:after="0"/>
              <w:rPr>
                <w:sz w:val="14"/>
                <w:szCs w:val="14"/>
                <w:color w:val="auto"/>
              </w:rPr>
            </w:pPr>
          </w:p>
        </w:tc>
        <w:tc>
          <w:tcPr>
            <w:tcW w:w="4580" w:type="dxa"/>
            <w:vAlign w:val="bottom"/>
          </w:tcPr>
          <w:p>
            <w:pPr>
              <w:ind w:left="600"/>
              <w:spacing w:after="0"/>
              <w:rPr>
                <w:sz w:val="20"/>
                <w:szCs w:val="20"/>
                <w:color w:val="auto"/>
              </w:rPr>
            </w:pPr>
            <w:r>
              <w:rPr>
                <w:rFonts w:ascii="Arial" w:cs="Arial" w:eastAsia="Arial" w:hAnsi="Arial"/>
                <w:sz w:val="13"/>
                <w:szCs w:val="13"/>
                <w:color w:val="auto"/>
              </w:rPr>
              <w:t>with the provisions of the Companies Act 2006.</w:t>
            </w:r>
          </w:p>
        </w:tc>
        <w:tc>
          <w:tcPr>
            <w:tcW w:w="0" w:type="dxa"/>
            <w:vAlign w:val="bottom"/>
          </w:tcPr>
          <w:p>
            <w:pPr>
              <w:spacing w:after="0"/>
              <w:rPr>
                <w:sz w:val="1"/>
                <w:szCs w:val="1"/>
                <w:color w:val="auto"/>
              </w:rPr>
            </w:pP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3"/>
                <w:szCs w:val="13"/>
                <w:color w:val="auto"/>
              </w:rPr>
              <w:t>Authority to Allot</w:t>
            </w:r>
          </w:p>
        </w:tc>
        <w:tc>
          <w:tcPr>
            <w:tcW w:w="4580" w:type="dxa"/>
            <w:vAlign w:val="bottom"/>
          </w:tcPr>
          <w:p>
            <w:pPr>
              <w:ind w:left="600"/>
              <w:spacing w:after="0" w:line="130" w:lineRule="exact"/>
              <w:rPr>
                <w:sz w:val="20"/>
                <w:szCs w:val="20"/>
                <w:color w:val="auto"/>
              </w:rPr>
            </w:pPr>
            <w:r>
              <w:rPr>
                <w:rFonts w:ascii="Arial" w:cs="Arial" w:eastAsia="Arial" w:hAnsi="Arial"/>
                <w:sz w:val="13"/>
                <w:szCs w:val="13"/>
                <w:color w:val="auto"/>
              </w:rPr>
              <w:t>Under the Companies Act 2006, the directors of a company must not</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w w:val="97"/>
              </w:rPr>
              <w:t>allot shares or grant of rights to subscribe for or to convert any security</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w w:val="97"/>
              </w:rPr>
              <w:t>into shares unless an exception applies or an ordinary resolution to the</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w w:val="98"/>
              </w:rPr>
              <w:t>contrary has been passed by shareholders in a general meeting or the</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580" w:type="dxa"/>
            <w:vAlign w:val="bottom"/>
          </w:tcPr>
          <w:p>
            <w:pPr>
              <w:ind w:left="600"/>
              <w:spacing w:after="0" w:line="128" w:lineRule="exact"/>
              <w:rPr>
                <w:sz w:val="20"/>
                <w:szCs w:val="20"/>
                <w:color w:val="auto"/>
              </w:rPr>
            </w:pPr>
            <w:r>
              <w:rPr>
                <w:rFonts w:ascii="Arial" w:cs="Arial" w:eastAsia="Arial" w:hAnsi="Arial"/>
                <w:sz w:val="13"/>
                <w:szCs w:val="13"/>
                <w:color w:val="auto"/>
              </w:rPr>
              <w:t>articles of association provide otherwise in each case in accordance</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4580" w:type="dxa"/>
            <w:vAlign w:val="bottom"/>
          </w:tcPr>
          <w:p>
            <w:pPr>
              <w:ind w:left="600"/>
              <w:spacing w:after="0"/>
              <w:rPr>
                <w:sz w:val="20"/>
                <w:szCs w:val="20"/>
                <w:color w:val="auto"/>
              </w:rPr>
            </w:pPr>
            <w:r>
              <w:rPr>
                <w:rFonts w:ascii="Arial" w:cs="Arial" w:eastAsia="Arial" w:hAnsi="Arial"/>
                <w:sz w:val="13"/>
                <w:szCs w:val="13"/>
                <w:color w:val="auto"/>
              </w:rPr>
              <w:t>with the provisions of the Companies Act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60"/>
        <w:spacing w:after="0" w:line="238" w:lineRule="auto"/>
        <w:rPr>
          <w:sz w:val="20"/>
          <w:szCs w:val="20"/>
          <w:color w:val="auto"/>
        </w:rPr>
      </w:pPr>
      <w:r>
        <w:rPr>
          <w:rFonts w:ascii="Arial" w:cs="Arial" w:eastAsia="Arial" w:hAnsi="Arial"/>
          <w:sz w:val="12"/>
          <w:szCs w:val="12"/>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30" w:lineRule="auto"/>
        <w:rPr>
          <w:sz w:val="20"/>
          <w:szCs w:val="20"/>
          <w:color w:val="auto"/>
        </w:rPr>
      </w:pPr>
      <w:r>
        <w:rPr>
          <w:rFonts w:ascii="Arial" w:cs="Arial" w:eastAsia="Arial" w:hAnsi="Arial"/>
          <w:sz w:val="12"/>
          <w:szCs w:val="12"/>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6260" w:space="60"/>
            <w:col w:w="4000"/>
          </w:cols>
          <w:pgMar w:left="340" w:top="1169" w:right="1239" w:bottom="1440" w:gutter="0" w:footer="0" w:header="0"/>
          <w:type w:val="continuous"/>
        </w:sectPr>
      </w:pPr>
    </w:p>
    <w:bookmarkStart w:id="142" w:name="page143"/>
    <w:bookmarkEnd w:id="142"/>
    <w:p>
      <w:pPr>
        <w:spacing w:after="0"/>
        <w:tabs>
          <w:tab w:leader="none" w:pos="6300" w:val="left"/>
        </w:tabs>
        <w:rPr>
          <w:sz w:val="20"/>
          <w:szCs w:val="20"/>
          <w:color w:val="auto"/>
        </w:rPr>
      </w:pPr>
      <w:r>
        <w:rPr>
          <w:rFonts w:ascii="Arial" w:cs="Arial" w:eastAsia="Arial" w:hAnsi="Arial"/>
          <w:sz w:val="13"/>
          <w:szCs w:val="13"/>
          <w:color w:val="auto"/>
        </w:rPr>
        <w:t>Liability of Directors and Officers</w:t>
      </w:r>
      <w:r>
        <w:rPr>
          <w:sz w:val="20"/>
          <w:szCs w:val="20"/>
          <w:color w:val="auto"/>
        </w:rPr>
        <w:tab/>
      </w:r>
      <w:r>
        <w:rPr>
          <w:rFonts w:ascii="Arial" w:cs="Arial" w:eastAsia="Arial" w:hAnsi="Arial"/>
          <w:sz w:val="12"/>
          <w:szCs w:val="12"/>
          <w:color w:val="auto"/>
        </w:rPr>
        <w:t>Under Delaware law, a corporation’s certificate of incorporation may</w:t>
      </w:r>
    </w:p>
    <w:p>
      <w:pPr>
        <w:ind w:left="6320"/>
        <w:spacing w:after="0" w:line="204" w:lineRule="auto"/>
        <w:rPr>
          <w:sz w:val="20"/>
          <w:szCs w:val="20"/>
          <w:color w:val="auto"/>
        </w:rPr>
      </w:pPr>
      <w:r>
        <w:rPr>
          <w:rFonts w:ascii="Arial" w:cs="Arial" w:eastAsia="Arial" w:hAnsi="Arial"/>
          <w:sz w:val="13"/>
          <w:szCs w:val="13"/>
          <w:color w:val="auto"/>
        </w:rPr>
        <w:t>include a provision eliminating or limiting the personal liability of a</w:t>
      </w:r>
    </w:p>
    <w:p>
      <w:pPr>
        <w:ind w:left="6320"/>
        <w:spacing w:after="0" w:line="204" w:lineRule="auto"/>
        <w:rPr>
          <w:sz w:val="20"/>
          <w:szCs w:val="20"/>
          <w:color w:val="auto"/>
        </w:rPr>
      </w:pPr>
      <w:r>
        <w:rPr>
          <w:rFonts w:ascii="Arial" w:cs="Arial" w:eastAsia="Arial" w:hAnsi="Arial"/>
          <w:sz w:val="13"/>
          <w:szCs w:val="13"/>
          <w:color w:val="auto"/>
        </w:rPr>
        <w:t>director or certain officers to the corporation and its stockholders for</w:t>
      </w:r>
    </w:p>
    <w:p>
      <w:pPr>
        <w:ind w:left="6320"/>
        <w:spacing w:after="0" w:line="222" w:lineRule="auto"/>
        <w:rPr>
          <w:sz w:val="20"/>
          <w:szCs w:val="20"/>
          <w:color w:val="auto"/>
        </w:rPr>
      </w:pPr>
      <w:r>
        <w:rPr>
          <w:rFonts w:ascii="Arial" w:cs="Arial" w:eastAsia="Arial" w:hAnsi="Arial"/>
          <w:sz w:val="12"/>
          <w:szCs w:val="12"/>
          <w:color w:val="auto"/>
        </w:rPr>
        <w:t>damages arising from a breach of fiduciary duty as a director or officer,</w:t>
      </w:r>
    </w:p>
    <w:p>
      <w:pPr>
        <w:ind w:left="6320"/>
        <w:spacing w:after="0" w:line="221" w:lineRule="auto"/>
        <w:rPr>
          <w:sz w:val="20"/>
          <w:szCs w:val="20"/>
          <w:color w:val="auto"/>
        </w:rPr>
      </w:pPr>
      <w:r>
        <w:rPr>
          <w:rFonts w:ascii="Arial" w:cs="Arial" w:eastAsia="Arial" w:hAnsi="Arial"/>
          <w:sz w:val="12"/>
          <w:szCs w:val="12"/>
          <w:color w:val="auto"/>
        </w:rPr>
        <w:t>as applicable. However, no provision can limit the liability of a director</w:t>
      </w:r>
    </w:p>
    <w:p>
      <w:pPr>
        <w:ind w:left="6320"/>
        <w:spacing w:after="0"/>
        <w:rPr>
          <w:sz w:val="20"/>
          <w:szCs w:val="20"/>
          <w:color w:val="auto"/>
        </w:rPr>
      </w:pPr>
      <w:r>
        <w:rPr>
          <w:rFonts w:ascii="Arial" w:cs="Arial" w:eastAsia="Arial" w:hAnsi="Arial"/>
          <w:sz w:val="13"/>
          <w:szCs w:val="13"/>
          <w:color w:val="auto"/>
        </w:rPr>
        <w:t>for:</w:t>
      </w:r>
    </w:p>
    <w:p>
      <w:pPr>
        <w:sectPr>
          <w:pgSz w:w="11900" w:h="16838" w:orient="portrait"/>
          <w:cols w:equalWidth="0" w:num="1">
            <w:col w:w="10340"/>
          </w:cols>
          <w:pgMar w:left="340" w:top="1169" w:right="1219" w:bottom="1440" w:gutter="0" w:footer="0" w:header="0"/>
        </w:sectPr>
      </w:pPr>
    </w:p>
    <w:p>
      <w:pPr>
        <w:spacing w:after="0" w:line="178" w:lineRule="exact"/>
        <w:rPr>
          <w:sz w:val="20"/>
          <w:szCs w:val="20"/>
          <w:color w:val="auto"/>
        </w:rPr>
      </w:pPr>
    </w:p>
    <w:p>
      <w:pPr>
        <w:ind w:left="2280" w:right="20"/>
        <w:spacing w:after="0" w:line="215" w:lineRule="auto"/>
        <w:rPr>
          <w:sz w:val="20"/>
          <w:szCs w:val="20"/>
          <w:color w:val="auto"/>
        </w:rPr>
      </w:pPr>
      <w:r>
        <w:rPr>
          <w:rFonts w:ascii="Arial" w:cs="Arial" w:eastAsia="Arial" w:hAnsi="Arial"/>
          <w:sz w:val="13"/>
          <w:szCs w:val="13"/>
          <w:color w:val="auto"/>
        </w:rPr>
        <w:t>Under the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151" w:lineRule="exact"/>
        <w:rPr>
          <w:sz w:val="20"/>
          <w:szCs w:val="20"/>
          <w:color w:val="auto"/>
        </w:rPr>
      </w:pPr>
    </w:p>
    <w:p>
      <w:pPr>
        <w:ind w:left="2280"/>
        <w:spacing w:after="0" w:line="208" w:lineRule="auto"/>
        <w:rPr>
          <w:sz w:val="20"/>
          <w:szCs w:val="20"/>
          <w:color w:val="auto"/>
        </w:rPr>
      </w:pPr>
      <w:r>
        <w:rPr>
          <w:rFonts w:ascii="Arial" w:cs="Arial" w:eastAsia="Arial" w:hAnsi="Arial"/>
          <w:sz w:val="13"/>
          <w:szCs w:val="13"/>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right="120" w:hanging="258"/>
        <w:spacing w:after="0" w:line="212" w:lineRule="auto"/>
        <w:tabs>
          <w:tab w:leader="none" w:pos="516"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3"/>
          <w:szCs w:val="13"/>
          <w:color w:val="auto"/>
        </w:rPr>
        <w:t>any breach of the director’s duty of loyalty to the corporation or its stockholders;</w:t>
      </w:r>
    </w:p>
    <w:p>
      <w:pPr>
        <w:ind w:left="520" w:right="140" w:hanging="258"/>
        <w:spacing w:after="0" w:line="206" w:lineRule="auto"/>
        <w:tabs>
          <w:tab w:leader="none" w:pos="516"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3"/>
          <w:szCs w:val="13"/>
          <w:color w:val="auto"/>
        </w:rPr>
        <w:t>acts or omissions not in good faith or that involve intentional misconduct or a knowing violation of law;</w:t>
      </w:r>
    </w:p>
    <w:p>
      <w:pPr>
        <w:ind w:left="520" w:hanging="258"/>
        <w:spacing w:after="0" w:line="206" w:lineRule="auto"/>
        <w:tabs>
          <w:tab w:leader="none" w:pos="516"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3"/>
          <w:szCs w:val="13"/>
          <w:color w:val="auto"/>
        </w:rPr>
        <w:t>intentional or negligent payment of unlawful dividends or stock purchases or redemptions; or</w:t>
      </w:r>
    </w:p>
    <w:p>
      <w:pPr>
        <w:ind w:left="520" w:right="160" w:hanging="258"/>
        <w:spacing w:after="0" w:line="206" w:lineRule="auto"/>
        <w:tabs>
          <w:tab w:leader="none" w:pos="516"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3"/>
          <w:szCs w:val="13"/>
          <w:color w:val="auto"/>
        </w:rPr>
        <w:t>any transaction from which the director derives an improper personal benefit.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In addition, no provision can limit the liability of an officer for:</w:t>
      </w:r>
    </w:p>
    <w:p>
      <w:pPr>
        <w:spacing w:after="0" w:line="201" w:lineRule="exact"/>
        <w:rPr>
          <w:sz w:val="20"/>
          <w:szCs w:val="20"/>
          <w:color w:val="auto"/>
        </w:rPr>
      </w:pPr>
    </w:p>
    <w:p>
      <w:pPr>
        <w:ind w:left="520" w:right="60" w:hanging="258"/>
        <w:spacing w:after="0" w:line="212" w:lineRule="auto"/>
        <w:tabs>
          <w:tab w:leader="none" w:pos="516"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3"/>
          <w:szCs w:val="13"/>
          <w:color w:val="auto"/>
        </w:rPr>
        <w:t>any breach of the officer’s duty of loyalty to the corporation or its stockholders;</w:t>
      </w:r>
    </w:p>
    <w:p>
      <w:pPr>
        <w:ind w:left="520" w:right="140" w:hanging="258"/>
        <w:spacing w:after="0" w:line="206" w:lineRule="auto"/>
        <w:tabs>
          <w:tab w:leader="none" w:pos="516"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3"/>
          <w:szCs w:val="13"/>
          <w:color w:val="auto"/>
        </w:rPr>
        <w:t>acts or omissions not in good faith or that involve intentional misconduct or a knowing violation of law;</w:t>
      </w:r>
    </w:p>
    <w:p>
      <w:pPr>
        <w:ind w:left="520" w:hanging="258"/>
        <w:spacing w:after="0" w:line="195" w:lineRule="auto"/>
        <w:tabs>
          <w:tab w:leader="none" w:pos="52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3"/>
          <w:szCs w:val="13"/>
          <w:color w:val="auto"/>
        </w:rPr>
        <w:t>any action by or in the right of the corporation; or</w:t>
      </w:r>
    </w:p>
    <w:p>
      <w:pPr>
        <w:spacing w:after="0" w:line="10" w:lineRule="exact"/>
        <w:rPr>
          <w:rFonts w:ascii="Times New Roman" w:cs="Times New Roman" w:eastAsia="Times New Roman" w:hAnsi="Times New Roman"/>
          <w:sz w:val="17"/>
          <w:szCs w:val="17"/>
          <w:color w:val="auto"/>
        </w:rPr>
      </w:pPr>
    </w:p>
    <w:p>
      <w:pPr>
        <w:ind w:left="520" w:right="240" w:hanging="258"/>
        <w:spacing w:after="0" w:line="207" w:lineRule="auto"/>
        <w:tabs>
          <w:tab w:leader="none" w:pos="516"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3"/>
          <w:szCs w:val="13"/>
          <w:color w:val="auto"/>
        </w:rPr>
        <w:t>any transaction from which the officer derives an improper personal benefit.</w:t>
      </w:r>
    </w:p>
    <w:p>
      <w:pPr>
        <w:sectPr>
          <w:pgSz w:w="11900" w:h="16838" w:orient="portrait"/>
          <w:cols w:equalWidth="0" w:num="2">
            <w:col w:w="6260" w:space="60"/>
            <w:col w:w="4020"/>
          </w:cols>
          <w:pgMar w:left="340" w:top="1169" w:right="1219" w:bottom="1440" w:gutter="0" w:footer="0" w:header="0"/>
          <w:type w:val="continuous"/>
        </w:sectPr>
      </w:pPr>
    </w:p>
    <w:bookmarkStart w:id="143" w:name="page144"/>
    <w:bookmarkEnd w:id="143"/>
    <w:p>
      <w:pPr>
        <w:spacing w:after="0"/>
        <w:tabs>
          <w:tab w:leader="none" w:pos="2260" w:val="left"/>
        </w:tabs>
        <w:rPr>
          <w:sz w:val="20"/>
          <w:szCs w:val="20"/>
          <w:color w:val="auto"/>
        </w:rPr>
      </w:pPr>
      <w:r>
        <w:rPr>
          <w:rFonts w:ascii="Arial" w:cs="Arial" w:eastAsia="Arial" w:hAnsi="Arial"/>
          <w:sz w:val="13"/>
          <w:szCs w:val="13"/>
          <w:color w:val="auto"/>
        </w:rPr>
        <w:t>Voting Rights</w:t>
      </w:r>
      <w:r>
        <w:rPr>
          <w:sz w:val="20"/>
          <w:szCs w:val="20"/>
          <w:color w:val="auto"/>
        </w:rPr>
        <w:tab/>
      </w:r>
      <w:r>
        <w:rPr>
          <w:rFonts w:ascii="Arial" w:cs="Arial" w:eastAsia="Arial" w:hAnsi="Arial"/>
          <w:sz w:val="12"/>
          <w:szCs w:val="12"/>
          <w:color w:val="auto"/>
        </w:rPr>
        <w:t>Under English law, unless a poll is demanded by the shareholders of a</w:t>
      </w:r>
    </w:p>
    <w:p>
      <w:pPr>
        <w:ind w:left="2280"/>
        <w:spacing w:after="0" w:line="207" w:lineRule="auto"/>
        <w:rPr>
          <w:sz w:val="20"/>
          <w:szCs w:val="20"/>
          <w:color w:val="auto"/>
        </w:rPr>
      </w:pPr>
      <w:r>
        <w:rPr>
          <w:rFonts w:ascii="Arial" w:cs="Arial" w:eastAsia="Arial" w:hAnsi="Arial"/>
          <w:sz w:val="13"/>
          <w:szCs w:val="13"/>
          <w:color w:val="auto"/>
        </w:rPr>
        <w:t>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156" w:lineRule="exact"/>
        <w:rPr>
          <w:sz w:val="20"/>
          <w:szCs w:val="20"/>
          <w:color w:val="auto"/>
        </w:rPr>
      </w:pPr>
    </w:p>
    <w:p>
      <w:pPr>
        <w:ind w:left="2280"/>
        <w:spacing w:after="0" w:line="229" w:lineRule="auto"/>
        <w:rPr>
          <w:sz w:val="20"/>
          <w:szCs w:val="20"/>
          <w:color w:val="auto"/>
        </w:rPr>
      </w:pPr>
      <w:r>
        <w:rPr>
          <w:rFonts w:ascii="Arial" w:cs="Arial" w:eastAsia="Arial" w:hAnsi="Arial"/>
          <w:sz w:val="12"/>
          <w:szCs w:val="12"/>
          <w:color w:val="auto"/>
        </w:rPr>
        <w:t>Under English law,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of the votes cast by shareholders present, in person or by proxy, at the meeting.</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Arial" w:cs="Arial" w:eastAsia="Arial" w:hAnsi="Arial"/>
          <w:sz w:val="13"/>
          <w:szCs w:val="13"/>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260" w:space="60"/>
            <w:col w:w="4000"/>
          </w:cols>
          <w:pgMar w:left="340" w:top="1169" w:right="1239" w:bottom="1440" w:gutter="0" w:footer="0" w:header="0"/>
        </w:sectPr>
      </w:pPr>
    </w:p>
    <w:bookmarkStart w:id="144" w:name="page145"/>
    <w:bookmarkEnd w:id="144"/>
    <w:p>
      <w:pPr>
        <w:spacing w:after="0"/>
        <w:tabs>
          <w:tab w:leader="none" w:pos="2260" w:val="left"/>
        </w:tabs>
        <w:rPr>
          <w:sz w:val="20"/>
          <w:szCs w:val="20"/>
          <w:color w:val="auto"/>
        </w:rPr>
      </w:pPr>
      <w:r>
        <w:rPr>
          <w:rFonts w:ascii="Arial" w:cs="Arial" w:eastAsia="Arial" w:hAnsi="Arial"/>
          <w:sz w:val="13"/>
          <w:szCs w:val="13"/>
          <w:color w:val="auto"/>
        </w:rPr>
        <w:t>Shareholder Vote on Certain</w:t>
      </w:r>
      <w:r>
        <w:rPr>
          <w:sz w:val="20"/>
          <w:szCs w:val="20"/>
          <w:color w:val="auto"/>
        </w:rPr>
        <w:tab/>
      </w:r>
      <w:r>
        <w:rPr>
          <w:rFonts w:ascii="Arial" w:cs="Arial" w:eastAsia="Arial" w:hAnsi="Arial"/>
          <w:sz w:val="12"/>
          <w:szCs w:val="12"/>
          <w:color w:val="auto"/>
        </w:rPr>
        <w:t>The Companies Act 2006 provides for schemes of arrangement, which</w:t>
      </w:r>
    </w:p>
    <w:p>
      <w:pPr>
        <w:spacing w:after="0" w:line="221" w:lineRule="auto"/>
        <w:tabs>
          <w:tab w:leader="none" w:pos="2260" w:val="left"/>
        </w:tabs>
        <w:rPr>
          <w:sz w:val="20"/>
          <w:szCs w:val="20"/>
          <w:color w:val="auto"/>
        </w:rPr>
      </w:pPr>
      <w:r>
        <w:rPr>
          <w:rFonts w:ascii="Arial" w:cs="Arial" w:eastAsia="Arial" w:hAnsi="Arial"/>
          <w:sz w:val="12"/>
          <w:szCs w:val="12"/>
          <w:color w:val="auto"/>
        </w:rPr>
        <w:t>Transactions</w:t>
      </w:r>
      <w:r>
        <w:rPr>
          <w:sz w:val="20"/>
          <w:szCs w:val="20"/>
          <w:color w:val="auto"/>
        </w:rPr>
        <w:tab/>
      </w:r>
      <w:r>
        <w:rPr>
          <w:rFonts w:ascii="Arial" w:cs="Arial" w:eastAsia="Arial" w:hAnsi="Arial"/>
          <w:sz w:val="12"/>
          <w:szCs w:val="12"/>
          <w:color w:val="auto"/>
        </w:rPr>
        <w:t>are arrangements or compromises between a company and any class</w:t>
      </w:r>
    </w:p>
    <w:p>
      <w:pPr>
        <w:ind w:left="2280" w:right="60"/>
        <w:spacing w:after="0" w:line="219" w:lineRule="auto"/>
        <w:rPr>
          <w:sz w:val="20"/>
          <w:szCs w:val="20"/>
          <w:color w:val="auto"/>
        </w:rPr>
      </w:pPr>
      <w:r>
        <w:rPr>
          <w:rFonts w:ascii="Arial" w:cs="Arial" w:eastAsia="Arial" w:hAnsi="Arial"/>
          <w:sz w:val="13"/>
          <w:szCs w:val="13"/>
          <w:color w:val="auto"/>
        </w:rPr>
        <w:t>of shareholders or creditors and used in certain types of reconstructions, amalgamations, capital reorganizations or takeovers. These arrangements require: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20"/>
        <w:spacing w:after="0" w:line="220" w:lineRule="auto"/>
        <w:rPr>
          <w:sz w:val="20"/>
          <w:szCs w:val="20"/>
          <w:color w:val="auto"/>
        </w:rPr>
      </w:pPr>
      <w:r>
        <w:rPr>
          <w:rFonts w:ascii="Arial" w:cs="Arial" w:eastAsia="Arial" w:hAnsi="Arial"/>
          <w:sz w:val="13"/>
          <w:szCs w:val="13"/>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57" w:lineRule="exact"/>
        <w:rPr>
          <w:sz w:val="20"/>
          <w:szCs w:val="20"/>
          <w:color w:val="auto"/>
        </w:rPr>
      </w:pPr>
    </w:p>
    <w:p>
      <w:pPr>
        <w:sectPr>
          <w:pgSz w:w="11900" w:h="16838" w:orient="portrait"/>
          <w:cols w:equalWidth="0" w:num="2">
            <w:col w:w="6260" w:space="60"/>
            <w:col w:w="4000"/>
          </w:cols>
          <w:pgMar w:left="340" w:top="1169" w:right="1239" w:bottom="1440" w:gutter="0" w:footer="0" w:header="0"/>
        </w:sectPr>
      </w:pPr>
    </w:p>
    <w:p>
      <w:pPr>
        <w:ind w:left="2800" w:hanging="261"/>
        <w:spacing w:after="0" w:line="207" w:lineRule="auto"/>
        <w:tabs>
          <w:tab w:leader="none" w:pos="2796"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3"/>
          <w:szCs w:val="13"/>
          <w:color w:val="auto"/>
        </w:rPr>
        <w:t>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w:t>
      </w:r>
    </w:p>
    <w:p>
      <w:pPr>
        <w:spacing w:after="0" w:line="1" w:lineRule="exact"/>
        <w:rPr>
          <w:rFonts w:ascii="Times New Roman" w:cs="Times New Roman" w:eastAsia="Times New Roman" w:hAnsi="Times New Roman"/>
          <w:sz w:val="17"/>
          <w:szCs w:val="17"/>
          <w:color w:val="auto"/>
        </w:rPr>
      </w:pPr>
    </w:p>
    <w:p>
      <w:pPr>
        <w:ind w:left="2780" w:hanging="241"/>
        <w:spacing w:after="0" w:line="195" w:lineRule="auto"/>
        <w:tabs>
          <w:tab w:leader="none" w:pos="278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3"/>
          <w:szCs w:val="13"/>
          <w:color w:val="auto"/>
        </w:rPr>
        <w:t>the approval of the court.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58" w:hanging="258"/>
        <w:spacing w:after="0"/>
        <w:tabs>
          <w:tab w:leader="none" w:pos="258"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3"/>
          <w:szCs w:val="13"/>
          <w:color w:val="auto"/>
        </w:rPr>
        <w:t>the approval of the board of directors; and</w:t>
      </w:r>
    </w:p>
    <w:p>
      <w:pPr>
        <w:spacing w:after="0" w:line="10" w:lineRule="exact"/>
        <w:rPr>
          <w:rFonts w:ascii="Times New Roman" w:cs="Times New Roman" w:eastAsia="Times New Roman" w:hAnsi="Times New Roman"/>
          <w:sz w:val="17"/>
          <w:szCs w:val="17"/>
          <w:color w:val="auto"/>
        </w:rPr>
      </w:pPr>
    </w:p>
    <w:p>
      <w:pPr>
        <w:ind w:left="258" w:hanging="258"/>
        <w:spacing w:after="0" w:line="205" w:lineRule="auto"/>
        <w:tabs>
          <w:tab w:leader="none" w:pos="254"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3"/>
          <w:szCs w:val="13"/>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260" w:space="322"/>
            <w:col w:w="3738"/>
          </w:cols>
          <w:pgMar w:left="340" w:top="1169" w:right="12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3"/>
          <w:szCs w:val="13"/>
          <w:color w:val="auto"/>
        </w:rPr>
        <w:t>Standard of Conduct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80" w:right="340"/>
        <w:spacing w:after="0" w:line="210" w:lineRule="auto"/>
        <w:rPr>
          <w:sz w:val="20"/>
          <w:szCs w:val="20"/>
          <w:color w:val="auto"/>
        </w:rPr>
      </w:pPr>
      <w:r>
        <w:rPr>
          <w:rFonts w:ascii="Arial" w:cs="Arial" w:eastAsia="Arial" w:hAnsi="Arial"/>
          <w:sz w:val="13"/>
          <w:szCs w:val="13"/>
          <w:color w:val="auto"/>
        </w:rPr>
        <w:t>Under English law, a director owes various statutory and fiduciary duties to the company, including:</w:t>
      </w:r>
    </w:p>
    <w:p>
      <w:pPr>
        <w:spacing w:after="0" w:line="25" w:lineRule="exact"/>
        <w:rPr>
          <w:sz w:val="20"/>
          <w:szCs w:val="20"/>
          <w:color w:val="auto"/>
        </w:rPr>
      </w:pPr>
    </w:p>
    <w:p>
      <w:pPr>
        <w:ind w:left="2800" w:hanging="261"/>
        <w:spacing w:after="0" w:line="209" w:lineRule="auto"/>
        <w:tabs>
          <w:tab w:leader="none" w:pos="2796"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to act in the way he considers, in good faith, would be most likely to promote the success of the company for the benefit of its members as a whole;</w:t>
      </w:r>
    </w:p>
    <w:p>
      <w:pPr>
        <w:spacing w:after="0" w:line="1" w:lineRule="exact"/>
        <w:rPr>
          <w:rFonts w:ascii="Times New Roman" w:cs="Times New Roman" w:eastAsia="Times New Roman" w:hAnsi="Times New Roman"/>
          <w:sz w:val="17"/>
          <w:szCs w:val="17"/>
          <w:color w:val="auto"/>
        </w:rPr>
      </w:pPr>
    </w:p>
    <w:p>
      <w:pPr>
        <w:ind w:left="2800" w:right="160" w:hanging="261"/>
        <w:spacing w:after="0" w:line="205" w:lineRule="auto"/>
        <w:tabs>
          <w:tab w:leader="none" w:pos="2796"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to avoid a situation in which he has, or can have, a direct or indirect interest that conflicts, or possibly conflicts, with the interests of the company;</w:t>
      </w:r>
    </w:p>
    <w:p>
      <w:pPr>
        <w:spacing w:after="0" w:line="2" w:lineRule="exact"/>
        <w:rPr>
          <w:rFonts w:ascii="Times New Roman" w:cs="Times New Roman" w:eastAsia="Times New Roman" w:hAnsi="Times New Roman"/>
          <w:sz w:val="17"/>
          <w:szCs w:val="17"/>
          <w:color w:val="auto"/>
        </w:rPr>
      </w:pPr>
    </w:p>
    <w:p>
      <w:pPr>
        <w:ind w:left="2800" w:right="60" w:hanging="261"/>
        <w:spacing w:after="0" w:line="205" w:lineRule="auto"/>
        <w:tabs>
          <w:tab w:leader="none" w:pos="2796"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to act in accordance with the company’s constitution and only exercise his powers for the purposes for which they are conferred;</w:t>
      </w:r>
    </w:p>
    <w:p>
      <w:pPr>
        <w:spacing w:after="0" w:line="2" w:lineRule="exact"/>
        <w:rPr>
          <w:rFonts w:ascii="Times New Roman" w:cs="Times New Roman" w:eastAsia="Times New Roman" w:hAnsi="Times New Roman"/>
          <w:sz w:val="17"/>
          <w:szCs w:val="17"/>
          <w:color w:val="auto"/>
        </w:rPr>
      </w:pPr>
    </w:p>
    <w:p>
      <w:pPr>
        <w:ind w:left="2780" w:hanging="241"/>
        <w:spacing w:after="0" w:line="195" w:lineRule="auto"/>
        <w:tabs>
          <w:tab w:leader="none" w:pos="278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to exercise independent judgment;</w:t>
      </w:r>
    </w:p>
    <w:p>
      <w:pPr>
        <w:spacing w:after="0" w:line="10" w:lineRule="exact"/>
        <w:rPr>
          <w:rFonts w:ascii="Times New Roman" w:cs="Times New Roman" w:eastAsia="Times New Roman" w:hAnsi="Times New Roman"/>
          <w:sz w:val="17"/>
          <w:szCs w:val="17"/>
          <w:color w:val="auto"/>
        </w:rPr>
      </w:pPr>
    </w:p>
    <w:p>
      <w:pPr>
        <w:ind w:left="2780" w:hanging="241"/>
        <w:spacing w:after="0" w:line="196" w:lineRule="auto"/>
        <w:tabs>
          <w:tab w:leader="none" w:pos="278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to exercise reasonable care, skill and diligence;</w:t>
      </w:r>
    </w:p>
    <w:p>
      <w:pPr>
        <w:spacing w:after="0" w:line="10" w:lineRule="exact"/>
        <w:rPr>
          <w:rFonts w:ascii="Times New Roman" w:cs="Times New Roman" w:eastAsia="Times New Roman" w:hAnsi="Times New Roman"/>
          <w:sz w:val="17"/>
          <w:szCs w:val="17"/>
          <w:color w:val="auto"/>
        </w:rPr>
      </w:pPr>
    </w:p>
    <w:p>
      <w:pPr>
        <w:ind w:left="2800" w:right="140" w:hanging="261"/>
        <w:spacing w:after="0" w:line="206" w:lineRule="auto"/>
        <w:tabs>
          <w:tab w:leader="none" w:pos="2796"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not to accept benefits from a third party conferred by reason of his being a director or doing, or not doing, anything as a director; and</w:t>
      </w:r>
    </w:p>
    <w:p>
      <w:pPr>
        <w:ind w:left="2800" w:right="100" w:hanging="261"/>
        <w:spacing w:after="0" w:line="205" w:lineRule="auto"/>
        <w:tabs>
          <w:tab w:leader="none" w:pos="2796"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3"/>
          <w:szCs w:val="13"/>
          <w:color w:val="auto"/>
        </w:rPr>
        <w:t>a duty to declare any interest that 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ind w:right="60"/>
        <w:spacing w:after="0" w:line="234" w:lineRule="auto"/>
        <w:rPr>
          <w:sz w:val="20"/>
          <w:szCs w:val="20"/>
          <w:color w:val="auto"/>
        </w:rPr>
      </w:pPr>
      <w:r>
        <w:rPr>
          <w:rFonts w:ascii="Arial" w:cs="Arial" w:eastAsia="Arial" w:hAnsi="Arial"/>
          <w:sz w:val="12"/>
          <w:szCs w:val="12"/>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w:t>
      </w:r>
      <w:r>
        <w:rPr>
          <w:rFonts w:ascii="Times New Roman" w:cs="Times New Roman" w:eastAsia="Times New Roman" w:hAnsi="Times New Roman"/>
          <w:sz w:val="12"/>
          <w:szCs w:val="12"/>
          <w:color w:val="auto"/>
        </w:rPr>
        <w:t>-</w:t>
      </w:r>
      <w:r>
        <w:rPr>
          <w:rFonts w:ascii="Arial" w:cs="Arial" w:eastAsia="Arial" w:hAnsi="Arial"/>
          <w:sz w:val="12"/>
          <w:szCs w:val="12"/>
          <w:color w:val="auto"/>
        </w:rPr>
        <w:t>interest, on a well</w:t>
      </w:r>
      <w:r>
        <w:rPr>
          <w:rFonts w:ascii="Times New Roman" w:cs="Times New Roman" w:eastAsia="Times New Roman" w:hAnsi="Times New Roman"/>
          <w:sz w:val="12"/>
          <w:szCs w:val="12"/>
          <w:color w:val="auto"/>
        </w:rPr>
        <w:t>-</w:t>
      </w:r>
      <w:r>
        <w:rPr>
          <w:rFonts w:ascii="Arial" w:cs="Arial" w:eastAsia="Arial" w:hAnsi="Arial"/>
          <w:sz w:val="12"/>
          <w:szCs w:val="12"/>
          <w:color w:val="auto"/>
        </w:rPr>
        <w:t>informed basis and in a manner they reasonably believe to</w:t>
      </w:r>
    </w:p>
    <w:p>
      <w:pPr>
        <w:spacing w:after="0" w:line="232" w:lineRule="auto"/>
        <w:rPr>
          <w:sz w:val="20"/>
          <w:szCs w:val="20"/>
          <w:color w:val="auto"/>
        </w:rPr>
      </w:pPr>
      <w:r>
        <w:rPr>
          <w:rFonts w:ascii="Arial" w:cs="Arial" w:eastAsia="Arial" w:hAnsi="Arial"/>
          <w:sz w:val="13"/>
          <w:szCs w:val="13"/>
          <w:color w:val="auto"/>
        </w:rPr>
        <w:t>be in the best interest of the stockholders. Directors of a Delaware</w:t>
      </w:r>
    </w:p>
    <w:p>
      <w:pPr>
        <w:spacing w:after="0" w:line="207" w:lineRule="auto"/>
        <w:rPr>
          <w:sz w:val="20"/>
          <w:szCs w:val="20"/>
          <w:color w:val="auto"/>
        </w:rPr>
      </w:pPr>
      <w:r>
        <w:rPr>
          <w:rFonts w:ascii="Arial" w:cs="Arial" w:eastAsia="Arial" w:hAnsi="Arial"/>
          <w:sz w:val="13"/>
          <w:szCs w:val="13"/>
          <w:color w:val="auto"/>
        </w:rPr>
        <w:t>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2"/>
          <w:szCs w:val="12"/>
          <w:color w:val="auto"/>
        </w:rPr>
        <w:t>In addition, under Delaware law, when the board of directors of a Delaware corporation approves the sale or break</w:t>
      </w:r>
      <w:r>
        <w:rPr>
          <w:rFonts w:ascii="Times New Roman" w:cs="Times New Roman" w:eastAsia="Times New Roman" w:hAnsi="Times New Roman"/>
          <w:sz w:val="12"/>
          <w:szCs w:val="12"/>
          <w:color w:val="auto"/>
        </w:rPr>
        <w:t>-</w:t>
      </w:r>
      <w:r>
        <w:rPr>
          <w:rFonts w:ascii="Arial" w:cs="Arial" w:eastAsia="Arial" w:hAnsi="Arial"/>
          <w:sz w:val="12"/>
          <w:szCs w:val="12"/>
          <w:color w:val="auto"/>
        </w:rPr>
        <w:t>up of a corporation, the board of directors may, in certain circumstances, have a duty to obtain the highest value reasonably available to the shareholders.</w:t>
      </w:r>
    </w:p>
    <w:p>
      <w:pPr>
        <w:sectPr>
          <w:pgSz w:w="11900" w:h="16838" w:orient="portrait"/>
          <w:cols w:equalWidth="0" w:num="2">
            <w:col w:w="6300" w:space="20"/>
            <w:col w:w="4000"/>
          </w:cols>
          <w:pgMar w:left="340" w:top="1179" w:right="1239" w:bottom="1440" w:gutter="0" w:footer="0" w:header="0"/>
        </w:sectPr>
      </w:pPr>
    </w:p>
    <w:bookmarkStart w:id="146" w:name="page147"/>
    <w:bookmarkEnd w:id="146"/>
    <w:p>
      <w:pPr>
        <w:ind w:left="40"/>
        <w:spacing w:after="0"/>
        <w:tabs>
          <w:tab w:leader="none" w:pos="2300" w:val="left"/>
        </w:tabs>
        <w:rPr>
          <w:sz w:val="20"/>
          <w:szCs w:val="20"/>
          <w:color w:val="auto"/>
        </w:rPr>
      </w:pPr>
      <w:r>
        <w:rPr>
          <w:rFonts w:ascii="Arial" w:cs="Arial" w:eastAsia="Arial" w:hAnsi="Arial"/>
          <w:sz w:val="13"/>
          <w:szCs w:val="13"/>
          <w:color w:val="auto"/>
        </w:rPr>
        <w:t>Stockholder Suits</w:t>
      </w:r>
      <w:r>
        <w:rPr>
          <w:sz w:val="20"/>
          <w:szCs w:val="20"/>
          <w:color w:val="auto"/>
        </w:rPr>
        <w:tab/>
      </w:r>
      <w:r>
        <w:rPr>
          <w:rFonts w:ascii="Arial" w:cs="Arial" w:eastAsia="Arial" w:hAnsi="Arial"/>
          <w:sz w:val="12"/>
          <w:szCs w:val="12"/>
          <w:color w:val="auto"/>
        </w:rPr>
        <w:t>Under English law, generally, the company, rather than its</w:t>
      </w:r>
    </w:p>
    <w:p>
      <w:pPr>
        <w:ind w:left="2320"/>
        <w:spacing w:after="0" w:line="208" w:lineRule="auto"/>
        <w:rPr>
          <w:sz w:val="20"/>
          <w:szCs w:val="20"/>
          <w:color w:val="auto"/>
        </w:rPr>
      </w:pPr>
      <w:r>
        <w:rPr>
          <w:rFonts w:ascii="Arial" w:cs="Arial" w:eastAsia="Arial" w:hAnsi="Arial"/>
          <w:sz w:val="13"/>
          <w:szCs w:val="13"/>
          <w:color w:val="auto"/>
        </w:rPr>
        <w:t>shareholders, is the proper claimant in an action in respect of a wrong done to the company or where there is an irregularity in the company’s internal management. Notwithstanding this general position, the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 w:lineRule="exact"/>
        <w:rPr>
          <w:sz w:val="20"/>
          <w:szCs w:val="20"/>
          <w:color w:val="auto"/>
        </w:rPr>
      </w:pPr>
      <w:r>
        <w:rPr>
          <w:sz w:val="20"/>
          <w:szCs w:val="20"/>
          <w:color w:val="auto"/>
        </w:rPr>
        <w:br w:type="column"/>
      </w:r>
    </w:p>
    <w:p>
      <w:pPr>
        <w:jc w:val="both"/>
        <w:ind w:right="1060"/>
        <w:spacing w:after="0" w:line="208" w:lineRule="auto"/>
        <w:rPr>
          <w:sz w:val="20"/>
          <w:szCs w:val="20"/>
          <w:color w:val="auto"/>
        </w:rPr>
      </w:pPr>
      <w:r>
        <w:rPr>
          <w:rFonts w:ascii="Arial" w:cs="Arial" w:eastAsia="Arial" w:hAnsi="Arial"/>
          <w:sz w:val="13"/>
          <w:szCs w:val="13"/>
          <w:color w:val="auto"/>
        </w:rPr>
        <w:t>Under Delaware law, a stockholder may initiate a derivative action to enforce a right of a corporation if the corporation fails to enforce the right itself. The complaint must:</w:t>
      </w:r>
    </w:p>
    <w:p>
      <w:pPr>
        <w:spacing w:after="0" w:line="25" w:lineRule="exact"/>
        <w:rPr>
          <w:sz w:val="20"/>
          <w:szCs w:val="20"/>
          <w:color w:val="auto"/>
        </w:rPr>
      </w:pPr>
    </w:p>
    <w:p>
      <w:pPr>
        <w:ind w:left="520" w:right="920" w:hanging="258"/>
        <w:spacing w:after="0" w:line="208" w:lineRule="auto"/>
        <w:tabs>
          <w:tab w:leader="none" w:pos="516"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3"/>
          <w:szCs w:val="13"/>
          <w:color w:val="auto"/>
        </w:rPr>
        <w:t>state that the plaintiff was a stockholder at the time of the transaction of which the plaintiff complains or that the plaintiffs shares thereafter devolved on the plaintiff by operation of law; and</w:t>
      </w:r>
    </w:p>
    <w:p>
      <w:pPr>
        <w:spacing w:after="0" w:line="1" w:lineRule="exact"/>
        <w:rPr>
          <w:rFonts w:ascii="Times New Roman" w:cs="Times New Roman" w:eastAsia="Times New Roman" w:hAnsi="Times New Roman"/>
          <w:sz w:val="17"/>
          <w:szCs w:val="17"/>
          <w:color w:val="auto"/>
        </w:rPr>
      </w:pPr>
    </w:p>
    <w:p>
      <w:pPr>
        <w:ind w:left="520" w:right="1100" w:hanging="258"/>
        <w:spacing w:after="0" w:line="221" w:lineRule="auto"/>
        <w:tabs>
          <w:tab w:leader="none" w:pos="516"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2"/>
          <w:szCs w:val="12"/>
          <w:color w:val="auto"/>
        </w:rPr>
        <w:t>allege with particularity the efforts made by the plaintiff to obtain the action the plaintiff desires from the directors and the reasons for the plaintiff’s failure to obtain the action; or</w:t>
      </w:r>
    </w:p>
    <w:p>
      <w:pPr>
        <w:ind w:left="520" w:hanging="258"/>
        <w:spacing w:after="0" w:line="195" w:lineRule="auto"/>
        <w:tabs>
          <w:tab w:leader="none" w:pos="52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3"/>
          <w:szCs w:val="13"/>
          <w:color w:val="auto"/>
        </w:rPr>
        <w:t>state the reasons for not making the effort.</w:t>
      </w:r>
    </w:p>
    <w:p>
      <w:pPr>
        <w:spacing w:after="0" w:line="162" w:lineRule="exact"/>
        <w:rPr>
          <w:sz w:val="20"/>
          <w:szCs w:val="20"/>
          <w:color w:val="auto"/>
        </w:rPr>
      </w:pPr>
    </w:p>
    <w:p>
      <w:pPr>
        <w:ind w:right="960"/>
        <w:spacing w:after="0" w:line="246" w:lineRule="auto"/>
        <w:rPr>
          <w:sz w:val="20"/>
          <w:szCs w:val="20"/>
          <w:color w:val="auto"/>
        </w:rPr>
      </w:pPr>
      <w:r>
        <w:rPr>
          <w:rFonts w:ascii="Arial" w:cs="Arial" w:eastAsia="Arial" w:hAnsi="Arial"/>
          <w:sz w:val="12"/>
          <w:szCs w:val="12"/>
          <w:color w:val="auto"/>
        </w:rPr>
        <w:t>Additionally, the plaintiff must remain a stockholder through the duration of the derivative suit. The action will not be dismissed or compromised without the approval of the Delaware Court of Chancery.</w:t>
      </w:r>
    </w:p>
    <w:p>
      <w:pPr>
        <w:spacing w:after="0" w:line="200" w:lineRule="exact"/>
        <w:rPr>
          <w:sz w:val="20"/>
          <w:szCs w:val="20"/>
          <w:color w:val="auto"/>
        </w:rPr>
      </w:pPr>
    </w:p>
    <w:p>
      <w:pPr>
        <w:sectPr>
          <w:pgSz w:w="11900" w:h="16838" w:orient="portrait"/>
          <w:cols w:equalWidth="0" w:num="2">
            <w:col w:w="6320" w:space="40"/>
            <w:col w:w="4920"/>
          </w:cols>
          <w:pgMar w:left="300" w:top="1169" w:right="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AMERICAN DEPOSITARY SHARES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Depositary Shares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are providing you with a summary description of the material terms of our ADSs and of the material rights of owners of our ADSs. Please remember that summaries by their</w:t>
      </w:r>
    </w:p>
    <w:p>
      <w:pPr>
        <w:spacing w:after="0" w:line="2" w:lineRule="exact"/>
        <w:rPr>
          <w:sz w:val="20"/>
          <w:szCs w:val="20"/>
          <w:color w:val="auto"/>
        </w:rPr>
      </w:pPr>
    </w:p>
    <w:p>
      <w:pPr>
        <w:ind w:right="160"/>
        <w:spacing w:after="0" w:line="222" w:lineRule="auto"/>
        <w:rPr>
          <w:sz w:val="20"/>
          <w:szCs w:val="20"/>
          <w:color w:val="auto"/>
        </w:rPr>
      </w:pPr>
      <w:r>
        <w:rPr>
          <w:rFonts w:ascii="Arial" w:cs="Arial" w:eastAsia="Arial" w:hAnsi="Arial"/>
          <w:sz w:val="14"/>
          <w:szCs w:val="14"/>
          <w:color w:val="auto"/>
        </w:rPr>
        <w:t>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an aggregate total of 250,000,000 of our ADSs with the SEC under registration statements on Form F-6 (Reg. No. 333-217353 and No. 333-270342), or the F-6 Registration Statements.</w:t>
      </w:r>
    </w:p>
    <w:p>
      <w:pPr>
        <w:spacing w:after="0" w:line="133" w:lineRule="exact"/>
        <w:rPr>
          <w:sz w:val="20"/>
          <w:szCs w:val="20"/>
          <w:color w:val="auto"/>
        </w:rPr>
      </w:pPr>
    </w:p>
    <w:p>
      <w:pPr>
        <w:ind w:right="160"/>
        <w:spacing w:after="0" w:line="217" w:lineRule="auto"/>
        <w:rPr>
          <w:sz w:val="20"/>
          <w:szCs w:val="20"/>
          <w:color w:val="auto"/>
        </w:rPr>
      </w:pPr>
      <w:r>
        <w:rPr>
          <w:rFonts w:ascii="Arial" w:cs="Arial" w:eastAsia="Arial" w:hAnsi="Arial"/>
          <w:sz w:val="14"/>
          <w:szCs w:val="14"/>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Canada Square, Canary Wharf, London, E14 5LB, United Kingdom.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We have appointed Citibank as depositary pursuant to a deposit agreement. A copy of the deposit agreement is on file with the SEC under cover of the F-6 Registration Statements.</w:t>
      </w:r>
    </w:p>
    <w:p>
      <w:pPr>
        <w:spacing w:after="0"/>
        <w:rPr>
          <w:sz w:val="20"/>
          <w:szCs w:val="20"/>
          <w:color w:val="auto"/>
        </w:rPr>
      </w:pPr>
      <w:r>
        <w:rPr>
          <w:rFonts w:ascii="Arial" w:cs="Arial" w:eastAsia="Arial" w:hAnsi="Arial"/>
          <w:sz w:val="14"/>
          <w:szCs w:val="14"/>
          <w:color w:val="auto"/>
        </w:rPr>
        <w:t>You may obtain a copy of the deposit agreement from the SEC's website (www.sec.gov). Please refer to registration number 333-270342 when retrieving such copy.</w:t>
      </w:r>
    </w:p>
    <w:p>
      <w:pPr>
        <w:spacing w:after="0" w:line="143"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ordinary share ratio by amending the deposit agreement. This amendment may give</w:t>
      </w:r>
    </w:p>
    <w:p>
      <w:pPr>
        <w:sectPr>
          <w:pgSz w:w="11900" w:h="16838" w:orient="portrait"/>
          <w:cols w:equalWidth="0" w:num="1">
            <w:col w:w="11280"/>
          </w:cols>
          <w:pgMar w:left="300" w:top="1169" w:right="319" w:bottom="1440" w:gutter="0" w:footer="0" w:header="0"/>
          <w:type w:val="continuous"/>
        </w:sectPr>
      </w:pPr>
    </w:p>
    <w:bookmarkStart w:id="147" w:name="page148"/>
    <w:bookmarkEnd w:id="147"/>
    <w:p>
      <w:pPr>
        <w:ind w:right="20"/>
        <w:spacing w:after="0" w:line="223" w:lineRule="auto"/>
        <w:rPr>
          <w:sz w:val="20"/>
          <w:szCs w:val="20"/>
          <w:color w:val="auto"/>
        </w:rPr>
      </w:pPr>
      <w:r>
        <w:rPr>
          <w:rFonts w:ascii="Arial" w:cs="Arial" w:eastAsia="Arial" w:hAnsi="Arial"/>
          <w:sz w:val="14"/>
          <w:szCs w:val="14"/>
          <w:color w:val="auto"/>
        </w:rPr>
        <w:t>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w:t>
      </w:r>
    </w:p>
    <w:p>
      <w:pPr>
        <w:spacing w:after="0" w:line="1" w:lineRule="exact"/>
        <w:rPr>
          <w:sz w:val="20"/>
          <w:szCs w:val="20"/>
          <w:color w:val="auto"/>
        </w:rPr>
      </w:pPr>
    </w:p>
    <w:p>
      <w:pPr>
        <w:jc w:val="both"/>
        <w:ind w:right="80"/>
        <w:spacing w:after="0" w:line="210" w:lineRule="auto"/>
        <w:rPr>
          <w:sz w:val="20"/>
          <w:szCs w:val="20"/>
          <w:color w:val="auto"/>
        </w:rPr>
      </w:pPr>
      <w:r>
        <w:rPr>
          <w:rFonts w:ascii="Arial" w:cs="Arial" w:eastAsia="Arial" w:hAnsi="Arial"/>
          <w:sz w:val="14"/>
          <w:szCs w:val="14"/>
          <w:color w:val="auto"/>
        </w:rPr>
        <w:t>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w:t>
      </w:r>
    </w:p>
    <w:p>
      <w:pPr>
        <w:spacing w:after="0" w:line="2" w:lineRule="exact"/>
        <w:rPr>
          <w:sz w:val="20"/>
          <w:szCs w:val="20"/>
          <w:color w:val="auto"/>
        </w:rPr>
      </w:pPr>
    </w:p>
    <w:p>
      <w:pPr>
        <w:jc w:val="both"/>
        <w:ind w:right="80"/>
        <w:spacing w:after="0" w:line="231" w:lineRule="auto"/>
        <w:rPr>
          <w:sz w:val="20"/>
          <w:szCs w:val="20"/>
          <w:color w:val="auto"/>
        </w:rPr>
      </w:pPr>
      <w:r>
        <w:rPr>
          <w:rFonts w:ascii="Arial" w:cs="Arial" w:eastAsia="Arial" w:hAnsi="Arial"/>
          <w:sz w:val="14"/>
          <w:szCs w:val="14"/>
          <w:color w:val="auto"/>
        </w:rPr>
        <w:t>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If you become an owner of ADSs, you will become a party to the deposit agreement and therefore will be bound to its terms and to the terms of any ADR that represents your ADSs.</w:t>
      </w:r>
    </w:p>
    <w:p>
      <w:pPr>
        <w:spacing w:after="0" w:line="2" w:lineRule="exact"/>
        <w:rPr>
          <w:sz w:val="20"/>
          <w:szCs w:val="20"/>
          <w:color w:val="auto"/>
        </w:rPr>
      </w:pPr>
    </w:p>
    <w:p>
      <w:pPr>
        <w:jc w:val="both"/>
        <w:ind w:right="60"/>
        <w:spacing w:after="0" w:line="222" w:lineRule="auto"/>
        <w:rPr>
          <w:sz w:val="20"/>
          <w:szCs w:val="20"/>
          <w:color w:val="auto"/>
        </w:rPr>
      </w:pPr>
      <w:r>
        <w:rPr>
          <w:rFonts w:ascii="Arial" w:cs="Arial" w:eastAsia="Arial" w:hAnsi="Arial"/>
          <w:sz w:val="14"/>
          <w:szCs w:val="14"/>
          <w:color w:val="auto"/>
        </w:rPr>
        <w:t>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33" w:lineRule="exact"/>
        <w:rPr>
          <w:sz w:val="20"/>
          <w:szCs w:val="20"/>
          <w:color w:val="auto"/>
        </w:rPr>
      </w:pPr>
    </w:p>
    <w:p>
      <w:pPr>
        <w:jc w:val="both"/>
        <w:ind w:right="140"/>
        <w:spacing w:after="0" w:line="229" w:lineRule="auto"/>
        <w:rPr>
          <w:sz w:val="20"/>
          <w:szCs w:val="20"/>
          <w:color w:val="auto"/>
        </w:rPr>
      </w:pPr>
      <w:r>
        <w:rPr>
          <w:rFonts w:ascii="Arial" w:cs="Arial" w:eastAsia="Arial" w:hAnsi="Arial"/>
          <w:sz w:val="14"/>
          <w:szCs w:val="14"/>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33" w:lineRule="exact"/>
        <w:rPr>
          <w:sz w:val="20"/>
          <w:szCs w:val="20"/>
          <w:color w:val="auto"/>
        </w:rPr>
      </w:pPr>
    </w:p>
    <w:p>
      <w:pPr>
        <w:ind w:right="40"/>
        <w:spacing w:after="0" w:line="217" w:lineRule="auto"/>
        <w:rPr>
          <w:sz w:val="20"/>
          <w:szCs w:val="20"/>
          <w:color w:val="auto"/>
        </w:rPr>
      </w:pPr>
      <w:r>
        <w:rPr>
          <w:rFonts w:ascii="Arial" w:cs="Arial" w:eastAsia="Arial" w:hAnsi="Arial"/>
          <w:sz w:val="14"/>
          <w:szCs w:val="14"/>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owner, need to arrange for the cancellation of your ADSs and become a direct shareholder.</w:t>
      </w:r>
    </w:p>
    <w:p>
      <w:pPr>
        <w:spacing w:after="0" w:line="133" w:lineRule="exact"/>
        <w:rPr>
          <w:sz w:val="20"/>
          <w:szCs w:val="20"/>
          <w:color w:val="auto"/>
        </w:rPr>
      </w:pPr>
    </w:p>
    <w:p>
      <w:pPr>
        <w:ind w:right="140"/>
        <w:spacing w:after="0" w:line="223" w:lineRule="auto"/>
        <w:rPr>
          <w:sz w:val="20"/>
          <w:szCs w:val="20"/>
          <w:color w:val="auto"/>
        </w:rPr>
      </w:pPr>
      <w:r>
        <w:rPr>
          <w:rFonts w:ascii="Arial" w:cs="Arial" w:eastAsia="Arial" w:hAnsi="Arial"/>
          <w:sz w:val="14"/>
          <w:szCs w:val="14"/>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w:t>
      </w:r>
    </w:p>
    <w:p>
      <w:pPr>
        <w:spacing w:after="0" w:line="1" w:lineRule="exact"/>
        <w:rPr>
          <w:sz w:val="20"/>
          <w:szCs w:val="20"/>
          <w:color w:val="auto"/>
        </w:rPr>
      </w:pPr>
    </w:p>
    <w:p>
      <w:pPr>
        <w:ind w:right="40"/>
        <w:spacing w:after="0" w:line="210" w:lineRule="auto"/>
        <w:rPr>
          <w:sz w:val="20"/>
          <w:szCs w:val="20"/>
          <w:color w:val="auto"/>
        </w:rPr>
      </w:pPr>
      <w:r>
        <w:rPr>
          <w:rFonts w:ascii="Arial" w:cs="Arial" w:eastAsia="Arial" w:hAnsi="Arial"/>
          <w:sz w:val="14"/>
          <w:szCs w:val="14"/>
          <w:color w:val="auto"/>
        </w:rPr>
        <w:t>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w:t>
      </w:r>
    </w:p>
    <w:p>
      <w:pPr>
        <w:spacing w:after="0" w:line="2" w:lineRule="exact"/>
        <w:rPr>
          <w:sz w:val="20"/>
          <w:szCs w:val="20"/>
          <w:color w:val="auto"/>
        </w:rPr>
      </w:pPr>
    </w:p>
    <w:p>
      <w:pPr>
        <w:ind w:right="180"/>
        <w:spacing w:after="0" w:line="210" w:lineRule="auto"/>
        <w:rPr>
          <w:sz w:val="20"/>
          <w:szCs w:val="20"/>
          <w:color w:val="auto"/>
        </w:rPr>
      </w:pPr>
      <w:r>
        <w:rPr>
          <w:rFonts w:ascii="Arial" w:cs="Arial" w:eastAsia="Arial" w:hAnsi="Arial"/>
          <w:sz w:val="14"/>
          <w:szCs w:val="14"/>
          <w:color w:val="auto"/>
        </w:rPr>
        <w:t>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w:t>
      </w:r>
    </w:p>
    <w:p>
      <w:pPr>
        <w:spacing w:after="0" w:line="2"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The registration of the ordinary shares in the name of the depositary or the custodian shall, to the maximum extent permitted by applicable law, vest in the depositary or the</w:t>
      </w:r>
    </w:p>
    <w:p>
      <w:pPr>
        <w:spacing w:after="0" w:line="2" w:lineRule="exact"/>
        <w:rPr>
          <w:sz w:val="20"/>
          <w:szCs w:val="20"/>
          <w:color w:val="auto"/>
        </w:rPr>
      </w:pPr>
    </w:p>
    <w:p>
      <w:pPr>
        <w:jc w:val="both"/>
        <w:ind w:right="500"/>
        <w:spacing w:after="0" w:line="222" w:lineRule="auto"/>
        <w:rPr>
          <w:sz w:val="20"/>
          <w:szCs w:val="20"/>
          <w:color w:val="auto"/>
        </w:rPr>
      </w:pPr>
      <w:r>
        <w:rPr>
          <w:rFonts w:ascii="Arial" w:cs="Arial" w:eastAsia="Arial" w:hAnsi="Arial"/>
          <w:sz w:val="14"/>
          <w:szCs w:val="14"/>
          <w:color w:val="auto"/>
        </w:rPr>
        <w:t>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Other Distributions</w:t>
      </w:r>
    </w:p>
    <w:p>
      <w:pPr>
        <w:sectPr>
          <w:pgSz w:w="11900" w:h="16838" w:orient="portrait"/>
          <w:cols w:equalWidth="0" w:num="1">
            <w:col w:w="11260"/>
          </w:cols>
          <w:pgMar w:left="300" w:top="1302" w:right="339" w:bottom="1440" w:gutter="0" w:footer="0" w:header="0"/>
        </w:sectPr>
      </w:pPr>
    </w:p>
    <w:bookmarkStart w:id="148" w:name="page149"/>
    <w:bookmarkEnd w:id="148"/>
    <w:p>
      <w:pPr>
        <w:ind w:right="140"/>
        <w:spacing w:after="0" w:line="223" w:lineRule="auto"/>
        <w:rPr>
          <w:sz w:val="20"/>
          <w:szCs w:val="20"/>
          <w:color w:val="auto"/>
        </w:rPr>
      </w:pPr>
      <w:r>
        <w:rPr>
          <w:rFonts w:ascii="Arial" w:cs="Arial" w:eastAsia="Arial" w:hAnsi="Arial"/>
          <w:sz w:val="14"/>
          <w:szCs w:val="14"/>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number of ADSs held as of the specified record date, after deducting the applicable fees, taxes and expenses.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of Cash</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Whenever we make a cash distribution for the ordinary shares on deposit with the custodian, we will deposit the funds with the custodian. Upon receipt of confirmation of the deposit</w:t>
      </w:r>
    </w:p>
    <w:p>
      <w:pPr>
        <w:spacing w:after="0" w:line="2"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of the requisite funds, the depositary will arrange for the funds to be converted into U.S. dollars and for the distribution of the U.S. dollars to the holders, subject to the laws and regulations of England and Wales.</w:t>
      </w:r>
    </w:p>
    <w:p>
      <w:pPr>
        <w:spacing w:after="0" w:line="122"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110"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effected or the funds that the depositary holds must be escheated as unclaimed property in accordance with the laws of the relevant states of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of Shares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Whenever we make a free distribution of ordinary shares for the ordinary shares on deposit with the custodian, we will deposit the applicable number of ordinary shares with the</w:t>
      </w:r>
    </w:p>
    <w:p>
      <w:pPr>
        <w:spacing w:after="0" w:line="2" w:lineRule="exact"/>
        <w:rPr>
          <w:sz w:val="20"/>
          <w:szCs w:val="20"/>
          <w:color w:val="auto"/>
        </w:rPr>
      </w:pPr>
    </w:p>
    <w:p>
      <w:pPr>
        <w:jc w:val="both"/>
        <w:ind w:right="120"/>
        <w:spacing w:after="0" w:line="222" w:lineRule="auto"/>
        <w:rPr>
          <w:sz w:val="20"/>
          <w:szCs w:val="20"/>
          <w:color w:val="auto"/>
        </w:rPr>
      </w:pPr>
      <w:r>
        <w:rPr>
          <w:rFonts w:ascii="Arial" w:cs="Arial" w:eastAsia="Arial" w:hAnsi="Arial"/>
          <w:sz w:val="14"/>
          <w:szCs w:val="14"/>
          <w:color w:val="auto"/>
        </w:rPr>
        <w:t>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3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33"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No such distribution of new ADSs will be made if it would violate a law (</w:t>
      </w:r>
      <w:r>
        <w:rPr>
          <w:rFonts w:ascii="Arial" w:cs="Arial" w:eastAsia="Arial" w:hAnsi="Arial"/>
          <w:sz w:val="14"/>
          <w:szCs w:val="14"/>
          <w:i w:val="1"/>
          <w:iCs w:val="1"/>
          <w:color w:val="auto"/>
        </w:rPr>
        <w:t>e.g.</w:t>
      </w:r>
      <w:r>
        <w:rPr>
          <w:rFonts w:ascii="Arial" w:cs="Arial" w:eastAsia="Arial" w:hAnsi="Arial"/>
          <w:sz w:val="14"/>
          <w:szCs w:val="14"/>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of Rights</w:t>
      </w:r>
    </w:p>
    <w:p>
      <w:pPr>
        <w:spacing w:after="0" w:line="145"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32" w:lineRule="exact"/>
        <w:rPr>
          <w:sz w:val="20"/>
          <w:szCs w:val="20"/>
          <w:color w:val="auto"/>
        </w:rPr>
      </w:pPr>
    </w:p>
    <w:p>
      <w:pPr>
        <w:ind w:right="140"/>
        <w:spacing w:after="0" w:line="217" w:lineRule="auto"/>
        <w:rPr>
          <w:sz w:val="20"/>
          <w:szCs w:val="20"/>
          <w:color w:val="auto"/>
        </w:rPr>
      </w:pPr>
      <w:r>
        <w:rPr>
          <w:rFonts w:ascii="Arial" w:cs="Arial" w:eastAsia="Arial" w:hAnsi="Arial"/>
          <w:sz w:val="14"/>
          <w:szCs w:val="14"/>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depositary is not obligated to establish procedures to facilitate the distribution and exercise by holders of rights to purchase new ordinary shares other than in the form of ADSs.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depositary will </w:t>
      </w:r>
      <w:r>
        <w:rPr>
          <w:rFonts w:ascii="Arial" w:cs="Arial" w:eastAsia="Arial" w:hAnsi="Arial"/>
          <w:sz w:val="14"/>
          <w:szCs w:val="14"/>
          <w:i w:val="1"/>
          <w:iCs w:val="1"/>
          <w:color w:val="auto"/>
        </w:rPr>
        <w:t>not</w:t>
      </w:r>
      <w:r>
        <w:rPr>
          <w:rFonts w:ascii="Arial" w:cs="Arial" w:eastAsia="Arial" w:hAnsi="Arial"/>
          <w:sz w:val="14"/>
          <w:szCs w:val="14"/>
          <w:color w:val="auto"/>
        </w:rPr>
        <w:t xml:space="preserve"> distribute the rights to you if:</w:t>
      </w:r>
    </w:p>
    <w:p>
      <w:pPr>
        <w:sectPr>
          <w:pgSz w:w="11900" w:h="16838" w:orient="portrait"/>
          <w:cols w:equalWidth="0" w:num="1">
            <w:col w:w="11260"/>
          </w:cols>
          <w:pgMar w:left="300" w:top="1302" w:right="339" w:bottom="1440" w:gutter="0" w:footer="0" w:header="0"/>
        </w:sectPr>
      </w:pPr>
    </w:p>
    <w:bookmarkStart w:id="149" w:name="page150"/>
    <w:bookmarkEnd w:id="149"/>
    <w:p>
      <w:pPr>
        <w:ind w:left="500" w:hanging="240"/>
        <w:spacing w:after="0"/>
        <w:tabs>
          <w:tab w:leader="none" w:pos="50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4"/>
          <w:szCs w:val="14"/>
          <w:color w:val="auto"/>
        </w:rPr>
        <w:t>we do not timely request that the rights be distributed to you or we request that the rights not be distributed to you; or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4"/>
          <w:szCs w:val="14"/>
          <w:color w:val="auto"/>
        </w:rPr>
        <w:t>we fail to deliver satisfactory documents to the depositary; or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4"/>
          <w:szCs w:val="14"/>
          <w:color w:val="auto"/>
        </w:rPr>
        <w:t>it is not reasonably practicable to distribute the rights.</w:t>
      </w:r>
    </w:p>
    <w:p>
      <w:pPr>
        <w:spacing w:after="0" w:line="13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Elective Distributions</w:t>
      </w:r>
    </w:p>
    <w:p>
      <w:pPr>
        <w:spacing w:after="0" w:line="145" w:lineRule="exact"/>
        <w:rPr>
          <w:sz w:val="20"/>
          <w:szCs w:val="20"/>
          <w:color w:val="auto"/>
        </w:rPr>
      </w:pPr>
    </w:p>
    <w:p>
      <w:pPr>
        <w:ind w:right="140"/>
        <w:spacing w:after="0" w:line="223" w:lineRule="auto"/>
        <w:rPr>
          <w:sz w:val="20"/>
          <w:szCs w:val="20"/>
          <w:color w:val="auto"/>
        </w:rPr>
      </w:pPr>
      <w:r>
        <w:rPr>
          <w:rFonts w:ascii="Arial" w:cs="Arial" w:eastAsia="Arial" w:hAnsi="Arial"/>
          <w:sz w:val="14"/>
          <w:szCs w:val="14"/>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reasonably practicable.</w:t>
      </w:r>
    </w:p>
    <w:p>
      <w:pPr>
        <w:spacing w:after="0" w:line="13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32" w:lineRule="exact"/>
        <w:rPr>
          <w:sz w:val="20"/>
          <w:szCs w:val="20"/>
          <w:color w:val="auto"/>
        </w:rPr>
      </w:pPr>
    </w:p>
    <w:p>
      <w:pPr>
        <w:ind w:right="240"/>
        <w:spacing w:after="0" w:line="242" w:lineRule="auto"/>
        <w:rPr>
          <w:sz w:val="20"/>
          <w:szCs w:val="20"/>
          <w:color w:val="auto"/>
        </w:rPr>
      </w:pPr>
      <w:r>
        <w:rPr>
          <w:rFonts w:ascii="Arial" w:cs="Arial" w:eastAsia="Arial" w:hAnsi="Arial"/>
          <w:sz w:val="14"/>
          <w:szCs w:val="14"/>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Distributions</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21"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10"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depositary will </w:t>
      </w:r>
      <w:r>
        <w:rPr>
          <w:rFonts w:ascii="Arial" w:cs="Arial" w:eastAsia="Arial" w:hAnsi="Arial"/>
          <w:sz w:val="14"/>
          <w:szCs w:val="14"/>
          <w:i w:val="1"/>
          <w:iCs w:val="1"/>
          <w:color w:val="auto"/>
        </w:rPr>
        <w:t>not</w:t>
      </w:r>
      <w:r>
        <w:rPr>
          <w:rFonts w:ascii="Arial" w:cs="Arial" w:eastAsia="Arial" w:hAnsi="Arial"/>
          <w:sz w:val="14"/>
          <w:szCs w:val="14"/>
          <w:color w:val="auto"/>
        </w:rPr>
        <w:t xml:space="preserve"> distribute the property to you and will sell the property if:</w:t>
      </w:r>
    </w:p>
    <w:p>
      <w:pPr>
        <w:spacing w:after="0" w:line="158" w:lineRule="exact"/>
        <w:rPr>
          <w:sz w:val="20"/>
          <w:szCs w:val="20"/>
          <w:color w:val="auto"/>
        </w:rPr>
      </w:pPr>
    </w:p>
    <w:p>
      <w:pPr>
        <w:ind w:left="500" w:hanging="240"/>
        <w:spacing w:after="0"/>
        <w:tabs>
          <w:tab w:leader="none" w:pos="50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4"/>
          <w:szCs w:val="14"/>
          <w:color w:val="auto"/>
        </w:rPr>
        <w:t>we do not request that the property be distributed to you or if we ask that the property not be distributed to you; or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4"/>
          <w:szCs w:val="14"/>
          <w:color w:val="auto"/>
        </w:rPr>
        <w:t>we do not deliver satisfactory documents to the depositary; or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4"/>
          <w:szCs w:val="14"/>
          <w:color w:val="auto"/>
        </w:rPr>
        <w:t>the depositary determines that all or a portion of the distribution to you is not reasonably practicable.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proceeds of such a sale will be distributed to holders as in the case of a cash distribution.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Redemption</w:t>
      </w:r>
    </w:p>
    <w:p>
      <w:pPr>
        <w:spacing w:after="0" w:line="155" w:lineRule="exact"/>
        <w:rPr>
          <w:sz w:val="20"/>
          <w:szCs w:val="20"/>
          <w:color w:val="auto"/>
        </w:rPr>
      </w:pPr>
    </w:p>
    <w:p>
      <w:pPr>
        <w:ind w:right="380"/>
        <w:spacing w:after="0" w:line="242" w:lineRule="auto"/>
        <w:rPr>
          <w:sz w:val="20"/>
          <w:szCs w:val="20"/>
          <w:color w:val="auto"/>
        </w:rPr>
      </w:pPr>
      <w:r>
        <w:rPr>
          <w:rFonts w:ascii="Arial" w:cs="Arial" w:eastAsia="Arial" w:hAnsi="Arial"/>
          <w:sz w:val="14"/>
          <w:szCs w:val="14"/>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ectPr>
          <w:pgSz w:w="11900" w:h="16838" w:orient="portrait"/>
          <w:cols w:equalWidth="0" w:num="1">
            <w:col w:w="11260"/>
          </w:cols>
          <w:pgMar w:left="300" w:top="1314" w:right="339" w:bottom="1440" w:gutter="0" w:footer="0" w:header="0"/>
        </w:sectPr>
      </w:pPr>
    </w:p>
    <w:bookmarkStart w:id="150" w:name="page151"/>
    <w:bookmarkEnd w:id="150"/>
    <w:p>
      <w:pPr>
        <w:jc w:val="both"/>
        <w:spacing w:after="0" w:line="223" w:lineRule="auto"/>
        <w:rPr>
          <w:sz w:val="20"/>
          <w:szCs w:val="20"/>
          <w:color w:val="auto"/>
        </w:rPr>
      </w:pPr>
      <w:r>
        <w:rPr>
          <w:rFonts w:ascii="Arial" w:cs="Arial" w:eastAsia="Arial" w:hAnsi="Arial"/>
          <w:sz w:val="14"/>
          <w:szCs w:val="14"/>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w:t>
      </w:r>
    </w:p>
    <w:p>
      <w:pPr>
        <w:spacing w:after="0" w:line="1"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 xml:space="preserve">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as the depositary may determine.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Affecting Ordinary Shares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If any such change were to occur, your ADSs would, to the extent permitted by law, represent the right to receive the property received or exchanged in respect of the ordinary</w:t>
      </w:r>
    </w:p>
    <w:p>
      <w:pPr>
        <w:spacing w:after="0" w:line="2" w:lineRule="exact"/>
        <w:rPr>
          <w:sz w:val="20"/>
          <w:szCs w:val="20"/>
          <w:color w:val="auto"/>
        </w:rPr>
      </w:pPr>
    </w:p>
    <w:p>
      <w:pPr>
        <w:jc w:val="both"/>
        <w:ind w:right="20"/>
        <w:spacing w:after="0" w:line="222" w:lineRule="auto"/>
        <w:rPr>
          <w:sz w:val="20"/>
          <w:szCs w:val="20"/>
          <w:color w:val="auto"/>
        </w:rPr>
      </w:pPr>
      <w:r>
        <w:rPr>
          <w:rFonts w:ascii="Arial" w:cs="Arial" w:eastAsia="Arial" w:hAnsi="Arial"/>
          <w:sz w:val="14"/>
          <w:szCs w:val="14"/>
          <w:color w:val="auto"/>
        </w:rPr>
        <w:t>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ADSs upon Deposit of Ordinary Shares</w:t>
      </w:r>
    </w:p>
    <w:p>
      <w:pPr>
        <w:spacing w:after="0" w:line="147"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receive ADSs may be limited by U.S. and England and Wales legal considerations applicable at the time of deposit.</w:t>
      </w:r>
    </w:p>
    <w:p>
      <w:pPr>
        <w:spacing w:after="0" w:line="200" w:lineRule="exact"/>
        <w:rPr>
          <w:sz w:val="20"/>
          <w:szCs w:val="20"/>
          <w:color w:val="auto"/>
        </w:rPr>
      </w:pPr>
    </w:p>
    <w:p>
      <w:pPr>
        <w:spacing w:after="0" w:line="293"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32"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When you make a deposit of ordinary shares, you will be responsible for transferring good and valid title to the depositary. As such, you will be deemed to represent and warrant that:</w:t>
      </w:r>
    </w:p>
    <w:p>
      <w:pPr>
        <w:spacing w:after="0" w:line="133" w:lineRule="exact"/>
        <w:rPr>
          <w:sz w:val="20"/>
          <w:szCs w:val="20"/>
          <w:color w:val="auto"/>
        </w:rPr>
      </w:pPr>
    </w:p>
    <w:p>
      <w:pPr>
        <w:ind w:left="500" w:hanging="240"/>
        <w:spacing w:after="0"/>
        <w:tabs>
          <w:tab w:leader="none" w:pos="50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4"/>
          <w:szCs w:val="14"/>
          <w:color w:val="auto"/>
        </w:rPr>
        <w:t>the ordinary shares are duly authorized, validly issued, fully paid, non-assessable and legally obtained;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4"/>
          <w:szCs w:val="14"/>
          <w:color w:val="auto"/>
        </w:rPr>
        <w:t>all preemptive (and similar) rights, if any, with respect to such ordinary shares have been validly waived or exercised;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4"/>
          <w:szCs w:val="14"/>
          <w:color w:val="auto"/>
        </w:rPr>
        <w:t>you are duly authorized to deposit the ordinary shares;</w:t>
      </w:r>
    </w:p>
    <w:p>
      <w:pPr>
        <w:spacing w:after="0" w:line="153" w:lineRule="exact"/>
        <w:rPr>
          <w:rFonts w:ascii="Times New Roman" w:cs="Times New Roman" w:eastAsia="Times New Roman" w:hAnsi="Times New Roman"/>
          <w:sz w:val="17"/>
          <w:szCs w:val="17"/>
          <w:color w:val="auto"/>
        </w:rPr>
      </w:pPr>
    </w:p>
    <w:p>
      <w:pPr>
        <w:ind w:left="520" w:right="260" w:hanging="260"/>
        <w:spacing w:after="0" w:line="225" w:lineRule="auto"/>
        <w:tabs>
          <w:tab w:leader="none" w:pos="516"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4"/>
          <w:szCs w:val="14"/>
          <w:color w:val="auto"/>
        </w:rPr>
        <w:t>the ordinary shares presented for deposit have not been stripped of any rights or entitlements.</w:t>
      </w:r>
    </w:p>
    <w:p>
      <w:pPr>
        <w:spacing w:after="0" w:line="132" w:lineRule="exact"/>
        <w:rPr>
          <w:sz w:val="20"/>
          <w:szCs w:val="20"/>
          <w:color w:val="auto"/>
        </w:rPr>
      </w:pPr>
    </w:p>
    <w:p>
      <w:pPr>
        <w:ind w:right="540"/>
        <w:spacing w:after="0" w:line="242" w:lineRule="auto"/>
        <w:rPr>
          <w:sz w:val="20"/>
          <w:szCs w:val="20"/>
          <w:color w:val="auto"/>
        </w:rPr>
      </w:pPr>
      <w:r>
        <w:rPr>
          <w:rFonts w:ascii="Arial" w:cs="Arial" w:eastAsia="Arial" w:hAnsi="Arial"/>
          <w:sz w:val="14"/>
          <w:szCs w:val="14"/>
          <w:color w:val="auto"/>
        </w:rPr>
        <w:t>If any of the representations or warranties are incorrect in any way, we and the depositary may, at your cost and expense, take any and all actions necessary to correct the consequences of the misrepresentations.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Combination and Split Up of ADRs</w:t>
      </w:r>
    </w:p>
    <w:p>
      <w:pPr>
        <w:sectPr>
          <w:pgSz w:w="11900" w:h="16838" w:orient="portrait"/>
          <w:cols w:equalWidth="0" w:num="1">
            <w:col w:w="11200"/>
          </w:cols>
          <w:pgMar w:left="300" w:top="1302" w:right="399" w:bottom="1440" w:gutter="0" w:footer="0" w:header="0"/>
        </w:sectPr>
      </w:pPr>
    </w:p>
    <w:bookmarkStart w:id="151" w:name="page152"/>
    <w:bookmarkEnd w:id="151"/>
    <w:p>
      <w:pPr>
        <w:spacing w:after="0" w:line="242" w:lineRule="auto"/>
        <w:rPr>
          <w:sz w:val="20"/>
          <w:szCs w:val="20"/>
          <w:color w:val="auto"/>
        </w:rPr>
      </w:pPr>
      <w:r>
        <w:rPr>
          <w:rFonts w:ascii="Arial" w:cs="Arial" w:eastAsia="Arial" w:hAnsi="Arial"/>
          <w:sz w:val="14"/>
          <w:szCs w:val="14"/>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43" w:lineRule="exact"/>
        <w:rPr>
          <w:sz w:val="20"/>
          <w:szCs w:val="20"/>
          <w:color w:val="auto"/>
        </w:rPr>
      </w:pPr>
    </w:p>
    <w:p>
      <w:pPr>
        <w:ind w:left="500" w:hanging="240"/>
        <w:spacing w:after="0"/>
        <w:tabs>
          <w:tab w:leader="none" w:pos="50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4"/>
          <w:szCs w:val="14"/>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4"/>
          <w:szCs w:val="14"/>
          <w:color w:val="auto"/>
        </w:rPr>
        <w:t>provide such proof of identity and genuineness of signatures as the depositary deems appropriate;</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4"/>
          <w:szCs w:val="14"/>
          <w:color w:val="auto"/>
        </w:rPr>
        <w:t>provide any transfer stamps required by the State of New York or the United States; and</w:t>
      </w:r>
    </w:p>
    <w:p>
      <w:pPr>
        <w:spacing w:after="0" w:line="153" w:lineRule="exact"/>
        <w:rPr>
          <w:rFonts w:ascii="Times New Roman" w:cs="Times New Roman" w:eastAsia="Times New Roman" w:hAnsi="Times New Roman"/>
          <w:sz w:val="17"/>
          <w:szCs w:val="17"/>
          <w:color w:val="auto"/>
        </w:rPr>
      </w:pPr>
    </w:p>
    <w:p>
      <w:pPr>
        <w:ind w:left="520" w:hanging="260"/>
        <w:spacing w:after="0" w:line="225" w:lineRule="auto"/>
        <w:tabs>
          <w:tab w:leader="none" w:pos="516"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4"/>
          <w:szCs w:val="14"/>
          <w:color w:val="auto"/>
        </w:rPr>
        <w:t>pay all applicable fees, charges, expenses, taxes and other government charges payable by ADR holders pursuant to the terms of the deposit agreement, upon the transfer of ADRs.</w:t>
      </w:r>
    </w:p>
    <w:p>
      <w:pPr>
        <w:spacing w:after="0" w:line="122"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Withdrawal of Ordinary Shares Upon Cancellation of ADSs</w:t>
      </w:r>
    </w:p>
    <w:p>
      <w:pPr>
        <w:spacing w:after="0" w:line="147" w:lineRule="exact"/>
        <w:rPr>
          <w:sz w:val="20"/>
          <w:szCs w:val="20"/>
          <w:color w:val="auto"/>
        </w:rPr>
      </w:pPr>
    </w:p>
    <w:p>
      <w:pPr>
        <w:jc w:val="both"/>
        <w:ind w:right="60"/>
        <w:spacing w:after="0" w:line="223" w:lineRule="auto"/>
        <w:rPr>
          <w:sz w:val="20"/>
          <w:szCs w:val="20"/>
          <w:color w:val="auto"/>
        </w:rPr>
      </w:pPr>
      <w:r>
        <w:rPr>
          <w:rFonts w:ascii="Arial" w:cs="Arial" w:eastAsia="Arial" w:hAnsi="Arial"/>
          <w:sz w:val="14"/>
          <w:szCs w:val="14"/>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w:t>
      </w:r>
    </w:p>
    <w:p>
      <w:pPr>
        <w:spacing w:after="0" w:line="1" w:lineRule="exact"/>
        <w:rPr>
          <w:sz w:val="20"/>
          <w:szCs w:val="20"/>
          <w:color w:val="auto"/>
        </w:rPr>
      </w:pPr>
    </w:p>
    <w:p>
      <w:pPr>
        <w:ind w:right="280"/>
        <w:spacing w:after="0" w:line="222" w:lineRule="auto"/>
        <w:rPr>
          <w:sz w:val="20"/>
          <w:szCs w:val="20"/>
          <w:color w:val="auto"/>
        </w:rPr>
      </w:pPr>
      <w:r>
        <w:rPr>
          <w:rFonts w:ascii="Arial" w:cs="Arial" w:eastAsia="Arial" w:hAnsi="Arial"/>
          <w:sz w:val="14"/>
          <w:szCs w:val="14"/>
          <w:color w:val="auto"/>
        </w:rPr>
        <w:t>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33" w:lineRule="exact"/>
        <w:rPr>
          <w:sz w:val="20"/>
          <w:szCs w:val="20"/>
          <w:color w:val="auto"/>
        </w:rPr>
      </w:pPr>
    </w:p>
    <w:p>
      <w:pPr>
        <w:jc w:val="both"/>
        <w:ind w:right="160"/>
        <w:spacing w:after="0" w:line="217" w:lineRule="auto"/>
        <w:rPr>
          <w:sz w:val="20"/>
          <w:szCs w:val="20"/>
          <w:color w:val="auto"/>
        </w:rPr>
      </w:pPr>
      <w:r>
        <w:rPr>
          <w:rFonts w:ascii="Arial" w:cs="Arial" w:eastAsia="Arial" w:hAnsi="Arial"/>
          <w:sz w:val="14"/>
          <w:szCs w:val="14"/>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securities on deposit.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You will have the right to withdraw the securities represented by your ADSs at any time except as a result of:</w:t>
      </w:r>
    </w:p>
    <w:p>
      <w:pPr>
        <w:spacing w:after="0" w:line="168" w:lineRule="exact"/>
        <w:rPr>
          <w:sz w:val="20"/>
          <w:szCs w:val="20"/>
          <w:color w:val="auto"/>
        </w:rPr>
      </w:pPr>
    </w:p>
    <w:p>
      <w:pPr>
        <w:ind w:left="520" w:right="640" w:hanging="260"/>
        <w:spacing w:after="0" w:line="225" w:lineRule="auto"/>
        <w:tabs>
          <w:tab w:leader="none" w:pos="516"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4"/>
          <w:szCs w:val="14"/>
          <w:color w:val="auto"/>
        </w:rPr>
        <w:t>obligations to pay fees, taxes and similar charges; and/or</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4"/>
        </w:numPr>
        <w:rPr>
          <w:rFonts w:ascii="Times New Roman" w:cs="Times New Roman" w:eastAsia="Times New Roman" w:hAnsi="Times New Roman"/>
          <w:sz w:val="17"/>
          <w:szCs w:val="17"/>
          <w:color w:val="auto"/>
        </w:rPr>
      </w:pPr>
      <w:r>
        <w:rPr>
          <w:rFonts w:ascii="Arial" w:cs="Arial" w:eastAsia="Arial" w:hAnsi="Arial"/>
          <w:sz w:val="14"/>
          <w:szCs w:val="14"/>
          <w:color w:val="auto"/>
        </w:rPr>
        <w:t>restrictions imposed because of laws or regulations applicable to ADSs or the withdrawal of securities on deposit.</w:t>
      </w:r>
    </w:p>
    <w:p>
      <w:pPr>
        <w:spacing w:after="0" w:line="132" w:lineRule="exact"/>
        <w:rPr>
          <w:sz w:val="20"/>
          <w:szCs w:val="20"/>
          <w:color w:val="auto"/>
        </w:rPr>
      </w:pPr>
    </w:p>
    <w:p>
      <w:pPr>
        <w:ind w:right="720"/>
        <w:spacing w:after="0" w:line="458" w:lineRule="auto"/>
        <w:rPr>
          <w:sz w:val="20"/>
          <w:szCs w:val="20"/>
          <w:color w:val="auto"/>
        </w:rPr>
      </w:pPr>
      <w:r>
        <w:rPr>
          <w:rFonts w:ascii="Arial" w:cs="Arial" w:eastAsia="Arial" w:hAnsi="Arial"/>
          <w:sz w:val="14"/>
          <w:szCs w:val="14"/>
          <w:color w:val="auto"/>
        </w:rPr>
        <w:t xml:space="preserve">The deposit agreement may not be modified to impair your right to withdraw the securities represented by your ADSs except to comply with mandatory provisions of law. </w:t>
      </w:r>
      <w:r>
        <w:rPr>
          <w:rFonts w:ascii="Arial" w:cs="Arial" w:eastAsia="Arial" w:hAnsi="Arial"/>
          <w:sz w:val="14"/>
          <w:szCs w:val="14"/>
          <w:b w:val="1"/>
          <w:bCs w:val="1"/>
          <w:color w:val="auto"/>
        </w:rPr>
        <w:t>Voting Rights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ectPr>
          <w:pgSz w:w="11900" w:h="16838" w:orient="portrait"/>
          <w:cols w:equalWidth="0" w:num="1">
            <w:col w:w="11240"/>
          </w:cols>
          <w:pgMar w:left="300" w:top="1302" w:right="359" w:bottom="1440" w:gutter="0" w:footer="0" w:header="0"/>
        </w:sectPr>
      </w:pPr>
    </w:p>
    <w:bookmarkStart w:id="152" w:name="page153"/>
    <w:bookmarkEnd w:id="152"/>
    <w:p>
      <w:pPr>
        <w:ind w:right="460"/>
        <w:spacing w:after="0" w:line="242" w:lineRule="auto"/>
        <w:rPr>
          <w:sz w:val="20"/>
          <w:szCs w:val="20"/>
          <w:color w:val="auto"/>
        </w:rPr>
      </w:pPr>
      <w:r>
        <w:rPr>
          <w:rFonts w:ascii="Arial" w:cs="Arial" w:eastAsia="Arial" w:hAnsi="Arial"/>
          <w:sz w:val="14"/>
          <w:szCs w:val="14"/>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the depositary timely receives voting instructions from a holder of ADSs, it will endeavor to vote the securities (in person or by proxy) represented by the holder's ADSs as follows:</w:t>
      </w:r>
    </w:p>
    <w:p>
      <w:pPr>
        <w:spacing w:after="0" w:line="168" w:lineRule="exact"/>
        <w:rPr>
          <w:sz w:val="20"/>
          <w:szCs w:val="20"/>
          <w:color w:val="auto"/>
        </w:rPr>
      </w:pPr>
    </w:p>
    <w:p>
      <w:pPr>
        <w:ind w:left="520" w:right="420" w:hanging="260"/>
        <w:spacing w:after="0" w:line="225" w:lineRule="auto"/>
        <w:tabs>
          <w:tab w:leader="none" w:pos="516"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4"/>
          <w:szCs w:val="14"/>
          <w:i w:val="1"/>
          <w:iCs w:val="1"/>
          <w:color w:val="auto"/>
        </w:rPr>
        <w:t>In the event of voting by show of hands</w:t>
      </w:r>
      <w:r>
        <w:rPr>
          <w:rFonts w:ascii="Arial" w:cs="Arial" w:eastAsia="Arial" w:hAnsi="Arial"/>
          <w:sz w:val="14"/>
          <w:szCs w:val="14"/>
          <w:color w:val="auto"/>
        </w:rPr>
        <w:t>, the depositary will vote (or cause the custodian to vote) all ordinary held on deposit at that time in accordance with the voting</w:t>
      </w:r>
      <w:r>
        <w:rPr>
          <w:rFonts w:ascii="Arial" w:cs="Arial" w:eastAsia="Arial" w:hAnsi="Arial"/>
          <w:sz w:val="14"/>
          <w:szCs w:val="14"/>
          <w:i w:val="1"/>
          <w:iCs w:val="1"/>
          <w:color w:val="auto"/>
        </w:rPr>
        <w:t xml:space="preserve"> </w:t>
      </w:r>
      <w:r>
        <w:rPr>
          <w:rFonts w:ascii="Arial" w:cs="Arial" w:eastAsia="Arial" w:hAnsi="Arial"/>
          <w:sz w:val="14"/>
          <w:szCs w:val="14"/>
          <w:color w:val="auto"/>
        </w:rPr>
        <w:t>instructions received from a majority of holders of ADSs who provide timely voting instructions.</w:t>
      </w:r>
    </w:p>
    <w:p>
      <w:pPr>
        <w:spacing w:after="0" w:line="143" w:lineRule="exact"/>
        <w:rPr>
          <w:rFonts w:ascii="Times New Roman" w:cs="Times New Roman" w:eastAsia="Times New Roman" w:hAnsi="Times New Roman"/>
          <w:sz w:val="17"/>
          <w:szCs w:val="17"/>
          <w:color w:val="auto"/>
        </w:rPr>
      </w:pPr>
    </w:p>
    <w:p>
      <w:pPr>
        <w:ind w:left="520" w:hanging="260"/>
        <w:spacing w:after="0" w:line="225" w:lineRule="auto"/>
        <w:tabs>
          <w:tab w:leader="none" w:pos="516"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4"/>
          <w:szCs w:val="14"/>
          <w:i w:val="1"/>
          <w:iCs w:val="1"/>
          <w:color w:val="auto"/>
        </w:rPr>
        <w:t>In the event of voting by poll</w:t>
      </w:r>
      <w:r>
        <w:rPr>
          <w:rFonts w:ascii="Arial" w:cs="Arial" w:eastAsia="Arial" w:hAnsi="Arial"/>
          <w:sz w:val="14"/>
          <w:szCs w:val="14"/>
          <w:color w:val="auto"/>
        </w:rPr>
        <w:t>, the depositary will vote (or cause the custodian to vote) the ordinary shares held on deposit in accordance with the voting instructions received</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holders of ADSs.</w:t>
      </w:r>
    </w:p>
    <w:p>
      <w:pPr>
        <w:spacing w:after="0" w:line="133" w:lineRule="exact"/>
        <w:rPr>
          <w:sz w:val="20"/>
          <w:szCs w:val="20"/>
          <w:color w:val="auto"/>
        </w:rPr>
      </w:pPr>
    </w:p>
    <w:p>
      <w:pPr>
        <w:jc w:val="both"/>
        <w:ind w:right="40"/>
        <w:spacing w:after="0" w:line="229" w:lineRule="auto"/>
        <w:rPr>
          <w:sz w:val="20"/>
          <w:szCs w:val="20"/>
          <w:color w:val="auto"/>
        </w:rPr>
      </w:pPr>
      <w:r>
        <w:rPr>
          <w:rFonts w:ascii="Arial" w:cs="Arial" w:eastAsia="Arial" w:hAnsi="Arial"/>
          <w:sz w:val="14"/>
          <w:szCs w:val="14"/>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Charges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an ADS holder, you will be required to pay the following fees under the terms of the deposit agreement:</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20" w:type="dxa"/>
            <w:vAlign w:val="bottom"/>
          </w:tcPr>
          <w:p>
            <w:pPr>
              <w:ind w:left="2740"/>
              <w:spacing w:after="0"/>
              <w:rPr>
                <w:sz w:val="20"/>
                <w:szCs w:val="20"/>
                <w:color w:val="auto"/>
              </w:rPr>
            </w:pPr>
            <w:r>
              <w:rPr>
                <w:rFonts w:ascii="Arial" w:cs="Arial" w:eastAsia="Arial" w:hAnsi="Arial"/>
                <w:sz w:val="14"/>
                <w:szCs w:val="14"/>
                <w:b w:val="1"/>
                <w:bCs w:val="1"/>
                <w:color w:val="auto"/>
              </w:rPr>
              <w:t>Service</w:t>
            </w:r>
          </w:p>
        </w:tc>
        <w:tc>
          <w:tcPr>
            <w:tcW w:w="3400" w:type="dxa"/>
            <w:vAlign w:val="bottom"/>
          </w:tcPr>
          <w:p>
            <w:pPr>
              <w:ind w:left="182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Issuance of ADSs (e.g., an issuance of ADS upon a deposit of ordinary shares or upon a</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line="142" w:lineRule="exact"/>
              <w:rPr>
                <w:sz w:val="20"/>
                <w:szCs w:val="20"/>
                <w:color w:val="auto"/>
              </w:rPr>
            </w:pPr>
            <w:r>
              <w:rPr>
                <w:rFonts w:ascii="Arial" w:cs="Arial" w:eastAsia="Arial" w:hAnsi="Arial"/>
                <w:sz w:val="14"/>
                <w:szCs w:val="14"/>
                <w:color w:val="auto"/>
              </w:rPr>
              <w:t>change in the ADS(s)-to-ordinary shares ratio), excluding ADS issuances as a result of</w:t>
            </w:r>
          </w:p>
        </w:tc>
        <w:tc>
          <w:tcPr>
            <w:tcW w:w="3400" w:type="dxa"/>
            <w:vAlign w:val="bottom"/>
            <w:vMerge w:val="restart"/>
          </w:tcPr>
          <w:p>
            <w:pPr>
              <w:ind w:left="240"/>
              <w:spacing w:after="0"/>
              <w:rPr>
                <w:sz w:val="20"/>
                <w:szCs w:val="20"/>
                <w:color w:val="auto"/>
              </w:rPr>
            </w:pPr>
            <w:r>
              <w:rPr>
                <w:rFonts w:ascii="Arial" w:cs="Arial" w:eastAsia="Arial" w:hAnsi="Arial"/>
                <w:sz w:val="14"/>
                <w:szCs w:val="14"/>
                <w:color w:val="auto"/>
              </w:rPr>
              <w:t>Up to $0.05 per ADS issued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20"/>
                <w:szCs w:val="20"/>
                <w:color w:val="auto"/>
              </w:rPr>
            </w:pPr>
            <w:r>
              <w:rPr>
                <w:rFonts w:ascii="Arial" w:cs="Arial" w:eastAsia="Arial" w:hAnsi="Arial"/>
                <w:sz w:val="14"/>
                <w:szCs w:val="14"/>
                <w:color w:val="auto"/>
              </w:rPr>
              <w:t>distributions of ordinary shares</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6120" w:type="dxa"/>
            <w:vAlign w:val="bottom"/>
          </w:tcPr>
          <w:p>
            <w:pPr>
              <w:spacing w:after="0"/>
              <w:rPr>
                <w:sz w:val="20"/>
                <w:szCs w:val="20"/>
                <w:color w:val="auto"/>
              </w:rPr>
            </w:pPr>
            <w:r>
              <w:rPr>
                <w:rFonts w:ascii="Arial" w:cs="Arial" w:eastAsia="Arial" w:hAnsi="Arial"/>
                <w:sz w:val="14"/>
                <w:szCs w:val="14"/>
                <w:color w:val="auto"/>
              </w:rPr>
              <w:t>Cancellation of ADSs (e.g., a cancellation of ADSs for delivery of deposited property or upon a</w:t>
            </w:r>
          </w:p>
        </w:tc>
        <w:tc>
          <w:tcPr>
            <w:tcW w:w="3400" w:type="dxa"/>
            <w:vAlign w:val="bottom"/>
            <w:vMerge w:val="restart"/>
          </w:tcPr>
          <w:p>
            <w:pPr>
              <w:ind w:left="240"/>
              <w:spacing w:after="0"/>
              <w:rPr>
                <w:sz w:val="20"/>
                <w:szCs w:val="20"/>
                <w:color w:val="auto"/>
              </w:rPr>
            </w:pPr>
            <w:r>
              <w:rPr>
                <w:rFonts w:ascii="Arial" w:cs="Arial" w:eastAsia="Arial" w:hAnsi="Arial"/>
                <w:sz w:val="14"/>
                <w:szCs w:val="14"/>
                <w:color w:val="auto"/>
              </w:rPr>
              <w:t>Up to $0.05 per ADS cancelled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20"/>
                <w:szCs w:val="20"/>
                <w:color w:val="auto"/>
              </w:rPr>
            </w:pPr>
            <w:r>
              <w:rPr>
                <w:rFonts w:ascii="Arial" w:cs="Arial" w:eastAsia="Arial" w:hAnsi="Arial"/>
                <w:sz w:val="14"/>
                <w:szCs w:val="14"/>
                <w:color w:val="auto"/>
              </w:rPr>
              <w:t>change in the ADS(s)-to-ordinary shares ratio)</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120" w:type="dxa"/>
            <w:vAlign w:val="bottom"/>
          </w:tcPr>
          <w:p>
            <w:pPr>
              <w:spacing w:after="0"/>
              <w:rPr>
                <w:sz w:val="20"/>
                <w:szCs w:val="20"/>
                <w:color w:val="auto"/>
              </w:rPr>
            </w:pPr>
            <w:r>
              <w:rPr>
                <w:rFonts w:ascii="Arial" w:cs="Arial" w:eastAsia="Arial" w:hAnsi="Arial"/>
                <w:sz w:val="14"/>
                <w:szCs w:val="14"/>
                <w:color w:val="auto"/>
              </w:rPr>
              <w:t>Distribution of cash dividends or other cash distributions (e.g., upon a sale of rights and other</w:t>
            </w:r>
          </w:p>
        </w:tc>
        <w:tc>
          <w:tcPr>
            <w:tcW w:w="3400" w:type="dxa"/>
            <w:vAlign w:val="bottom"/>
            <w:vMerge w:val="restart"/>
          </w:tcPr>
          <w:p>
            <w:pPr>
              <w:ind w:left="240"/>
              <w:spacing w:after="0"/>
              <w:rPr>
                <w:sz w:val="20"/>
                <w:szCs w:val="20"/>
                <w:color w:val="auto"/>
              </w:rPr>
            </w:pPr>
            <w:r>
              <w:rPr>
                <w:rFonts w:ascii="Arial" w:cs="Arial" w:eastAsia="Arial" w:hAnsi="Arial"/>
                <w:sz w:val="14"/>
                <w:szCs w:val="14"/>
                <w:color w:val="auto"/>
              </w:rPr>
              <w:t>Up to $0.05 per ADS held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20"/>
                <w:szCs w:val="20"/>
                <w:color w:val="auto"/>
              </w:rPr>
            </w:pPr>
            <w:r>
              <w:rPr>
                <w:rFonts w:ascii="Arial" w:cs="Arial" w:eastAsia="Arial" w:hAnsi="Arial"/>
                <w:sz w:val="14"/>
                <w:szCs w:val="14"/>
                <w:color w:val="auto"/>
              </w:rPr>
              <w:t>entitlements)</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120" w:type="dxa"/>
            <w:vAlign w:val="bottom"/>
          </w:tcPr>
          <w:p>
            <w:pPr>
              <w:spacing w:after="0"/>
              <w:rPr>
                <w:sz w:val="20"/>
                <w:szCs w:val="20"/>
                <w:color w:val="auto"/>
              </w:rPr>
            </w:pPr>
            <w:r>
              <w:rPr>
                <w:rFonts w:ascii="Arial" w:cs="Arial" w:eastAsia="Arial" w:hAnsi="Arial"/>
                <w:sz w:val="14"/>
                <w:szCs w:val="14"/>
                <w:color w:val="auto"/>
              </w:rPr>
              <w:t>Distribution of ADSs pursuant to (i) stock dividends or other free stock distributions, or (ii)</w:t>
            </w:r>
          </w:p>
        </w:tc>
        <w:tc>
          <w:tcPr>
            <w:tcW w:w="3400" w:type="dxa"/>
            <w:vAlign w:val="bottom"/>
            <w:vMerge w:val="restart"/>
          </w:tcPr>
          <w:p>
            <w:pPr>
              <w:ind w:left="240"/>
              <w:spacing w:after="0"/>
              <w:rPr>
                <w:sz w:val="20"/>
                <w:szCs w:val="20"/>
                <w:color w:val="auto"/>
              </w:rPr>
            </w:pPr>
            <w:r>
              <w:rPr>
                <w:rFonts w:ascii="Arial" w:cs="Arial" w:eastAsia="Arial" w:hAnsi="Arial"/>
                <w:sz w:val="14"/>
                <w:szCs w:val="14"/>
                <w:color w:val="auto"/>
              </w:rPr>
              <w:t>Up to $0.05 per ADS held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20"/>
                <w:szCs w:val="20"/>
                <w:color w:val="auto"/>
              </w:rPr>
            </w:pPr>
            <w:r>
              <w:rPr>
                <w:rFonts w:ascii="Arial" w:cs="Arial" w:eastAsia="Arial" w:hAnsi="Arial"/>
                <w:sz w:val="14"/>
                <w:szCs w:val="14"/>
                <w:color w:val="auto"/>
              </w:rPr>
              <w:t>exercise of rights to purchase additional ADSs</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120" w:type="dxa"/>
            <w:vAlign w:val="bottom"/>
          </w:tcPr>
          <w:p>
            <w:pPr>
              <w:spacing w:after="0"/>
              <w:rPr>
                <w:sz w:val="20"/>
                <w:szCs w:val="20"/>
                <w:color w:val="auto"/>
              </w:rPr>
            </w:pPr>
            <w:r>
              <w:rPr>
                <w:rFonts w:ascii="Arial" w:cs="Arial" w:eastAsia="Arial" w:hAnsi="Arial"/>
                <w:sz w:val="14"/>
                <w:szCs w:val="14"/>
                <w:color w:val="auto"/>
              </w:rPr>
              <w:t>Distribution of securities other than ADSs or rights to purchase additional ADSs (e.g., upon a</w:t>
            </w:r>
          </w:p>
        </w:tc>
        <w:tc>
          <w:tcPr>
            <w:tcW w:w="3400" w:type="dxa"/>
            <w:vAlign w:val="bottom"/>
            <w:vMerge w:val="restart"/>
          </w:tcPr>
          <w:p>
            <w:pPr>
              <w:ind w:left="240"/>
              <w:spacing w:after="0"/>
              <w:rPr>
                <w:sz w:val="20"/>
                <w:szCs w:val="20"/>
                <w:color w:val="auto"/>
              </w:rPr>
            </w:pPr>
            <w:r>
              <w:rPr>
                <w:rFonts w:ascii="Arial" w:cs="Arial" w:eastAsia="Arial" w:hAnsi="Arial"/>
                <w:sz w:val="14"/>
                <w:szCs w:val="14"/>
                <w:color w:val="auto"/>
              </w:rPr>
              <w:t>Up to $0.05 per ADS held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20"/>
                <w:szCs w:val="20"/>
                <w:color w:val="auto"/>
              </w:rPr>
            </w:pPr>
            <w:r>
              <w:rPr>
                <w:rFonts w:ascii="Arial" w:cs="Arial" w:eastAsia="Arial" w:hAnsi="Arial"/>
                <w:sz w:val="14"/>
                <w:szCs w:val="14"/>
                <w:color w:val="auto"/>
              </w:rPr>
              <w:t>spin-off)</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120" w:type="dxa"/>
            <w:vAlign w:val="bottom"/>
            <w:vMerge w:val="restart"/>
          </w:tcPr>
          <w:p>
            <w:pPr>
              <w:spacing w:after="0"/>
              <w:rPr>
                <w:sz w:val="20"/>
                <w:szCs w:val="20"/>
                <w:color w:val="auto"/>
              </w:rPr>
            </w:pPr>
            <w:r>
              <w:rPr>
                <w:rFonts w:ascii="Arial" w:cs="Arial" w:eastAsia="Arial" w:hAnsi="Arial"/>
                <w:sz w:val="14"/>
                <w:szCs w:val="14"/>
                <w:color w:val="auto"/>
              </w:rPr>
              <w:t>ADS Services</w:t>
            </w:r>
          </w:p>
        </w:tc>
        <w:tc>
          <w:tcPr>
            <w:tcW w:w="3400" w:type="dxa"/>
            <w:vAlign w:val="bottom"/>
          </w:tcPr>
          <w:p>
            <w:pPr>
              <w:ind w:left="240"/>
              <w:spacing w:after="0"/>
              <w:rPr>
                <w:sz w:val="20"/>
                <w:szCs w:val="20"/>
                <w:color w:val="auto"/>
              </w:rPr>
            </w:pPr>
            <w:r>
              <w:rPr>
                <w:rFonts w:ascii="Arial" w:cs="Arial" w:eastAsia="Arial" w:hAnsi="Arial"/>
                <w:sz w:val="14"/>
                <w:szCs w:val="14"/>
                <w:color w:val="auto"/>
              </w:rPr>
              <w:t>Up to $0.05 per ADS held on the applicable record</w:t>
            </w:r>
          </w:p>
        </w:tc>
        <w:tc>
          <w:tcPr>
            <w:tcW w:w="0" w:type="dxa"/>
            <w:vAlign w:val="bottom"/>
          </w:tcPr>
          <w:p>
            <w:pPr>
              <w:spacing w:after="0"/>
              <w:rPr>
                <w:sz w:val="1"/>
                <w:szCs w:val="1"/>
                <w:color w:val="auto"/>
              </w:rPr>
            </w:pPr>
          </w:p>
        </w:tc>
      </w:tr>
      <w:tr>
        <w:trPr>
          <w:trHeight w:val="186"/>
        </w:trPr>
        <w:tc>
          <w:tcPr>
            <w:tcW w:w="6120" w:type="dxa"/>
            <w:vAlign w:val="bottom"/>
            <w:vMerge w:val="continue"/>
          </w:tcPr>
          <w:p>
            <w:pPr>
              <w:spacing w:after="0"/>
              <w:rPr>
                <w:sz w:val="16"/>
                <w:szCs w:val="16"/>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date(s) established by the depositary</w:t>
            </w:r>
          </w:p>
        </w:tc>
        <w:tc>
          <w:tcPr>
            <w:tcW w:w="0" w:type="dxa"/>
            <w:vAlign w:val="bottom"/>
          </w:tcPr>
          <w:p>
            <w:pPr>
              <w:spacing w:after="0"/>
              <w:rPr>
                <w:sz w:val="1"/>
                <w:szCs w:val="1"/>
                <w:color w:val="auto"/>
              </w:rPr>
            </w:pPr>
          </w:p>
        </w:tc>
      </w:tr>
    </w:tbl>
    <w:p>
      <w:pPr>
        <w:sectPr>
          <w:pgSz w:w="11900" w:h="16838" w:orient="portrait"/>
          <w:cols w:equalWidth="0" w:num="1">
            <w:col w:w="11240"/>
          </w:cols>
          <w:pgMar w:left="300" w:top="1302" w:right="35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color w:val="auto"/>
        </w:rPr>
        <w:t>As an ADS holder you will also be responsible to pay certain charges such as:</w:t>
      </w:r>
    </w:p>
    <w:p>
      <w:pPr>
        <w:spacing w:after="0" w:line="158" w:lineRule="exact"/>
        <w:rPr>
          <w:sz w:val="20"/>
          <w:szCs w:val="20"/>
          <w:color w:val="auto"/>
        </w:rPr>
      </w:pPr>
    </w:p>
    <w:p>
      <w:pPr>
        <w:ind w:left="500" w:hanging="240"/>
        <w:spacing w:after="0"/>
        <w:tabs>
          <w:tab w:leader="none" w:pos="50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taxes (including applicable interest and penalties) and other governmental charges;</w:t>
      </w:r>
    </w:p>
    <w:p>
      <w:pPr>
        <w:spacing w:after="0" w:line="153" w:lineRule="exact"/>
        <w:rPr>
          <w:rFonts w:ascii="Times New Roman" w:cs="Times New Roman" w:eastAsia="Times New Roman" w:hAnsi="Times New Roman"/>
          <w:sz w:val="17"/>
          <w:szCs w:val="17"/>
          <w:color w:val="auto"/>
        </w:rPr>
      </w:pPr>
    </w:p>
    <w:p>
      <w:pPr>
        <w:ind w:left="520" w:right="20" w:hanging="260"/>
        <w:spacing w:after="0" w:line="225" w:lineRule="auto"/>
        <w:tabs>
          <w:tab w:leader="none" w:pos="516"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certain cable, telex and facsimile transmission and delivery expenses;</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the expenses and charges incurred by the depositary in the conversion of foreign currency;</w:t>
      </w:r>
    </w:p>
    <w:p>
      <w:pPr>
        <w:spacing w:after="0" w:line="153" w:lineRule="exact"/>
        <w:rPr>
          <w:rFonts w:ascii="Times New Roman" w:cs="Times New Roman" w:eastAsia="Times New Roman" w:hAnsi="Times New Roman"/>
          <w:sz w:val="17"/>
          <w:szCs w:val="17"/>
          <w:color w:val="auto"/>
        </w:rPr>
      </w:pPr>
    </w:p>
    <w:p>
      <w:pPr>
        <w:ind w:left="520" w:right="80" w:hanging="260"/>
        <w:spacing w:after="0" w:line="225" w:lineRule="auto"/>
        <w:tabs>
          <w:tab w:leader="none" w:pos="516"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the fees and expenses incurred by the depositary in connection with compliance with exchange control regulations and other regulatory requirements applicable to ordinary shares, ADSs and ADRs; and</w:t>
      </w:r>
    </w:p>
    <w:p>
      <w:pPr>
        <w:spacing w:after="0" w:line="13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4"/>
          <w:szCs w:val="14"/>
          <w:color w:val="auto"/>
        </w:rPr>
        <w:t>the fees and expenses incurred by the depositary, the custodian, or any nominee in connection with the servicing or delivery of deposited property.</w:t>
      </w:r>
    </w:p>
    <w:p>
      <w:pPr>
        <w:spacing w:after="0" w:line="132" w:lineRule="exact"/>
        <w:rPr>
          <w:sz w:val="20"/>
          <w:szCs w:val="20"/>
          <w:color w:val="auto"/>
        </w:rPr>
      </w:pPr>
    </w:p>
    <w:p>
      <w:pPr>
        <w:ind w:right="500"/>
        <w:spacing w:after="0" w:line="223" w:lineRule="auto"/>
        <w:rPr>
          <w:sz w:val="20"/>
          <w:szCs w:val="20"/>
          <w:color w:val="auto"/>
        </w:rPr>
      </w:pPr>
      <w:r>
        <w:rPr>
          <w:rFonts w:ascii="Arial" w:cs="Arial" w:eastAsia="Arial" w:hAnsi="Arial"/>
          <w:sz w:val="14"/>
          <w:szCs w:val="14"/>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w:t>
      </w:r>
    </w:p>
    <w:p>
      <w:pPr>
        <w:spacing w:after="0" w:line="1" w:lineRule="exact"/>
        <w:rPr>
          <w:sz w:val="20"/>
          <w:szCs w:val="20"/>
          <w:color w:val="auto"/>
        </w:rPr>
      </w:pPr>
    </w:p>
    <w:p>
      <w:pPr>
        <w:ind w:right="60"/>
        <w:spacing w:after="0" w:line="210" w:lineRule="auto"/>
        <w:rPr>
          <w:sz w:val="20"/>
          <w:szCs w:val="20"/>
          <w:color w:val="auto"/>
        </w:rPr>
      </w:pPr>
      <w:r>
        <w:rPr>
          <w:rFonts w:ascii="Arial" w:cs="Arial" w:eastAsia="Arial" w:hAnsi="Arial"/>
          <w:sz w:val="14"/>
          <w:szCs w:val="14"/>
          <w:color w:val="auto"/>
        </w:rPr>
        <w:t>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w:t>
      </w:r>
    </w:p>
    <w:p>
      <w:pPr>
        <w:spacing w:after="0" w:line="2" w:lineRule="exact"/>
        <w:rPr>
          <w:sz w:val="20"/>
          <w:szCs w:val="20"/>
          <w:color w:val="auto"/>
        </w:rPr>
      </w:pPr>
    </w:p>
    <w:p>
      <w:pPr>
        <w:spacing w:after="0" w:line="210" w:lineRule="auto"/>
        <w:rPr>
          <w:sz w:val="20"/>
          <w:szCs w:val="20"/>
          <w:color w:val="auto"/>
        </w:rPr>
      </w:pPr>
      <w:r>
        <w:rPr>
          <w:rFonts w:ascii="Arial" w:cs="Arial" w:eastAsia="Arial" w:hAnsi="Arial"/>
          <w:sz w:val="14"/>
          <w:szCs w:val="14"/>
          <w:color w:val="auto"/>
        </w:rPr>
        <w:t>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w:t>
      </w:r>
    </w:p>
    <w:p>
      <w:pPr>
        <w:spacing w:after="0" w:line="2" w:lineRule="exact"/>
        <w:rPr>
          <w:sz w:val="20"/>
          <w:szCs w:val="20"/>
          <w:color w:val="auto"/>
        </w:rPr>
      </w:pPr>
    </w:p>
    <w:p>
      <w:pPr>
        <w:ind w:right="240"/>
        <w:spacing w:after="0" w:line="222" w:lineRule="auto"/>
        <w:rPr>
          <w:sz w:val="20"/>
          <w:szCs w:val="20"/>
          <w:color w:val="auto"/>
        </w:rPr>
      </w:pPr>
      <w:r>
        <w:rPr>
          <w:rFonts w:ascii="Arial" w:cs="Arial" w:eastAsia="Arial" w:hAnsi="Arial"/>
          <w:sz w:val="14"/>
          <w:szCs w:val="14"/>
          <w:color w:val="auto"/>
        </w:rPr>
        <w:t>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refusal to pay the depositary fees, the depositary may, under the terms of the deposit agreement, refuse the requested service until payment is received or may set</w:t>
      </w:r>
    </w:p>
    <w:p>
      <w:pPr>
        <w:spacing w:after="0" w:line="205" w:lineRule="auto"/>
        <w:rPr>
          <w:sz w:val="20"/>
          <w:szCs w:val="20"/>
          <w:color w:val="auto"/>
        </w:rPr>
      </w:pPr>
      <w:r>
        <w:rPr>
          <w:rFonts w:ascii="Arial" w:cs="Arial" w:eastAsia="Arial" w:hAnsi="Arial"/>
          <w:sz w:val="14"/>
          <w:szCs w:val="14"/>
          <w:color w:val="auto"/>
        </w:rPr>
        <w:t>off the amount of the depositary fees from any distribution to be made to the ADS holder. Certain of the depositary fees and charges (such as the ADS services fee) may become</w:t>
      </w:r>
    </w:p>
    <w:p>
      <w:pPr>
        <w:spacing w:after="0" w:line="222" w:lineRule="auto"/>
        <w:rPr>
          <w:sz w:val="20"/>
          <w:szCs w:val="20"/>
          <w:color w:val="auto"/>
        </w:rPr>
      </w:pPr>
      <w:r>
        <w:rPr>
          <w:rFonts w:ascii="Arial" w:cs="Arial" w:eastAsia="Arial" w:hAnsi="Arial"/>
          <w:sz w:val="14"/>
          <w:szCs w:val="14"/>
          <w:color w:val="auto"/>
        </w:rPr>
        <w:t>payable shortly after the closing of any applicable ADS offering. Note that the fees and charges you may be required to pay may vary over time and may be changed by us and by</w:t>
      </w:r>
    </w:p>
    <w:p>
      <w:pPr>
        <w:ind w:right="460"/>
        <w:spacing w:after="0" w:line="231" w:lineRule="auto"/>
        <w:rPr>
          <w:sz w:val="20"/>
          <w:szCs w:val="20"/>
          <w:color w:val="auto"/>
        </w:rPr>
      </w:pPr>
      <w:r>
        <w:rPr>
          <w:rFonts w:ascii="Arial" w:cs="Arial" w:eastAsia="Arial" w:hAnsi="Arial"/>
          <w:sz w:val="14"/>
          <w:szCs w:val="14"/>
          <w:color w:val="auto"/>
        </w:rPr>
        <w:t>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and Termination</w:t>
      </w:r>
    </w:p>
    <w:p>
      <w:pPr>
        <w:spacing w:after="0" w:line="157" w:lineRule="exact"/>
        <w:rPr>
          <w:sz w:val="20"/>
          <w:szCs w:val="20"/>
          <w:color w:val="auto"/>
        </w:rPr>
      </w:pPr>
    </w:p>
    <w:p>
      <w:pPr>
        <w:ind w:right="80"/>
        <w:spacing w:after="0" w:line="217" w:lineRule="auto"/>
        <w:rPr>
          <w:sz w:val="20"/>
          <w:szCs w:val="20"/>
          <w:color w:val="auto"/>
        </w:rPr>
      </w:pPr>
      <w:r>
        <w:rPr>
          <w:rFonts w:ascii="Arial" w:cs="Arial" w:eastAsia="Arial" w:hAnsi="Arial"/>
          <w:sz w:val="14"/>
          <w:szCs w:val="14"/>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w:t>
      </w:r>
    </w:p>
    <w:p>
      <w:pPr>
        <w:spacing w:after="0" w:line="2" w:lineRule="exact"/>
        <w:rPr>
          <w:sz w:val="20"/>
          <w:szCs w:val="20"/>
          <w:color w:val="auto"/>
        </w:rPr>
      </w:pPr>
    </w:p>
    <w:p>
      <w:pPr>
        <w:ind w:right="540"/>
        <w:spacing w:after="0" w:line="231" w:lineRule="auto"/>
        <w:rPr>
          <w:sz w:val="20"/>
          <w:szCs w:val="20"/>
          <w:color w:val="auto"/>
        </w:rPr>
      </w:pPr>
      <w:r>
        <w:rPr>
          <w:rFonts w:ascii="Arial" w:cs="Arial" w:eastAsia="Arial" w:hAnsi="Arial"/>
          <w:sz w:val="14"/>
          <w:szCs w:val="14"/>
          <w:color w:val="auto"/>
        </w:rPr>
        <w:t>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ectPr>
          <w:pgSz w:w="11900" w:h="16838" w:orient="portrait"/>
          <w:cols w:equalWidth="0" w:num="1">
            <w:col w:w="11280"/>
          </w:cols>
          <w:pgMar w:left="300" w:top="1302" w:right="319" w:bottom="1440" w:gutter="0" w:footer="0" w:header="0"/>
        </w:sectPr>
      </w:pPr>
    </w:p>
    <w:bookmarkStart w:id="154" w:name="page155"/>
    <w:bookmarkEnd w:id="154"/>
    <w:p>
      <w:pPr>
        <w:ind w:right="180"/>
        <w:spacing w:after="0" w:line="242" w:lineRule="auto"/>
        <w:rPr>
          <w:sz w:val="20"/>
          <w:szCs w:val="20"/>
          <w:color w:val="auto"/>
        </w:rPr>
      </w:pPr>
      <w:r>
        <w:rPr>
          <w:rFonts w:ascii="Arial" w:cs="Arial" w:eastAsia="Arial" w:hAnsi="Arial"/>
          <w:sz w:val="14"/>
          <w:szCs w:val="14"/>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32" w:lineRule="exact"/>
        <w:rPr>
          <w:sz w:val="20"/>
          <w:szCs w:val="20"/>
          <w:color w:val="auto"/>
        </w:rPr>
      </w:pPr>
    </w:p>
    <w:p>
      <w:pPr>
        <w:jc w:val="both"/>
        <w:ind w:right="400"/>
        <w:spacing w:after="0" w:line="229" w:lineRule="auto"/>
        <w:rPr>
          <w:sz w:val="20"/>
          <w:szCs w:val="20"/>
          <w:color w:val="auto"/>
        </w:rPr>
      </w:pPr>
      <w:r>
        <w:rPr>
          <w:rFonts w:ascii="Arial" w:cs="Arial" w:eastAsia="Arial" w:hAnsi="Arial"/>
          <w:sz w:val="14"/>
          <w:szCs w:val="14"/>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w:t>
      </w:r>
    </w:p>
    <w:p>
      <w:pPr>
        <w:spacing w:after="0" w:line="147" w:lineRule="exact"/>
        <w:rPr>
          <w:sz w:val="20"/>
          <w:szCs w:val="20"/>
          <w:color w:val="auto"/>
        </w:rPr>
      </w:pPr>
    </w:p>
    <w:p>
      <w:pPr>
        <w:ind w:right="100"/>
        <w:spacing w:after="0" w:line="223" w:lineRule="auto"/>
        <w:rPr>
          <w:sz w:val="20"/>
          <w:szCs w:val="20"/>
          <w:color w:val="auto"/>
        </w:rPr>
      </w:pPr>
      <w:r>
        <w:rPr>
          <w:rFonts w:ascii="Arial" w:cs="Arial" w:eastAsia="Arial" w:hAnsi="Arial"/>
          <w:sz w:val="14"/>
          <w:szCs w:val="14"/>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account. At that point, the depositary will have no further obligations to holders other than to account for the funds then held for the holders of ADSs still outstanding (after deduction of applicable fees, taxes and expenses).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termination of the deposit agreement, the depositary may, independently and without the need for any action by us, make available to holders a means to</w:t>
      </w:r>
    </w:p>
    <w:p>
      <w:pPr>
        <w:spacing w:after="0" w:line="2" w:lineRule="exact"/>
        <w:rPr>
          <w:sz w:val="20"/>
          <w:szCs w:val="20"/>
          <w:color w:val="auto"/>
        </w:rPr>
      </w:pPr>
    </w:p>
    <w:p>
      <w:pPr>
        <w:ind w:right="120"/>
        <w:spacing w:after="0" w:line="210" w:lineRule="auto"/>
        <w:rPr>
          <w:sz w:val="20"/>
          <w:szCs w:val="20"/>
          <w:color w:val="auto"/>
        </w:rPr>
      </w:pPr>
      <w:r>
        <w:rPr>
          <w:rFonts w:ascii="Arial" w:cs="Arial" w:eastAsia="Arial" w:hAnsi="Arial"/>
          <w:sz w:val="14"/>
          <w:szCs w:val="14"/>
          <w:color w:val="auto"/>
        </w:rPr>
        <w:t>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by the depositary of payment of the applicable fees and charges of, and reimbursement of the applicable expenses incurred by, the depositary.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Books of Depositary</w:t>
      </w:r>
    </w:p>
    <w:p>
      <w:pPr>
        <w:spacing w:after="0" w:line="147"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10"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Transmission of Notices, Reports and Proxy Soliciting Material</w:t>
      </w:r>
    </w:p>
    <w:p>
      <w:pPr>
        <w:spacing w:after="0" w:line="147"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communications available to you if we ask it to.</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Obligations and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deposit agreement limits our obligations and the depositary's obligations to you. Please note the following:</w:t>
      </w:r>
    </w:p>
    <w:p>
      <w:pPr>
        <w:spacing w:after="0" w:line="169" w:lineRule="exact"/>
        <w:rPr>
          <w:sz w:val="20"/>
          <w:szCs w:val="20"/>
          <w:color w:val="auto"/>
        </w:rPr>
      </w:pPr>
    </w:p>
    <w:p>
      <w:pPr>
        <w:ind w:left="500" w:hanging="240"/>
        <w:spacing w:after="0"/>
        <w:tabs>
          <w:tab w:leader="none" w:pos="500"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are obligated only to take the actions specifically stated in the deposit agreement without negligence or bad faith.</w:t>
      </w:r>
    </w:p>
    <w:p>
      <w:pPr>
        <w:spacing w:after="0" w:line="153" w:lineRule="exact"/>
        <w:rPr>
          <w:rFonts w:ascii="Times New Roman" w:cs="Times New Roman" w:eastAsia="Times New Roman" w:hAnsi="Times New Roman"/>
          <w:sz w:val="17"/>
          <w:szCs w:val="17"/>
          <w:color w:val="auto"/>
        </w:rPr>
      </w:pPr>
    </w:p>
    <w:p>
      <w:pPr>
        <w:ind w:left="520" w:right="300" w:hanging="260"/>
        <w:spacing w:after="0" w:line="225" w:lineRule="auto"/>
        <w:tabs>
          <w:tab w:leader="none" w:pos="516"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4"/>
          <w:szCs w:val="14"/>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43" w:lineRule="exact"/>
        <w:rPr>
          <w:rFonts w:ascii="Times New Roman" w:cs="Times New Roman" w:eastAsia="Times New Roman" w:hAnsi="Times New Roman"/>
          <w:sz w:val="17"/>
          <w:szCs w:val="17"/>
          <w:color w:val="auto"/>
        </w:rPr>
      </w:pPr>
    </w:p>
    <w:p>
      <w:pPr>
        <w:ind w:left="520" w:right="60" w:hanging="260"/>
        <w:spacing w:after="0" w:line="225" w:lineRule="auto"/>
        <w:tabs>
          <w:tab w:leader="none" w:pos="516" w:val="left"/>
        </w:tabs>
        <w:numPr>
          <w:ilvl w:val="0"/>
          <w:numId w:val="87"/>
        </w:numPr>
        <w:rPr>
          <w:rFonts w:ascii="Times New Roman" w:cs="Times New Roman" w:eastAsia="Times New Roman" w:hAnsi="Times New Roman"/>
          <w:sz w:val="17"/>
          <w:szCs w:val="17"/>
          <w:color w:val="auto"/>
        </w:rPr>
      </w:pPr>
      <w:r>
        <w:rPr>
          <w:rFonts w:ascii="Arial" w:cs="Arial" w:eastAsia="Arial" w:hAnsi="Arial"/>
          <w:sz w:val="14"/>
          <w:szCs w:val="14"/>
          <w:color w:val="auto"/>
        </w:rPr>
        <w:t>The depositary disclaims any liability for any failure to determine the lawfulness or practicality of any action, for the content of any document forwarded to you on our behalf or for the accuracy of</w:t>
      </w:r>
    </w:p>
    <w:p>
      <w:pPr>
        <w:sectPr>
          <w:pgSz w:w="11900" w:h="16838" w:orient="portrait"/>
          <w:cols w:equalWidth="0" w:num="1">
            <w:col w:w="11260"/>
          </w:cols>
          <w:pgMar w:left="300" w:top="1303" w:right="339" w:bottom="1440" w:gutter="0" w:footer="0" w:header="0"/>
        </w:sectPr>
      </w:pPr>
    </w:p>
    <w:bookmarkStart w:id="155" w:name="page156"/>
    <w:bookmarkEnd w:id="155"/>
    <w:p>
      <w:pPr>
        <w:ind w:left="520" w:right="60"/>
        <w:spacing w:after="0" w:line="223" w:lineRule="auto"/>
        <w:rPr>
          <w:sz w:val="20"/>
          <w:szCs w:val="20"/>
          <w:color w:val="auto"/>
        </w:rPr>
      </w:pPr>
      <w:r>
        <w:rPr>
          <w:rFonts w:ascii="Arial" w:cs="Arial" w:eastAsia="Arial" w:hAnsi="Arial"/>
          <w:sz w:val="14"/>
          <w:szCs w:val="14"/>
          <w:color w:val="auto"/>
        </w:rPr>
        <w:t>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timeliness of any of our notices or for our failure to give notice.</w:t>
      </w:r>
    </w:p>
    <w:p>
      <w:pPr>
        <w:spacing w:after="0" w:line="144" w:lineRule="exact"/>
        <w:rPr>
          <w:sz w:val="20"/>
          <w:szCs w:val="20"/>
          <w:color w:val="auto"/>
        </w:rPr>
      </w:pPr>
    </w:p>
    <w:p>
      <w:pPr>
        <w:ind w:left="500" w:hanging="240"/>
        <w:spacing w:after="0"/>
        <w:tabs>
          <w:tab w:leader="none" w:pos="50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will not be obligated to perform any act that is inconsistent with the terms of the deposit agreement.</w:t>
      </w:r>
    </w:p>
    <w:p>
      <w:pPr>
        <w:spacing w:after="0" w:line="153" w:lineRule="exact"/>
        <w:rPr>
          <w:rFonts w:ascii="Times New Roman" w:cs="Times New Roman" w:eastAsia="Times New Roman" w:hAnsi="Times New Roman"/>
          <w:sz w:val="17"/>
          <w:szCs w:val="17"/>
          <w:color w:val="auto"/>
        </w:rPr>
      </w:pPr>
    </w:p>
    <w:p>
      <w:pPr>
        <w:ind w:left="520" w:right="20" w:hanging="260"/>
        <w:spacing w:after="0" w:line="219" w:lineRule="auto"/>
        <w:tabs>
          <w:tab w:leader="none" w:pos="516"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144" w:lineRule="exact"/>
        <w:rPr>
          <w:rFonts w:ascii="Times New Roman" w:cs="Times New Roman" w:eastAsia="Times New Roman" w:hAnsi="Times New Roman"/>
          <w:sz w:val="17"/>
          <w:szCs w:val="17"/>
          <w:color w:val="auto"/>
        </w:rPr>
      </w:pPr>
    </w:p>
    <w:p>
      <w:pPr>
        <w:ind w:left="520" w:right="340" w:hanging="260"/>
        <w:spacing w:after="0" w:line="225" w:lineRule="auto"/>
        <w:tabs>
          <w:tab w:leader="none" w:pos="516"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43" w:lineRule="exact"/>
        <w:rPr>
          <w:rFonts w:ascii="Times New Roman" w:cs="Times New Roman" w:eastAsia="Times New Roman" w:hAnsi="Times New Roman"/>
          <w:sz w:val="17"/>
          <w:szCs w:val="17"/>
          <w:color w:val="auto"/>
        </w:rPr>
      </w:pPr>
    </w:p>
    <w:p>
      <w:pPr>
        <w:jc w:val="both"/>
        <w:ind w:left="520" w:right="140" w:hanging="260"/>
        <w:spacing w:after="0" w:line="224" w:lineRule="auto"/>
        <w:tabs>
          <w:tab w:leader="none" w:pos="516"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43" w:lineRule="exact"/>
        <w:rPr>
          <w:rFonts w:ascii="Times New Roman" w:cs="Times New Roman" w:eastAsia="Times New Roman" w:hAnsi="Times New Roman"/>
          <w:sz w:val="17"/>
          <w:szCs w:val="17"/>
          <w:color w:val="auto"/>
        </w:rPr>
      </w:pPr>
    </w:p>
    <w:p>
      <w:pPr>
        <w:ind w:left="520" w:right="280" w:hanging="260"/>
        <w:spacing w:after="0" w:line="225" w:lineRule="auto"/>
        <w:tabs>
          <w:tab w:leader="none" w:pos="516"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43" w:lineRule="exact"/>
        <w:rPr>
          <w:rFonts w:ascii="Times New Roman" w:cs="Times New Roman" w:eastAsia="Times New Roman" w:hAnsi="Times New Roman"/>
          <w:sz w:val="17"/>
          <w:szCs w:val="17"/>
          <w:color w:val="auto"/>
        </w:rPr>
      </w:pPr>
    </w:p>
    <w:p>
      <w:pPr>
        <w:ind w:left="520" w:hanging="260"/>
        <w:spacing w:after="0" w:line="225" w:lineRule="auto"/>
        <w:tabs>
          <w:tab w:leader="none" w:pos="516"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may rely without any liability upon any written notice, request or other document believed to be genuine and to have been signed or presented by the proper parties.</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We and the depositary also disclaim liability for any consequential or punitive damages for any breach of the terms of the deposit agreement.</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4"/>
          <w:szCs w:val="14"/>
          <w:color w:val="auto"/>
        </w:rPr>
        <w:t>No disclaimer of any Securities Act liability is intended by any provision of the deposit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Pre-Release Transactions</w:t>
      </w:r>
    </w:p>
    <w:p>
      <w:pPr>
        <w:spacing w:after="0" w:line="147" w:lineRule="exact"/>
        <w:rPr>
          <w:sz w:val="20"/>
          <w:szCs w:val="20"/>
          <w:color w:val="auto"/>
        </w:rPr>
      </w:pPr>
    </w:p>
    <w:p>
      <w:pPr>
        <w:ind w:right="260"/>
        <w:spacing w:after="0" w:line="223" w:lineRule="auto"/>
        <w:rPr>
          <w:sz w:val="20"/>
          <w:szCs w:val="20"/>
          <w:color w:val="auto"/>
        </w:rPr>
      </w:pPr>
      <w:r>
        <w:rPr>
          <w:rFonts w:ascii="Arial" w:cs="Arial" w:eastAsia="Arial" w:hAnsi="Arial"/>
          <w:sz w:val="14"/>
          <w:szCs w:val="14"/>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w:t>
      </w:r>
    </w:p>
    <w:p>
      <w:pPr>
        <w:spacing w:after="0" w:line="147"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payable by holders. You will be liable for any deficiency if the sale proceeds do not cover the taxes that are due.</w:t>
      </w:r>
    </w:p>
    <w:p>
      <w:pPr>
        <w:sectPr>
          <w:pgSz w:w="11900" w:h="16838" w:orient="portrait"/>
          <w:cols w:equalWidth="0" w:num="1">
            <w:col w:w="11260"/>
          </w:cols>
          <w:pgMar w:left="300" w:top="1303" w:right="339" w:bottom="1440" w:gutter="0" w:footer="0" w:header="0"/>
        </w:sectPr>
      </w:pPr>
    </w:p>
    <w:bookmarkStart w:id="156" w:name="page157"/>
    <w:bookmarkEnd w:id="156"/>
    <w:p>
      <w:pPr>
        <w:ind w:right="380"/>
        <w:spacing w:after="0" w:line="223" w:lineRule="auto"/>
        <w:rPr>
          <w:sz w:val="20"/>
          <w:szCs w:val="20"/>
          <w:color w:val="auto"/>
        </w:rPr>
      </w:pPr>
      <w:r>
        <w:rPr>
          <w:rFonts w:ascii="Arial" w:cs="Arial" w:eastAsia="Arial" w:hAnsi="Arial"/>
          <w:sz w:val="14"/>
          <w:szCs w:val="14"/>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w:t>
      </w:r>
    </w:p>
    <w:p>
      <w:pPr>
        <w:spacing w:after="0" w:line="1" w:lineRule="exact"/>
        <w:rPr>
          <w:sz w:val="20"/>
          <w:szCs w:val="20"/>
          <w:color w:val="auto"/>
        </w:rPr>
      </w:pPr>
    </w:p>
    <w:p>
      <w:pPr>
        <w:ind w:right="260"/>
        <w:spacing w:after="0" w:line="222" w:lineRule="auto"/>
        <w:rPr>
          <w:sz w:val="20"/>
          <w:szCs w:val="20"/>
          <w:color w:val="auto"/>
        </w:rPr>
      </w:pPr>
      <w:r>
        <w:rPr>
          <w:rFonts w:ascii="Arial" w:cs="Arial" w:eastAsia="Arial" w:hAnsi="Arial"/>
          <w:sz w:val="14"/>
          <w:szCs w:val="14"/>
          <w:color w:val="auto"/>
        </w:rPr>
        <w:t>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Conversion</w:t>
      </w:r>
    </w:p>
    <w:p>
      <w:pPr>
        <w:spacing w:after="0" w:line="147"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currency exchange controls and other governmental requirements.</w:t>
      </w:r>
    </w:p>
    <w:p>
      <w:pPr>
        <w:spacing w:after="0" w:line="133" w:lineRule="exact"/>
        <w:rPr>
          <w:sz w:val="20"/>
          <w:szCs w:val="20"/>
          <w:color w:val="auto"/>
        </w:rPr>
      </w:pPr>
    </w:p>
    <w:p>
      <w:pPr>
        <w:ind w:right="440"/>
        <w:spacing w:after="0" w:line="242" w:lineRule="auto"/>
        <w:rPr>
          <w:sz w:val="20"/>
          <w:szCs w:val="20"/>
          <w:color w:val="auto"/>
        </w:rPr>
      </w:pPr>
      <w:r>
        <w:rPr>
          <w:rFonts w:ascii="Arial" w:cs="Arial" w:eastAsia="Arial" w:hAnsi="Arial"/>
          <w:sz w:val="14"/>
          <w:szCs w:val="14"/>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43" w:lineRule="exact"/>
        <w:rPr>
          <w:sz w:val="20"/>
          <w:szCs w:val="20"/>
          <w:color w:val="auto"/>
        </w:rPr>
      </w:pPr>
    </w:p>
    <w:p>
      <w:pPr>
        <w:ind w:left="500" w:hanging="240"/>
        <w:spacing w:after="0"/>
        <w:tabs>
          <w:tab w:leader="none" w:pos="50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4"/>
          <w:szCs w:val="14"/>
          <w:color w:val="auto"/>
        </w:rPr>
        <w:t>Convert the foreign currency to the extent practical and lawful and distribute the U.S. dollars to the holders for whom the conversion and distribution is lawful and practical.</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4"/>
          <w:szCs w:val="14"/>
          <w:color w:val="auto"/>
        </w:rPr>
        <w:t>Distribute the foreign currency to holders for whom the distribution is lawful and practical.</w:t>
      </w:r>
    </w:p>
    <w:p>
      <w:pPr>
        <w:spacing w:after="0" w:line="14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4"/>
          <w:szCs w:val="14"/>
          <w:color w:val="auto"/>
        </w:rPr>
        <w:t>Hold the foreign currency (without liability for interest) for the applicable holders.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Governing Law/Waiver of Jury Trial</w:t>
      </w:r>
    </w:p>
    <w:p>
      <w:pPr>
        <w:spacing w:after="0" w:line="147"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32"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AS A PARTY TO THE DEPOSIT AGREEMENT, YOU WAIVE YOUR RIGHT TO TRIAL BY JURY IN ANY LEGAL PROCEEDING ARISING OUT OF THE DEPOSIT AGREEMENT OR THE ADRs AGAINST US AND/OR THE DEPOSITARY.</w:t>
      </w:r>
    </w:p>
    <w:p>
      <w:pPr>
        <w:sectPr>
          <w:pgSz w:w="11900" w:h="16838" w:orient="portrait"/>
          <w:cols w:equalWidth="0" w:num="1">
            <w:col w:w="11240"/>
          </w:cols>
          <w:pgMar w:left="300" w:top="1302" w:right="359" w:bottom="1440" w:gutter="0" w:footer="0" w:header="0"/>
        </w:sectPr>
      </w:pPr>
    </w:p>
    <w:bookmarkStart w:id="157" w:name="page158"/>
    <w:bookmarkEnd w:id="157"/>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42" w:lineRule="auto"/>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ind w:left="1020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82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SUBSIDIARIES OF VERONA PHARMA PLC</w:t>
            </w:r>
          </w:p>
        </w:tc>
      </w:tr>
      <w:tr>
        <w:trPr>
          <w:trHeight w:val="378"/>
        </w:trPr>
        <w:tc>
          <w:tcPr>
            <w:tcW w:w="2760" w:type="dxa"/>
            <w:vAlign w:val="bottom"/>
          </w:tcPr>
          <w:p>
            <w:pPr>
              <w:spacing w:after="0"/>
              <w:rPr>
                <w:sz w:val="20"/>
                <w:szCs w:val="20"/>
                <w:color w:val="auto"/>
              </w:rPr>
            </w:pPr>
            <w:r>
              <w:rPr>
                <w:rFonts w:ascii="Calibri" w:cs="Calibri" w:eastAsia="Calibri" w:hAnsi="Calibri"/>
                <w:sz w:val="16"/>
                <w:szCs w:val="16"/>
                <w:b w:val="1"/>
                <w:bCs w:val="1"/>
                <w:color w:val="auto"/>
              </w:rPr>
              <w:t>Legal Name of Subsidiary</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Calibri" w:cs="Calibri" w:eastAsia="Calibri" w:hAnsi="Calibri"/>
                <w:sz w:val="16"/>
                <w:szCs w:val="16"/>
                <w:b w:val="1"/>
                <w:bCs w:val="1"/>
                <w:color w:val="auto"/>
              </w:rPr>
              <w:t>Jurisdicton of Organizaton</w:t>
            </w:r>
          </w:p>
        </w:tc>
      </w:tr>
      <w:tr>
        <w:trPr>
          <w:trHeight w:val="47"/>
        </w:trPr>
        <w:tc>
          <w:tcPr>
            <w:tcW w:w="27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r>
      <w:tr>
        <w:trPr>
          <w:trHeight w:val="177"/>
        </w:trPr>
        <w:tc>
          <w:tcPr>
            <w:tcW w:w="2760" w:type="dxa"/>
            <w:vAlign w:val="bottom"/>
            <w:shd w:val="clear" w:color="auto" w:fill="CCEEFF"/>
          </w:tcPr>
          <w:p>
            <w:pPr>
              <w:spacing w:after="0" w:line="177" w:lineRule="exact"/>
              <w:rPr>
                <w:sz w:val="20"/>
                <w:szCs w:val="20"/>
                <w:color w:val="auto"/>
              </w:rPr>
            </w:pPr>
            <w:r>
              <w:rPr>
                <w:rFonts w:ascii="Calibri" w:cs="Calibri" w:eastAsia="Calibri" w:hAnsi="Calibri"/>
                <w:sz w:val="16"/>
                <w:szCs w:val="16"/>
                <w:color w:val="auto"/>
              </w:rPr>
              <w:t>Verona Pharma, Inc.</w:t>
            </w:r>
          </w:p>
        </w:tc>
        <w:tc>
          <w:tcPr>
            <w:tcW w:w="2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300" w:type="dxa"/>
            <w:vAlign w:val="bottom"/>
            <w:shd w:val="clear" w:color="auto" w:fill="CCEEFF"/>
          </w:tcPr>
          <w:p>
            <w:pPr>
              <w:spacing w:after="0" w:line="177" w:lineRule="exact"/>
              <w:rPr>
                <w:sz w:val="20"/>
                <w:szCs w:val="20"/>
                <w:color w:val="auto"/>
              </w:rPr>
            </w:pPr>
            <w:r>
              <w:rPr>
                <w:rFonts w:ascii="Calibri" w:cs="Calibri" w:eastAsia="Calibri" w:hAnsi="Calibri"/>
                <w:sz w:val="16"/>
                <w:szCs w:val="16"/>
                <w:color w:val="auto"/>
              </w:rPr>
              <w:t>Delaware</w:t>
            </w:r>
          </w:p>
        </w:tc>
      </w:tr>
      <w:tr>
        <w:trPr>
          <w:trHeight w:val="47"/>
        </w:trPr>
        <w:tc>
          <w:tcPr>
            <w:tcW w:w="2760" w:type="dxa"/>
            <w:vAlign w:val="bottom"/>
            <w:shd w:val="clear" w:color="auto" w:fill="CCEEFF"/>
          </w:tcPr>
          <w:p>
            <w:pPr>
              <w:spacing w:after="0"/>
              <w:rPr>
                <w:sz w:val="4"/>
                <w:szCs w:val="4"/>
                <w:color w:val="auto"/>
              </w:rPr>
            </w:pPr>
          </w:p>
        </w:tc>
        <w:tc>
          <w:tcPr>
            <w:tcW w:w="2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300" w:type="dxa"/>
            <w:vAlign w:val="bottom"/>
            <w:shd w:val="clear" w:color="auto" w:fill="CCEEFF"/>
          </w:tcPr>
          <w:p>
            <w:pPr>
              <w:spacing w:after="0"/>
              <w:rPr>
                <w:sz w:val="4"/>
                <w:szCs w:val="4"/>
                <w:color w:val="auto"/>
              </w:rPr>
            </w:pPr>
          </w:p>
        </w:tc>
      </w:tr>
    </w:tbl>
    <w:p>
      <w:pPr>
        <w:sectPr>
          <w:pgSz w:w="11900" w:h="16838" w:orient="portrait"/>
          <w:cols w:equalWidth="0" w:num="1">
            <w:col w:w="11000"/>
          </w:cols>
          <w:pgMar w:left="660" w:top="1141" w:right="239" w:bottom="1440" w:gutter="0" w:footer="0" w:header="0"/>
        </w:sectPr>
      </w:pPr>
    </w:p>
    <w:bookmarkStart w:id="196" w:name="page197"/>
    <w:bookmarkEnd w:id="196"/>
    <w:p>
      <w:pPr>
        <w:spacing w:after="0" w:line="56" w:lineRule="exact"/>
        <w:rPr>
          <w:sz w:val="20"/>
          <w:szCs w:val="20"/>
          <w:color w:val="auto"/>
        </w:rPr>
      </w:pPr>
    </w:p>
    <w:p>
      <w:pPr>
        <w:jc w:val="center"/>
        <w:ind w:right="-99"/>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40" w:lineRule="exact"/>
        <w:rPr>
          <w:sz w:val="20"/>
          <w:szCs w:val="20"/>
          <w:color w:val="auto"/>
        </w:rPr>
      </w:pPr>
    </w:p>
    <w:p>
      <w:pPr>
        <w:spacing w:after="0"/>
        <w:rPr>
          <w:sz w:val="20"/>
          <w:szCs w:val="20"/>
          <w:color w:val="auto"/>
        </w:rPr>
      </w:pPr>
      <w:r>
        <w:rPr>
          <w:rFonts w:ascii="Georgia" w:cs="Georgia" w:eastAsia="Georgia" w:hAnsi="Georgia"/>
          <w:sz w:val="14"/>
          <w:szCs w:val="14"/>
          <w:color w:val="auto"/>
        </w:rPr>
        <w:t>We hereby consent to the incorporation by reference in the Registration Statements on Form S-3 (No. 333-254530, 333-270339) and Form S-8 (No. 333-271764, 333-268389, 333-248199, 333-237926, 333-217521) of Verona Pharma plc of our report dated February 29,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195" w:lineRule="exact"/>
        <w:rPr>
          <w:sz w:val="20"/>
          <w:szCs w:val="20"/>
          <w:color w:val="auto"/>
        </w:rPr>
      </w:pPr>
    </w:p>
    <w:p>
      <w:pPr>
        <w:spacing w:after="0"/>
        <w:rPr>
          <w:sz w:val="20"/>
          <w:szCs w:val="20"/>
          <w:color w:val="auto"/>
        </w:rPr>
      </w:pPr>
      <w:r>
        <w:rPr>
          <w:rFonts w:ascii="Georgia" w:cs="Georgia" w:eastAsia="Georgia" w:hAnsi="Georgia"/>
          <w:sz w:val="14"/>
          <w:szCs w:val="14"/>
          <w:color w:val="auto"/>
        </w:rPr>
        <w:t>Reading, United Kingdom</w:t>
      </w:r>
    </w:p>
    <w:p>
      <w:pPr>
        <w:spacing w:after="0" w:line="11" w:lineRule="exact"/>
        <w:rPr>
          <w:sz w:val="20"/>
          <w:szCs w:val="20"/>
          <w:color w:val="auto"/>
        </w:rPr>
      </w:pPr>
    </w:p>
    <w:p>
      <w:pPr>
        <w:spacing w:after="0"/>
        <w:rPr>
          <w:sz w:val="20"/>
          <w:szCs w:val="20"/>
          <w:color w:val="auto"/>
        </w:rPr>
      </w:pPr>
      <w:r>
        <w:rPr>
          <w:rFonts w:ascii="Georgia" w:cs="Georgia" w:eastAsia="Georgia" w:hAnsi="Georgia"/>
          <w:sz w:val="14"/>
          <w:szCs w:val="14"/>
          <w:color w:val="auto"/>
        </w:rPr>
        <w:t>February 29, 2024</w:t>
      </w:r>
    </w:p>
    <w:p>
      <w:pPr>
        <w:sectPr>
          <w:pgSz w:w="11900" w:h="16838" w:orient="portrait"/>
          <w:cols w:equalWidth="0" w:num="1">
            <w:col w:w="11200"/>
          </w:cols>
          <w:pgMar w:left="300" w:top="1440" w:right="3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Zaccardelli, Pharm.D., certify that:</w:t>
      </w:r>
    </w:p>
    <w:p>
      <w:pPr>
        <w:spacing w:after="0" w:line="179" w:lineRule="exact"/>
        <w:rPr>
          <w:sz w:val="20"/>
          <w:szCs w:val="20"/>
          <w:color w:val="auto"/>
        </w:rPr>
      </w:pPr>
    </w:p>
    <w:p>
      <w:pPr>
        <w:ind w:left="140" w:hanging="135"/>
        <w:spacing w:after="0"/>
        <w:tabs>
          <w:tab w:leader="none" w:pos="1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Verona Pharma plc;</w:t>
      </w:r>
    </w:p>
    <w:p>
      <w:pPr>
        <w:spacing w:after="0" w:line="178"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14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14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14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2"/>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February 29,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141"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W. Hahn, certify that:</w:t>
      </w:r>
    </w:p>
    <w:p>
      <w:pPr>
        <w:spacing w:after="0" w:line="179" w:lineRule="exact"/>
        <w:rPr>
          <w:sz w:val="20"/>
          <w:szCs w:val="20"/>
          <w:color w:val="auto"/>
        </w:rPr>
      </w:pPr>
    </w:p>
    <w:p>
      <w:pPr>
        <w:ind w:left="400" w:hanging="140"/>
        <w:spacing w:after="0"/>
        <w:tabs>
          <w:tab w:leader="none" w:pos="4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Verona Pharma plc;</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40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40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40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40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February 29,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32"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Verona Pharma plc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February 29,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41"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Verona Pharma plc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February 29,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332" w:right="319" w:bottom="1440"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lowerRoman"/>
      <w:start w:val="2"/>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lowerRoman"/>
      <w:start w:val="2"/>
    </w:lvl>
  </w:abstractNum>
  <w:abstractNum w:abstractNumId="57">
    <w:nsid w:val="51D9C564"/>
    <w:multiLevelType w:val="hybridMultilevel"/>
    <w:lvl w:ilvl="0">
      <w:lvlJc w:val="left"/>
      <w:lvlText w:val="(%1)"/>
      <w:numFmt w:val="lowerRoman"/>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10"/>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121" Type="http://schemas.openxmlformats.org/officeDocument/2006/relationships/hyperlink" Target="https://www.sec.gov/Archives/edgar/data/1657312/000110465923029657/tm2233007-1_s3asr.htm" TargetMode="External"/><Relationship Id="rId122" Type="http://schemas.openxmlformats.org/officeDocument/2006/relationships/hyperlink" Target="https://www.sec.gov/Archives/edgar/data/1657312/000110465920140541/tm2039594d1_ex1.htm" TargetMode="External"/><Relationship Id="rId123" Type="http://schemas.openxmlformats.org/officeDocument/2006/relationships/hyperlink" Target="https://www.sec.gov/Archives/edgar/data/1657312/000165731218000006/exhibit21depositagreemen.htm" TargetMode="External"/><Relationship Id="rId124" Type="http://schemas.openxmlformats.org/officeDocument/2006/relationships/hyperlink" Target="https://www.sec.gov/Archives/edgar/data/1657312/000104746917002313/a2231519zex-4_3.htm" TargetMode="External"/><Relationship Id="rId125" Type="http://schemas.openxmlformats.org/officeDocument/2006/relationships/hyperlink" Target="https://www.sec.gov/Archives/edgar/data/1657312/000104746917002313/a2231519zex-4_4.htm" TargetMode="External"/><Relationship Id="rId126" Type="http://schemas.openxmlformats.org/officeDocument/2006/relationships/hyperlink" Target="https://www.sec.gov/Archives/edgar/data/1657312/000104746917002313/a2231519zex-10_1.htm" TargetMode="External"/><Relationship Id="rId127" Type="http://schemas.openxmlformats.org/officeDocument/2006/relationships/hyperlink" Target="https://www.sec.gov/Archives/edgar/data/1657312/000110465920085620/tm2025101d2_ex2.htm" TargetMode="External"/><Relationship Id="rId128" Type="http://schemas.openxmlformats.org/officeDocument/2006/relationships/hyperlink" Target="https://www.sec.gov/Archives/edgar/data/1657312/000104746917002313/a2231519zex-10_2.htm" TargetMode="External"/><Relationship Id="rId129" Type="http://schemas.openxmlformats.org/officeDocument/2006/relationships/hyperlink" Target="https://www.sec.gov/Archives/edgar/data/1657312/000110465922040140/tm2210807d1_ex10-1.htm" TargetMode="External"/><Relationship Id="rId130" Type="http://schemas.openxmlformats.org/officeDocument/2006/relationships/hyperlink" Target="https://www.sec.gov/Archives/edgar/data/1657312/000165731220000019/ex433reguslease13914316s.htm" TargetMode="External"/><Relationship Id="rId131" Type="http://schemas.openxmlformats.org/officeDocument/2006/relationships/hyperlink" Target="https://www.sec.gov/Archives/edgar/data/1657312/000165731220000019/ex434reguslease14214416s.htm" TargetMode="External"/><Relationship Id="rId132" Type="http://schemas.openxmlformats.org/officeDocument/2006/relationships/hyperlink" Target="https://www.sec.gov/Archives/edgar/data/1657312/000165731220000019/ex435reguslease145a15116.htm" TargetMode="External"/><Relationship Id="rId133" Type="http://schemas.openxmlformats.org/officeDocument/2006/relationships/hyperlink" Target="https://www.sec.gov/Archives/edgar/data/1657312/000165731220000019/ex436regushudsonyardslea.htm" TargetMode="External"/><Relationship Id="rId134" Type="http://schemas.openxmlformats.org/officeDocument/2006/relationships/hyperlink" Target="https://www.sec.gov/Archives/edgar/data/1657312/000165731222000010/reguslease_139142144xend.htm" TargetMode="External"/><Relationship Id="rId135" Type="http://schemas.openxmlformats.org/officeDocument/2006/relationships/hyperlink" Target="https://www.sec.gov/Archives/edgar/data/1657312/000165731222000010/reguslease_145a151xendin.htm" TargetMode="External"/><Relationship Id="rId136" Type="http://schemas.openxmlformats.org/officeDocument/2006/relationships/hyperlink" Target="https://www.sec.gov/Archives/edgar/data/1657312/000165731222000010/veronapharmaincbriercree.htm" TargetMode="External"/><Relationship Id="rId137" Type="http://schemas.openxmlformats.org/officeDocument/2006/relationships/hyperlink" Target="https://www.sec.gov/Archives/edgar/data/1657312/000110465923097740/tm2325259d1_ex10-1.htm" TargetMode="External"/><Relationship Id="rId138" Type="http://schemas.openxmlformats.org/officeDocument/2006/relationships/hyperlink" Target="https://www.sec.gov/Archives/edgar/data/1657312/000104746917002313/a2231519zex-10_4.htm" TargetMode="External"/><Relationship Id="rId139" Type="http://schemas.openxmlformats.org/officeDocument/2006/relationships/hyperlink" Target="https://www.sec.gov/Archives/edgar/data/1657312/000104746917002313/a2231519zex-10_5.htm" TargetMode="External"/><Relationship Id="rId140" Type="http://schemas.openxmlformats.org/officeDocument/2006/relationships/hyperlink" Target="https://www.sec.gov/Archives/edgar/data/1657312/000110465923054551/tm2314238d1_ex10-1.htm" TargetMode="External"/><Relationship Id="rId141" Type="http://schemas.openxmlformats.org/officeDocument/2006/relationships/hyperlink" Target="https://www.sec.gov/Archives/edgar/data/1657312/000165731220000019/a47dzaccarrelliemploymen.htm" TargetMode="External"/><Relationship Id="rId142" Type="http://schemas.openxmlformats.org/officeDocument/2006/relationships/hyperlink" Target="https://www.sec.gov/Archives/edgar/data/1657312/000165731219000007/kathyrickardemploymentag.htm" TargetMode="External"/><Relationship Id="rId143" Type="http://schemas.openxmlformats.org/officeDocument/2006/relationships/hyperlink" Target="https://www.sec.gov/Archives/edgar/data/1657312/000104746917002313/a2231519zex-10_9.htm" TargetMode="External"/><Relationship Id="rId144" Type="http://schemas.openxmlformats.org/officeDocument/2006/relationships/hyperlink" Target="https://www.sec.gov/Archives/edgar/data/1657312/000110465920095810/tm2027314d2_ex10-12.htm" TargetMode="External"/><Relationship Id="rId145" Type="http://schemas.openxmlformats.org/officeDocument/2006/relationships/hyperlink" Target="https://www.sec.gov/Archives/edgar/data/1657312/000104746917002697/a2231786zex-10_111.htm" TargetMode="External"/><Relationship Id="rId146" Type="http://schemas.openxmlformats.org/officeDocument/2006/relationships/hyperlink" Target="https://www.sec.gov/Archives/edgar/data/1657312/000104746917002697/a2231786zex-10_112.htm" TargetMode="External"/><Relationship Id="rId147" Type="http://schemas.openxmlformats.org/officeDocument/2006/relationships/hyperlink" Target="https://www.sec.gov/Archives/edgar/data/1657312/000110465921103493/tm2124824d1_ex10-1.htm" TargetMode="External"/><Relationship Id="rId148" Type="http://schemas.openxmlformats.org/officeDocument/2006/relationships/hyperlink" Target="https://www.sec.gov/Archives/edgar/data/1657312/000104746917002313/a2231519zex-10_12.htm" TargetMode="External"/><Relationship Id="rId149" Type="http://schemas.openxmlformats.org/officeDocument/2006/relationships/hyperlink" Target="https://www.sec.gov/Archives/edgar/data/1657312/000104746917002313/a2231519zex-10_13.htm" TargetMode="External"/><Relationship Id="rId150" Type="http://schemas.openxmlformats.org/officeDocument/2006/relationships/hyperlink" Target="https://www.sec.gov/Archives/edgar/data/1657312/000104746917002313/a2231519zex-10_14.htm" TargetMode="External"/><Relationship Id="rId151" Type="http://schemas.openxmlformats.org/officeDocument/2006/relationships/hyperlink" Target="https://www.sec.gov/Archives/edgar/data/1657312/000110465920085620/tm2025101d2_ex1.htm" TargetMode="External"/><Relationship Id="rId152" Type="http://schemas.openxmlformats.org/officeDocument/2006/relationships/hyperlink" Target="https://www.sec.gov/Archives/edgar/data/1657312/000165731221000004/non-executicedirectorappoi.htm" TargetMode="External"/><Relationship Id="rId153" Type="http://schemas.openxmlformats.org/officeDocument/2006/relationships/hyperlink" Target="https://www.sec.gov/Archives/edgar/data/1657312/000165731221000018/exhibit101q221.htm" TargetMode="External"/><Relationship Id="rId154" Type="http://schemas.openxmlformats.org/officeDocument/2006/relationships/hyperlink" Target="https://www.sec.gov/Archives/edgar/data/1657312/000110465924000015/tm2333838d1_ex10-1.htm" TargetMode="External"/><Relationship Id="rId155" Type="http://schemas.openxmlformats.org/officeDocument/2006/relationships/hyperlink" Target="https://www.sec.gov/Archives/edgar/data/1657312/000110465923126869/tm2333000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2024-02-29T08:14:15Z</dcterms:created>
  <dcterms:modified xsi:type="dcterms:W3CDTF">2024-02-29T08:14:15Z</dcterms:modified>
</cp:coreProperties>
</file>