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6-K</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3"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August 2018</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97" w:right="1440"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August 10, 2018, Verona Pharma plc issued a press release reporting the purchase of shares by its Chairman, Dr David Ebsworth, and the issue of new Ordinary Shares following the vesting of restricted stock units held by a former employee, Dr. Ken Newman.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PDMR Dealing and Share Issue Press Release is furnished herewith as Exhibit 1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Exhibit</w:t>
      </w:r>
    </w:p>
    <w:p>
      <w:pPr>
        <w:ind w:left="1760"/>
        <w:spacing w:after="0"/>
        <w:tabs>
          <w:tab w:leader="none" w:pos="6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23495</wp:posOffset>
            </wp:positionV>
            <wp:extent cx="5900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232" w:lineRule="exact"/>
        <w:rPr>
          <w:sz w:val="20"/>
          <w:szCs w:val="20"/>
          <w:color w:val="auto"/>
        </w:rPr>
      </w:pPr>
    </w:p>
    <w:p>
      <w:pPr>
        <w:ind w:left="1100"/>
        <w:spacing w:after="0"/>
        <w:tabs>
          <w:tab w:leader="none" w:pos="2940" w:val="left"/>
        </w:tabs>
        <w:rPr>
          <w:sz w:val="20"/>
          <w:szCs w:val="20"/>
          <w:color w:val="auto"/>
        </w:rPr>
      </w:pPr>
      <w:r>
        <w:rPr>
          <w:rFonts w:ascii="Arial" w:cs="Arial" w:eastAsia="Arial" w:hAnsi="Arial"/>
          <w:sz w:val="18"/>
          <w:szCs w:val="18"/>
          <w:u w:val="single" w:color="auto"/>
          <w:color w:val="0000EE"/>
        </w:rPr>
        <w:t>1</w:t>
      </w:r>
      <w:r>
        <w:rPr>
          <w:sz w:val="20"/>
          <w:szCs w:val="20"/>
          <w:color w:val="auto"/>
        </w:rPr>
        <w:tab/>
      </w:r>
      <w:r>
        <w:rPr>
          <w:rFonts w:ascii="Arial" w:cs="Arial" w:eastAsia="Arial" w:hAnsi="Arial"/>
          <w:sz w:val="18"/>
          <w:szCs w:val="18"/>
          <w:u w:val="single" w:color="auto"/>
          <w:color w:val="0000EE"/>
        </w:rPr>
        <w:t>PDMR Dealing and Share Issue Press Release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VERONA PHARMA PLC</w:t>
      </w:r>
    </w:p>
    <w:p>
      <w:pPr>
        <w:spacing w:after="0" w:line="355" w:lineRule="exact"/>
        <w:rPr>
          <w:sz w:val="20"/>
          <w:szCs w:val="20"/>
          <w:color w:val="auto"/>
        </w:rPr>
      </w:pPr>
    </w:p>
    <w:tbl>
      <w:tblPr>
        <w:tblLayout w:type="fixed"/>
        <w:tblInd w:w="1100" w:type="dxa"/>
        <w:tblCellMar>
          <w:top w:w="0" w:type="dxa"/>
          <w:left w:w="0" w:type="dxa"/>
          <w:bottom w:w="0" w:type="dxa"/>
          <w:right w:w="0" w:type="dxa"/>
        </w:tblCellMar>
      </w:tblPr>
      <w:tr>
        <w:trPr>
          <w:trHeight w:val="224"/>
        </w:trPr>
        <w:tc>
          <w:tcPr>
            <w:tcW w:w="2660" w:type="dxa"/>
            <w:vAlign w:val="bottom"/>
          </w:tcPr>
          <w:p>
            <w:pPr>
              <w:spacing w:after="0"/>
              <w:rPr>
                <w:sz w:val="20"/>
                <w:szCs w:val="20"/>
                <w:color w:val="auto"/>
              </w:rPr>
            </w:pPr>
            <w:r>
              <w:rPr>
                <w:rFonts w:ascii="Arial" w:cs="Arial" w:eastAsia="Arial" w:hAnsi="Arial"/>
                <w:sz w:val="18"/>
                <w:szCs w:val="18"/>
                <w:color w:val="auto"/>
              </w:rPr>
              <w:t>Date: August 14, 2018</w:t>
            </w:r>
          </w:p>
        </w:tc>
        <w:tc>
          <w:tcPr>
            <w:tcW w:w="1480" w:type="dxa"/>
            <w:vAlign w:val="bottom"/>
          </w:tcPr>
          <w:p>
            <w:pPr>
              <w:ind w:left="84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3860" w:type="dxa"/>
            <w:vAlign w:val="bottom"/>
            <w:tcBorders>
              <w:bottom w:val="single" w:sz="8" w:color="auto"/>
            </w:tcBorders>
          </w:tcPr>
          <w:p>
            <w:pPr>
              <w:spacing w:after="0"/>
              <w:rPr>
                <w:sz w:val="19"/>
                <w:szCs w:val="19"/>
                <w:color w:val="auto"/>
              </w:rPr>
            </w:pPr>
          </w:p>
        </w:tc>
      </w:tr>
      <w:tr>
        <w:trPr>
          <w:trHeight w:val="243"/>
        </w:trPr>
        <w:tc>
          <w:tcPr>
            <w:tcW w:w="2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Name:</w:t>
            </w:r>
          </w:p>
        </w:tc>
        <w:tc>
          <w:tcPr>
            <w:tcW w:w="3860" w:type="dxa"/>
            <w:vAlign w:val="bottom"/>
          </w:tcPr>
          <w:p>
            <w:pPr>
              <w:ind w:left="180"/>
              <w:spacing w:after="0"/>
              <w:rPr>
                <w:sz w:val="20"/>
                <w:szCs w:val="20"/>
                <w:color w:val="auto"/>
              </w:rPr>
            </w:pPr>
            <w:r>
              <w:rPr>
                <w:rFonts w:ascii="Arial" w:cs="Arial" w:eastAsia="Arial" w:hAnsi="Arial"/>
                <w:sz w:val="18"/>
                <w:szCs w:val="18"/>
                <w:color w:val="auto"/>
              </w:rPr>
              <w:t>Claire Poll</w:t>
            </w:r>
          </w:p>
        </w:tc>
      </w:tr>
      <w:tr>
        <w:trPr>
          <w:trHeight w:val="270"/>
        </w:trPr>
        <w:tc>
          <w:tcPr>
            <w:tcW w:w="2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Title:</w:t>
            </w:r>
          </w:p>
        </w:tc>
        <w:tc>
          <w:tcPr>
            <w:tcW w:w="3860" w:type="dxa"/>
            <w:vAlign w:val="bottom"/>
          </w:tcPr>
          <w:p>
            <w:pPr>
              <w:ind w:left="1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340"/>
          </w:cols>
          <w:pgMar w:left="240" w:top="576" w:right="3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1482725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763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PDMR Dealing &amp; Issue of Shares</w:t>
      </w:r>
    </w:p>
    <w:p>
      <w:pPr>
        <w:spacing w:after="0" w:line="200" w:lineRule="exact"/>
        <w:rPr>
          <w:sz w:val="20"/>
          <w:szCs w:val="20"/>
          <w:color w:val="auto"/>
        </w:rPr>
      </w:pP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August 10, 2018, LONDON - Verona Pharma plc (AIM:VRP) (Nasdaq:VRNA) (“Verona Pharma”), a clinical-stage biopharmaceutical company focused on developing and commercializing innovative therapies for respiratory diseases, announces that, on August 9, 2018, Dr. David Ebsworth, Chairman of the Company, purchased 12,000 ordinary shares of 5 pence each in the Company (the “Ordinary Shares”) at a price of 120.00 pence per Ordinary Share. Following the acquisition, Dr. Ebsworth will have an interest in the Company of 147,787 Ordinary Shares, representing 0.14% of the Company’s issued share capital.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notification set out below is provided in accordance with the requirements of the EU Market Abuse Regulation.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announces that, on August 9, 2018, it issued 58,112 new Ordinary Shares (the “New Ordinary Shares”) following the vesting of restricted stock units held by a former employee, Dr. Ken Newman. Application will be made to the London Stock Exchange for the New Ordinary Shares to be admitted to trading on AIM, with dealings expected to commence on 16 August 2018 (“Admission”). Following Admission, the Company will have a total of 105,075,513 Ordinary Shares in issue each carrying one voting right. The Company does not hold any Ordinary Shares in Treasury. This figure of 105,075,513 Ordinary Shares may be used by shareholders as the denominator for the calculations by which they will determine if they are required to notify their interest in, or a change to their interest in, the share capital of the Company under the FCA's Disclosure and Transparency Rules.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50" w:type="dxa"/>
        <w:tblCellMar>
          <w:top w:w="0" w:type="dxa"/>
          <w:left w:w="0" w:type="dxa"/>
          <w:bottom w:w="0" w:type="dxa"/>
          <w:right w:w="0" w:type="dxa"/>
        </w:tblCellMar>
      </w:tblPr>
      <w:tr>
        <w:trPr>
          <w:trHeight w:val="275"/>
        </w:trPr>
        <w:tc>
          <w:tcPr>
            <w:tcW w:w="6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1</w:t>
            </w:r>
          </w:p>
        </w:tc>
        <w:tc>
          <w:tcPr>
            <w:tcW w:w="105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20"/>
                <w:szCs w:val="20"/>
                <w:b w:val="1"/>
                <w:bCs w:val="1"/>
                <w:color w:val="auto"/>
              </w:rPr>
              <w:t>Details of the person discharging managerial responsibilities/person closely associated</w:t>
            </w:r>
          </w:p>
        </w:tc>
        <w:tc>
          <w:tcPr>
            <w:tcW w:w="0" w:type="dxa"/>
            <w:vAlign w:val="bottom"/>
          </w:tcPr>
          <w:p>
            <w:pPr>
              <w:spacing w:after="0"/>
              <w:rPr>
                <w:sz w:val="1"/>
                <w:szCs w:val="1"/>
                <w:color w:val="auto"/>
              </w:rPr>
            </w:pPr>
          </w:p>
        </w:tc>
      </w:tr>
      <w:tr>
        <w:trPr>
          <w:trHeight w:val="90"/>
        </w:trPr>
        <w:tc>
          <w:tcPr>
            <w:tcW w:w="600" w:type="dxa"/>
            <w:vAlign w:val="bottom"/>
            <w:tcBorders>
              <w:left w:val="single" w:sz="8" w:color="auto"/>
              <w:bottom w:val="single" w:sz="8" w:color="auto"/>
              <w:right w:val="single" w:sz="8" w:color="auto"/>
            </w:tcBorders>
          </w:tcPr>
          <w:p>
            <w:pPr>
              <w:spacing w:after="0"/>
              <w:rPr>
                <w:sz w:val="7"/>
                <w:szCs w:val="7"/>
                <w:color w:val="auto"/>
              </w:rPr>
            </w:pPr>
          </w:p>
        </w:tc>
        <w:tc>
          <w:tcPr>
            <w:tcW w:w="6020" w:type="dxa"/>
            <w:vAlign w:val="bottom"/>
            <w:tcBorders>
              <w:bottom w:val="single" w:sz="8" w:color="auto"/>
            </w:tcBorders>
          </w:tcPr>
          <w:p>
            <w:pPr>
              <w:spacing w:after="0"/>
              <w:rPr>
                <w:sz w:val="7"/>
                <w:szCs w:val="7"/>
                <w:color w:val="auto"/>
              </w:rPr>
            </w:pPr>
          </w:p>
        </w:tc>
        <w:tc>
          <w:tcPr>
            <w:tcW w:w="4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Name</w:t>
            </w:r>
          </w:p>
        </w:tc>
        <w:tc>
          <w:tcPr>
            <w:tcW w:w="45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David Ebsworth</w:t>
            </w:r>
          </w:p>
        </w:tc>
        <w:tc>
          <w:tcPr>
            <w:tcW w:w="0" w:type="dxa"/>
            <w:vAlign w:val="bottom"/>
          </w:tcPr>
          <w:p>
            <w:pPr>
              <w:spacing w:after="0"/>
              <w:rPr>
                <w:sz w:val="1"/>
                <w:szCs w:val="1"/>
                <w:color w:val="auto"/>
              </w:rPr>
            </w:pPr>
          </w:p>
        </w:tc>
      </w:tr>
      <w:tr>
        <w:trPr>
          <w:trHeight w:val="415"/>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2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2</w:t>
            </w:r>
          </w:p>
        </w:tc>
        <w:tc>
          <w:tcPr>
            <w:tcW w:w="6020" w:type="dxa"/>
            <w:vAlign w:val="bottom"/>
          </w:tcPr>
          <w:p>
            <w:pPr>
              <w:ind w:left="60"/>
              <w:spacing w:after="0"/>
              <w:rPr>
                <w:sz w:val="20"/>
                <w:szCs w:val="20"/>
                <w:color w:val="auto"/>
              </w:rPr>
            </w:pPr>
            <w:r>
              <w:rPr>
                <w:rFonts w:ascii="Arial" w:cs="Arial" w:eastAsia="Arial" w:hAnsi="Arial"/>
                <w:sz w:val="20"/>
                <w:szCs w:val="20"/>
                <w:b w:val="1"/>
                <w:bCs w:val="1"/>
                <w:color w:val="auto"/>
              </w:rPr>
              <w:t>Reason for the notification</w:t>
            </w:r>
          </w:p>
        </w:tc>
        <w:tc>
          <w:tcPr>
            <w:tcW w:w="4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600" w:type="dxa"/>
            <w:vAlign w:val="bottom"/>
            <w:tcBorders>
              <w:left w:val="single" w:sz="8" w:color="auto"/>
              <w:bottom w:val="single" w:sz="8" w:color="auto"/>
              <w:right w:val="single" w:sz="8" w:color="auto"/>
            </w:tcBorders>
          </w:tcPr>
          <w:p>
            <w:pPr>
              <w:spacing w:after="0"/>
              <w:rPr>
                <w:sz w:val="7"/>
                <w:szCs w:val="7"/>
                <w:color w:val="auto"/>
              </w:rPr>
            </w:pPr>
          </w:p>
        </w:tc>
        <w:tc>
          <w:tcPr>
            <w:tcW w:w="6020" w:type="dxa"/>
            <w:vAlign w:val="bottom"/>
            <w:tcBorders>
              <w:bottom w:val="single" w:sz="8" w:color="auto"/>
            </w:tcBorders>
          </w:tcPr>
          <w:p>
            <w:pPr>
              <w:spacing w:after="0"/>
              <w:rPr>
                <w:sz w:val="7"/>
                <w:szCs w:val="7"/>
                <w:color w:val="auto"/>
              </w:rPr>
            </w:pPr>
          </w:p>
        </w:tc>
        <w:tc>
          <w:tcPr>
            <w:tcW w:w="4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02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Position/status</w:t>
            </w:r>
          </w:p>
        </w:tc>
        <w:tc>
          <w:tcPr>
            <w:tcW w:w="45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Chairman</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vMerge w:val="continue"/>
          </w:tcPr>
          <w:p>
            <w:pPr>
              <w:spacing w:after="0"/>
              <w:rPr>
                <w:sz w:val="19"/>
                <w:szCs w:val="19"/>
                <w:color w:val="auto"/>
              </w:rPr>
            </w:pPr>
          </w:p>
        </w:tc>
        <w:tc>
          <w:tcPr>
            <w:tcW w:w="4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2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w:t>
            </w:r>
          </w:p>
        </w:tc>
        <w:tc>
          <w:tcPr>
            <w:tcW w:w="60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Initial notification/Amendment</w:t>
            </w:r>
          </w:p>
        </w:tc>
        <w:tc>
          <w:tcPr>
            <w:tcW w:w="45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Initial notification</w:t>
            </w:r>
          </w:p>
        </w:tc>
        <w:tc>
          <w:tcPr>
            <w:tcW w:w="0" w:type="dxa"/>
            <w:vAlign w:val="bottom"/>
          </w:tcPr>
          <w:p>
            <w:pPr>
              <w:spacing w:after="0"/>
              <w:rPr>
                <w:sz w:val="1"/>
                <w:szCs w:val="1"/>
                <w:color w:val="auto"/>
              </w:rPr>
            </w:pPr>
          </w:p>
        </w:tc>
      </w:tr>
      <w:tr>
        <w:trPr>
          <w:trHeight w:val="415"/>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602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0" w:type="dxa"/>
            <w:vAlign w:val="bottom"/>
            <w:tcBorders>
              <w:right w:val="single" w:sz="8" w:color="auto"/>
            </w:tcBorders>
          </w:tcPr>
          <w:p>
            <w:pPr>
              <w:spacing w:after="0"/>
              <w:rPr>
                <w:sz w:val="23"/>
                <w:szCs w:val="23"/>
                <w:color w:val="auto"/>
              </w:rPr>
            </w:pPr>
          </w:p>
        </w:tc>
        <w:tc>
          <w:tcPr>
            <w:tcW w:w="5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3</w:t>
            </w:r>
          </w:p>
        </w:tc>
        <w:tc>
          <w:tcPr>
            <w:tcW w:w="1072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20"/>
                <w:szCs w:val="20"/>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90"/>
        </w:trPr>
        <w:tc>
          <w:tcPr>
            <w:tcW w:w="100" w:type="dxa"/>
            <w:vAlign w:val="bottom"/>
            <w:tcBorders>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0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w:t>
            </w:r>
          </w:p>
        </w:tc>
        <w:tc>
          <w:tcPr>
            <w:tcW w:w="620" w:type="dxa"/>
            <w:vAlign w:val="bottom"/>
          </w:tcPr>
          <w:p>
            <w:pPr>
              <w:ind w:left="80"/>
              <w:spacing w:after="0"/>
              <w:rPr>
                <w:sz w:val="20"/>
                <w:szCs w:val="20"/>
                <w:color w:val="auto"/>
              </w:rPr>
            </w:pPr>
            <w:r>
              <w:rPr>
                <w:rFonts w:ascii="Arial" w:cs="Arial" w:eastAsia="Arial" w:hAnsi="Arial"/>
                <w:sz w:val="20"/>
                <w:szCs w:val="20"/>
                <w:color w:val="auto"/>
                <w:w w:val="97"/>
              </w:rPr>
              <w:t>Name</w:t>
            </w:r>
          </w:p>
        </w:tc>
        <w:tc>
          <w:tcPr>
            <w:tcW w:w="462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Verona Pharma plc</w:t>
            </w:r>
          </w:p>
        </w:tc>
        <w:tc>
          <w:tcPr>
            <w:tcW w:w="0" w:type="dxa"/>
            <w:vAlign w:val="bottom"/>
          </w:tcPr>
          <w:p>
            <w:pPr>
              <w:spacing w:after="0"/>
              <w:rPr>
                <w:sz w:val="1"/>
                <w:szCs w:val="1"/>
                <w:color w:val="auto"/>
              </w:rPr>
            </w:pPr>
          </w:p>
        </w:tc>
      </w:tr>
      <w:tr>
        <w:trPr>
          <w:trHeight w:val="226"/>
        </w:trPr>
        <w:tc>
          <w:tcPr>
            <w:tcW w:w="100" w:type="dxa"/>
            <w:vAlign w:val="bottom"/>
            <w:tcBorders>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b)</w:t>
            </w:r>
          </w:p>
        </w:tc>
        <w:tc>
          <w:tcPr>
            <w:tcW w:w="620" w:type="dxa"/>
            <w:vAlign w:val="bottom"/>
          </w:tcPr>
          <w:p>
            <w:pPr>
              <w:ind w:left="80"/>
              <w:spacing w:after="0"/>
              <w:rPr>
                <w:sz w:val="20"/>
                <w:szCs w:val="20"/>
                <w:color w:val="auto"/>
              </w:rPr>
            </w:pPr>
            <w:r>
              <w:rPr>
                <w:rFonts w:ascii="Arial" w:cs="Arial" w:eastAsia="Arial" w:hAnsi="Arial"/>
                <w:sz w:val="20"/>
                <w:szCs w:val="20"/>
                <w:color w:val="auto"/>
              </w:rPr>
              <w:t>LEI</w:t>
            </w:r>
          </w:p>
        </w:tc>
        <w:tc>
          <w:tcPr>
            <w:tcW w:w="46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213800EVI6O6J3TIAL06</w:t>
            </w:r>
          </w:p>
        </w:tc>
        <w:tc>
          <w:tcPr>
            <w:tcW w:w="0" w:type="dxa"/>
            <w:vAlign w:val="bottom"/>
          </w:tcPr>
          <w:p>
            <w:pPr>
              <w:spacing w:after="0"/>
              <w:rPr>
                <w:sz w:val="1"/>
                <w:szCs w:val="1"/>
                <w:color w:val="auto"/>
              </w:rPr>
            </w:pPr>
          </w:p>
        </w:tc>
      </w:tr>
      <w:tr>
        <w:trPr>
          <w:trHeight w:val="415"/>
        </w:trPr>
        <w:tc>
          <w:tcPr>
            <w:tcW w:w="10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right w:val="single" w:sz="8" w:color="auto"/>
            </w:tcBorders>
            <w:gridSpan w:val="3"/>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line="209" w:lineRule="exact"/>
              <w:rPr>
                <w:sz w:val="20"/>
                <w:szCs w:val="20"/>
                <w:color w:val="auto"/>
              </w:rPr>
            </w:pPr>
            <w:r>
              <w:rPr>
                <w:rFonts w:ascii="Arial" w:cs="Arial" w:eastAsia="Arial" w:hAnsi="Arial"/>
                <w:sz w:val="20"/>
                <w:szCs w:val="20"/>
                <w:b w:val="1"/>
                <w:bCs w:val="1"/>
                <w:color w:val="auto"/>
              </w:rPr>
              <w:t>4</w:t>
            </w:r>
          </w:p>
        </w:tc>
        <w:tc>
          <w:tcPr>
            <w:tcW w:w="10720" w:type="dxa"/>
            <w:vAlign w:val="bottom"/>
            <w:tcBorders>
              <w:right w:val="single" w:sz="8" w:color="auto"/>
            </w:tcBorders>
            <w:gridSpan w:val="4"/>
          </w:tcPr>
          <w:p>
            <w:pPr>
              <w:ind w:left="80"/>
              <w:spacing w:after="0" w:line="209" w:lineRule="exact"/>
              <w:rPr>
                <w:sz w:val="20"/>
                <w:szCs w:val="20"/>
                <w:color w:val="auto"/>
              </w:rPr>
            </w:pPr>
            <w:r>
              <w:rPr>
                <w:rFonts w:ascii="Arial" w:cs="Arial" w:eastAsia="Arial" w:hAnsi="Arial"/>
                <w:sz w:val="20"/>
                <w:szCs w:val="20"/>
                <w:b w:val="1"/>
                <w:bCs w:val="1"/>
                <w:color w:val="auto"/>
              </w:rPr>
              <w:t>Details of the transaction(s): section to be repeated for (i) each type of instrument; (ii) each type of transaction;</w:t>
            </w:r>
          </w:p>
        </w:tc>
        <w:tc>
          <w:tcPr>
            <w:tcW w:w="0" w:type="dxa"/>
            <w:vAlign w:val="bottom"/>
          </w:tcPr>
          <w:p>
            <w:pPr>
              <w:spacing w:after="0"/>
              <w:rPr>
                <w:sz w:val="1"/>
                <w:szCs w:val="1"/>
                <w:color w:val="auto"/>
              </w:rPr>
            </w:pPr>
          </w:p>
        </w:tc>
      </w:tr>
      <w:tr>
        <w:trPr>
          <w:trHeight w:val="261"/>
        </w:trPr>
        <w:tc>
          <w:tcPr>
            <w:tcW w:w="10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10720" w:type="dxa"/>
            <w:vAlign w:val="bottom"/>
            <w:tcBorders>
              <w:right w:val="single" w:sz="8" w:color="auto"/>
            </w:tcBorders>
            <w:gridSpan w:val="4"/>
          </w:tcPr>
          <w:p>
            <w:pPr>
              <w:ind w:left="80"/>
              <w:spacing w:after="0"/>
              <w:rPr>
                <w:sz w:val="20"/>
                <w:szCs w:val="20"/>
                <w:color w:val="auto"/>
              </w:rPr>
            </w:pPr>
            <w:r>
              <w:rPr>
                <w:rFonts w:ascii="Arial" w:cs="Arial" w:eastAsia="Arial" w:hAnsi="Arial"/>
                <w:sz w:val="20"/>
                <w:szCs w:val="20"/>
                <w:b w:val="1"/>
                <w:bCs w:val="1"/>
                <w:color w:val="auto"/>
              </w:rPr>
              <w:t>(iii) each date; and (iv) each place where transactions have been conducted</w:t>
            </w:r>
          </w:p>
        </w:tc>
        <w:tc>
          <w:tcPr>
            <w:tcW w:w="0" w:type="dxa"/>
            <w:vAlign w:val="bottom"/>
          </w:tcPr>
          <w:p>
            <w:pPr>
              <w:spacing w:after="0"/>
              <w:rPr>
                <w:sz w:val="1"/>
                <w:szCs w:val="1"/>
                <w:color w:val="auto"/>
              </w:rPr>
            </w:pPr>
          </w:p>
        </w:tc>
      </w:tr>
      <w:tr>
        <w:trPr>
          <w:trHeight w:val="91"/>
        </w:trPr>
        <w:tc>
          <w:tcPr>
            <w:tcW w:w="100" w:type="dxa"/>
            <w:vAlign w:val="bottom"/>
            <w:tcBorders>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tcBorders>
            <w:gridSpan w:val="2"/>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w:t>
            </w:r>
          </w:p>
        </w:tc>
        <w:tc>
          <w:tcPr>
            <w:tcW w:w="5240" w:type="dxa"/>
            <w:vAlign w:val="bottom"/>
            <w:gridSpan w:val="2"/>
          </w:tcPr>
          <w:p>
            <w:pPr>
              <w:ind w:left="80"/>
              <w:spacing w:after="0"/>
              <w:rPr>
                <w:sz w:val="20"/>
                <w:szCs w:val="20"/>
                <w:color w:val="auto"/>
              </w:rPr>
            </w:pPr>
            <w:r>
              <w:rPr>
                <w:rFonts w:ascii="Arial" w:cs="Arial" w:eastAsia="Arial" w:hAnsi="Arial"/>
                <w:sz w:val="20"/>
                <w:szCs w:val="20"/>
                <w:color w:val="auto"/>
              </w:rPr>
              <w:t>Description of the financial instrument, type of instrument</w:t>
            </w:r>
          </w:p>
        </w:tc>
        <w:tc>
          <w:tcPr>
            <w:tcW w:w="86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Ordinary Shares of 5 pence each</w:t>
            </w:r>
          </w:p>
        </w:tc>
        <w:tc>
          <w:tcPr>
            <w:tcW w:w="0" w:type="dxa"/>
            <w:vAlign w:val="bottom"/>
          </w:tcPr>
          <w:p>
            <w:pPr>
              <w:spacing w:after="0"/>
              <w:rPr>
                <w:sz w:val="1"/>
                <w:szCs w:val="1"/>
                <w:color w:val="auto"/>
              </w:rPr>
            </w:pPr>
          </w:p>
        </w:tc>
      </w:tr>
      <w:tr>
        <w:trPr>
          <w:trHeight w:val="297"/>
        </w:trPr>
        <w:tc>
          <w:tcPr>
            <w:tcW w:w="1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240" w:type="dxa"/>
            <w:vAlign w:val="bottom"/>
            <w:gridSpan w:val="2"/>
            <w:vMerge w:val="restart"/>
          </w:tcPr>
          <w:p>
            <w:pPr>
              <w:ind w:left="80"/>
              <w:spacing w:after="0"/>
              <w:rPr>
                <w:sz w:val="20"/>
                <w:szCs w:val="20"/>
                <w:color w:val="auto"/>
              </w:rPr>
            </w:pPr>
            <w:r>
              <w:rPr>
                <w:rFonts w:ascii="Arial" w:cs="Arial" w:eastAsia="Arial" w:hAnsi="Arial"/>
                <w:sz w:val="20"/>
                <w:szCs w:val="20"/>
                <w:color w:val="auto"/>
              </w:rPr>
              <w:t>Identification code</w:t>
            </w:r>
          </w:p>
        </w:tc>
        <w:tc>
          <w:tcPr>
            <w:tcW w:w="86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GB00BYW2KH80</w:t>
            </w:r>
          </w:p>
        </w:tc>
        <w:tc>
          <w:tcPr>
            <w:tcW w:w="0" w:type="dxa"/>
            <w:vAlign w:val="bottom"/>
          </w:tcPr>
          <w:p>
            <w:pPr>
              <w:spacing w:after="0"/>
              <w:rPr>
                <w:sz w:val="1"/>
                <w:szCs w:val="1"/>
                <w:color w:val="auto"/>
              </w:rPr>
            </w:pPr>
          </w:p>
        </w:tc>
      </w:tr>
      <w:tr>
        <w:trPr>
          <w:trHeight w:val="81"/>
        </w:trPr>
        <w:tc>
          <w:tcPr>
            <w:tcW w:w="10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5240" w:type="dxa"/>
            <w:vAlign w:val="bottom"/>
            <w:gridSpan w:val="2"/>
            <w:vMerge w:val="continue"/>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4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00" w:type="dxa"/>
            <w:vAlign w:val="bottom"/>
            <w:tcBorders>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tcBorders>
            <w:gridSpan w:val="2"/>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b)</w:t>
            </w:r>
          </w:p>
        </w:tc>
        <w:tc>
          <w:tcPr>
            <w:tcW w:w="5240" w:type="dxa"/>
            <w:vAlign w:val="bottom"/>
            <w:gridSpan w:val="2"/>
          </w:tcPr>
          <w:p>
            <w:pPr>
              <w:ind w:left="80"/>
              <w:spacing w:after="0"/>
              <w:rPr>
                <w:sz w:val="20"/>
                <w:szCs w:val="20"/>
                <w:color w:val="auto"/>
              </w:rPr>
            </w:pPr>
            <w:r>
              <w:rPr>
                <w:rFonts w:ascii="Arial" w:cs="Arial" w:eastAsia="Arial" w:hAnsi="Arial"/>
                <w:sz w:val="20"/>
                <w:szCs w:val="20"/>
                <w:color w:val="auto"/>
              </w:rPr>
              <w:t>Nature of the transaction</w:t>
            </w:r>
          </w:p>
        </w:tc>
        <w:tc>
          <w:tcPr>
            <w:tcW w:w="86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David Ebsworth purchased 12,000 Ordinary Shares</w:t>
            </w:r>
          </w:p>
        </w:tc>
        <w:tc>
          <w:tcPr>
            <w:tcW w:w="0" w:type="dxa"/>
            <w:vAlign w:val="bottom"/>
          </w:tcPr>
          <w:p>
            <w:pPr>
              <w:spacing w:after="0"/>
              <w:rPr>
                <w:sz w:val="1"/>
                <w:szCs w:val="1"/>
                <w:color w:val="auto"/>
              </w:rPr>
            </w:pPr>
          </w:p>
        </w:tc>
      </w:tr>
      <w:tr>
        <w:trPr>
          <w:trHeight w:val="401"/>
        </w:trPr>
        <w:tc>
          <w:tcPr>
            <w:tcW w:w="10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24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w:t>
            </w:r>
          </w:p>
        </w:tc>
        <w:tc>
          <w:tcPr>
            <w:tcW w:w="5240" w:type="dxa"/>
            <w:vAlign w:val="bottom"/>
            <w:gridSpan w:val="2"/>
          </w:tcPr>
          <w:p>
            <w:pPr>
              <w:ind w:left="80"/>
              <w:spacing w:after="0"/>
              <w:rPr>
                <w:sz w:val="20"/>
                <w:szCs w:val="20"/>
                <w:color w:val="auto"/>
              </w:rPr>
            </w:pPr>
            <w:r>
              <w:rPr>
                <w:rFonts w:ascii="Arial" w:cs="Arial" w:eastAsia="Arial" w:hAnsi="Arial"/>
                <w:sz w:val="20"/>
                <w:szCs w:val="20"/>
                <w:color w:val="auto"/>
              </w:rPr>
              <w:t>Price(s) and volume(s)</w:t>
            </w:r>
          </w:p>
        </w:tc>
        <w:tc>
          <w:tcPr>
            <w:tcW w:w="860" w:type="dxa"/>
            <w:vAlign w:val="bottom"/>
            <w:tcBorders>
              <w:right w:val="single" w:sz="8" w:color="auto"/>
            </w:tcBorders>
          </w:tcPr>
          <w:p>
            <w:pPr>
              <w:spacing w:after="0"/>
              <w:rPr>
                <w:sz w:val="22"/>
                <w:szCs w:val="22"/>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Price(s) : 120.00 per Ordinary Share</w:t>
            </w:r>
          </w:p>
        </w:tc>
        <w:tc>
          <w:tcPr>
            <w:tcW w:w="0" w:type="dxa"/>
            <w:vAlign w:val="bottom"/>
          </w:tcPr>
          <w:p>
            <w:pPr>
              <w:spacing w:after="0"/>
              <w:rPr>
                <w:sz w:val="1"/>
                <w:szCs w:val="1"/>
                <w:color w:val="auto"/>
              </w:rPr>
            </w:pPr>
          </w:p>
        </w:tc>
      </w:tr>
      <w:tr>
        <w:trPr>
          <w:trHeight w:val="237"/>
        </w:trPr>
        <w:tc>
          <w:tcPr>
            <w:tcW w:w="1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Volume(s) : 12,000 Ordinary Shares</w:t>
            </w:r>
          </w:p>
        </w:tc>
        <w:tc>
          <w:tcPr>
            <w:tcW w:w="0" w:type="dxa"/>
            <w:vAlign w:val="bottom"/>
          </w:tcPr>
          <w:p>
            <w:pPr>
              <w:spacing w:after="0"/>
              <w:rPr>
                <w:sz w:val="1"/>
                <w:szCs w:val="1"/>
                <w:color w:val="auto"/>
              </w:rPr>
            </w:pPr>
          </w:p>
        </w:tc>
      </w:tr>
      <w:tr>
        <w:trPr>
          <w:trHeight w:val="496"/>
        </w:trPr>
        <w:tc>
          <w:tcPr>
            <w:tcW w:w="10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24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d)</w:t>
            </w:r>
          </w:p>
        </w:tc>
        <w:tc>
          <w:tcPr>
            <w:tcW w:w="5240" w:type="dxa"/>
            <w:vAlign w:val="bottom"/>
            <w:gridSpan w:val="2"/>
          </w:tcPr>
          <w:p>
            <w:pPr>
              <w:ind w:left="80"/>
              <w:spacing w:after="0"/>
              <w:rPr>
                <w:sz w:val="20"/>
                <w:szCs w:val="20"/>
                <w:color w:val="auto"/>
              </w:rPr>
            </w:pPr>
            <w:r>
              <w:rPr>
                <w:rFonts w:ascii="Arial" w:cs="Arial" w:eastAsia="Arial" w:hAnsi="Arial"/>
                <w:sz w:val="20"/>
                <w:szCs w:val="20"/>
                <w:color w:val="auto"/>
              </w:rPr>
              <w:t>Aggregated information</w:t>
            </w:r>
          </w:p>
        </w:tc>
        <w:tc>
          <w:tcPr>
            <w:tcW w:w="86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324"/>
        </w:trPr>
        <w:tc>
          <w:tcPr>
            <w:tcW w:w="1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20"/>
                <w:szCs w:val="20"/>
                <w:color w:val="auto"/>
              </w:rPr>
              <w:t>-</w:t>
            </w:r>
          </w:p>
        </w:tc>
        <w:tc>
          <w:tcPr>
            <w:tcW w:w="4620" w:type="dxa"/>
            <w:vAlign w:val="bottom"/>
          </w:tcPr>
          <w:p>
            <w:pPr>
              <w:ind w:left="20"/>
              <w:spacing w:after="0"/>
              <w:rPr>
                <w:sz w:val="20"/>
                <w:szCs w:val="20"/>
                <w:color w:val="auto"/>
              </w:rPr>
            </w:pPr>
            <w:r>
              <w:rPr>
                <w:rFonts w:ascii="Arial" w:cs="Arial" w:eastAsia="Arial" w:hAnsi="Arial"/>
                <w:sz w:val="20"/>
                <w:szCs w:val="20"/>
                <w:color w:val="auto"/>
              </w:rPr>
              <w:t>Aggregated volume</w:t>
            </w:r>
          </w:p>
        </w:tc>
        <w:tc>
          <w:tcPr>
            <w:tcW w:w="86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20"/>
                <w:szCs w:val="20"/>
                <w:color w:val="auto"/>
              </w:rPr>
              <w:t>-</w:t>
            </w:r>
          </w:p>
        </w:tc>
        <w:tc>
          <w:tcPr>
            <w:tcW w:w="4620" w:type="dxa"/>
            <w:vAlign w:val="bottom"/>
          </w:tcPr>
          <w:p>
            <w:pPr>
              <w:ind w:left="20"/>
              <w:spacing w:after="0"/>
              <w:rPr>
                <w:sz w:val="20"/>
                <w:szCs w:val="20"/>
                <w:color w:val="auto"/>
              </w:rPr>
            </w:pPr>
            <w:r>
              <w:rPr>
                <w:rFonts w:ascii="Arial" w:cs="Arial" w:eastAsia="Arial" w:hAnsi="Arial"/>
                <w:sz w:val="20"/>
                <w:szCs w:val="20"/>
                <w:color w:val="auto"/>
              </w:rPr>
              <w:t>Price</w:t>
            </w:r>
          </w:p>
        </w:tc>
        <w:tc>
          <w:tcPr>
            <w:tcW w:w="86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10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24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e)</w:t>
            </w:r>
          </w:p>
        </w:tc>
        <w:tc>
          <w:tcPr>
            <w:tcW w:w="5240" w:type="dxa"/>
            <w:vAlign w:val="bottom"/>
            <w:gridSpan w:val="2"/>
          </w:tcPr>
          <w:p>
            <w:pPr>
              <w:ind w:left="80"/>
              <w:spacing w:after="0"/>
              <w:rPr>
                <w:sz w:val="20"/>
                <w:szCs w:val="20"/>
                <w:color w:val="auto"/>
              </w:rPr>
            </w:pPr>
            <w:r>
              <w:rPr>
                <w:rFonts w:ascii="Arial" w:cs="Arial" w:eastAsia="Arial" w:hAnsi="Arial"/>
                <w:sz w:val="20"/>
                <w:szCs w:val="20"/>
                <w:color w:val="auto"/>
              </w:rPr>
              <w:t>Date of the transaction</w:t>
            </w:r>
          </w:p>
        </w:tc>
        <w:tc>
          <w:tcPr>
            <w:tcW w:w="860" w:type="dxa"/>
            <w:vAlign w:val="bottom"/>
            <w:tcBorders>
              <w:right w:val="single" w:sz="8" w:color="auto"/>
            </w:tcBorders>
          </w:tcPr>
          <w:p>
            <w:pPr>
              <w:spacing w:after="0"/>
              <w:rPr>
                <w:sz w:val="22"/>
                <w:szCs w:val="22"/>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9 August 2018</w:t>
            </w:r>
          </w:p>
        </w:tc>
        <w:tc>
          <w:tcPr>
            <w:tcW w:w="0" w:type="dxa"/>
            <w:vAlign w:val="bottom"/>
          </w:tcPr>
          <w:p>
            <w:pPr>
              <w:spacing w:after="0"/>
              <w:rPr>
                <w:sz w:val="1"/>
                <w:szCs w:val="1"/>
                <w:color w:val="auto"/>
              </w:rPr>
            </w:pPr>
          </w:p>
        </w:tc>
      </w:tr>
      <w:tr>
        <w:trPr>
          <w:trHeight w:val="226"/>
        </w:trPr>
        <w:tc>
          <w:tcPr>
            <w:tcW w:w="100" w:type="dxa"/>
            <w:vAlign w:val="bottom"/>
            <w:tcBorders>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5240" w:type="dxa"/>
            <w:vAlign w:val="bottom"/>
            <w:tcBorders>
              <w:bottom w:val="single" w:sz="8" w:color="auto"/>
            </w:tcBorders>
            <w:gridSpan w:val="2"/>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f)</w:t>
            </w:r>
          </w:p>
        </w:tc>
        <w:tc>
          <w:tcPr>
            <w:tcW w:w="5240" w:type="dxa"/>
            <w:vAlign w:val="bottom"/>
            <w:gridSpan w:val="2"/>
          </w:tcPr>
          <w:p>
            <w:pPr>
              <w:ind w:left="80"/>
              <w:spacing w:after="0"/>
              <w:rPr>
                <w:sz w:val="20"/>
                <w:szCs w:val="20"/>
                <w:color w:val="auto"/>
              </w:rPr>
            </w:pPr>
            <w:r>
              <w:rPr>
                <w:rFonts w:ascii="Arial" w:cs="Arial" w:eastAsia="Arial" w:hAnsi="Arial"/>
                <w:sz w:val="20"/>
                <w:szCs w:val="20"/>
                <w:color w:val="auto"/>
              </w:rPr>
              <w:t>Place of the transaction</w:t>
            </w:r>
          </w:p>
        </w:tc>
        <w:tc>
          <w:tcPr>
            <w:tcW w:w="860" w:type="dxa"/>
            <w:vAlign w:val="bottom"/>
            <w:tcBorders>
              <w:right w:val="single" w:sz="8" w:color="auto"/>
            </w:tcBorders>
          </w:tcPr>
          <w:p>
            <w:pPr>
              <w:spacing w:after="0"/>
              <w:rPr>
                <w:sz w:val="24"/>
                <w:szCs w:val="24"/>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London Stock Exchange, AIM</w:t>
            </w:r>
          </w:p>
        </w:tc>
        <w:tc>
          <w:tcPr>
            <w:tcW w:w="0" w:type="dxa"/>
            <w:vAlign w:val="bottom"/>
          </w:tcPr>
          <w:p>
            <w:pPr>
              <w:spacing w:after="0"/>
              <w:rPr>
                <w:sz w:val="1"/>
                <w:szCs w:val="1"/>
                <w:color w:val="auto"/>
              </w:rPr>
            </w:pPr>
          </w:p>
        </w:tc>
      </w:tr>
      <w:tr>
        <w:trPr>
          <w:trHeight w:val="401"/>
        </w:trPr>
        <w:tc>
          <w:tcPr>
            <w:tcW w:w="10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24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58"/>
        </w:trPr>
        <w:tc>
          <w:tcPr>
            <w:tcW w:w="590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8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5900" w:type="dxa"/>
            <w:vAlign w:val="bottom"/>
            <w:gridSpan w:val="4"/>
          </w:tcPr>
          <w:p>
            <w:pPr>
              <w:ind w:left="40"/>
              <w:spacing w:after="0"/>
              <w:rPr>
                <w:sz w:val="20"/>
                <w:szCs w:val="20"/>
                <w:color w:val="auto"/>
              </w:rPr>
            </w:pPr>
            <w:r>
              <w:rPr>
                <w:rFonts w:ascii="Arial" w:cs="Arial" w:eastAsia="Arial" w:hAnsi="Arial"/>
                <w:sz w:val="18"/>
                <w:szCs w:val="18"/>
                <w:color w:val="auto"/>
              </w:rPr>
              <w:t>Verona Pharma plc</w:t>
            </w: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Tel: +44 (0)20 3283 4200</w:t>
            </w:r>
          </w:p>
        </w:tc>
        <w:tc>
          <w:tcPr>
            <w:tcW w:w="0" w:type="dxa"/>
            <w:vAlign w:val="bottom"/>
          </w:tcPr>
          <w:p>
            <w:pPr>
              <w:spacing w:after="0"/>
              <w:rPr>
                <w:sz w:val="1"/>
                <w:szCs w:val="1"/>
                <w:color w:val="auto"/>
              </w:rPr>
            </w:pPr>
          </w:p>
        </w:tc>
      </w:tr>
      <w:tr>
        <w:trPr>
          <w:trHeight w:val="257"/>
        </w:trPr>
        <w:tc>
          <w:tcPr>
            <w:tcW w:w="5900" w:type="dxa"/>
            <w:vAlign w:val="bottom"/>
            <w:gridSpan w:val="4"/>
          </w:tcPr>
          <w:p>
            <w:pPr>
              <w:ind w:left="40"/>
              <w:spacing w:after="0"/>
              <w:rPr>
                <w:sz w:val="20"/>
                <w:szCs w:val="20"/>
                <w:color w:val="auto"/>
              </w:rPr>
            </w:pPr>
            <w:r>
              <w:rPr>
                <w:rFonts w:ascii="Arial" w:cs="Arial" w:eastAsia="Arial" w:hAnsi="Arial"/>
                <w:sz w:val="18"/>
                <w:szCs w:val="18"/>
                <w:color w:val="auto"/>
              </w:rPr>
              <w:t>Jan-Anders Karlsson, Chief Executive Officer</w:t>
            </w: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info@veronapharma.com</w:t>
            </w:r>
          </w:p>
        </w:tc>
        <w:tc>
          <w:tcPr>
            <w:tcW w:w="0" w:type="dxa"/>
            <w:vAlign w:val="bottom"/>
          </w:tcPr>
          <w:p>
            <w:pPr>
              <w:spacing w:after="0"/>
              <w:rPr>
                <w:sz w:val="1"/>
                <w:szCs w:val="1"/>
                <w:color w:val="auto"/>
              </w:rPr>
            </w:pPr>
          </w:p>
        </w:tc>
      </w:tr>
      <w:tr>
        <w:trPr>
          <w:trHeight w:val="242"/>
        </w:trPr>
        <w:tc>
          <w:tcPr>
            <w:tcW w:w="5900" w:type="dxa"/>
            <w:vAlign w:val="bottom"/>
            <w:gridSpan w:val="4"/>
          </w:tcPr>
          <w:p>
            <w:pPr>
              <w:ind w:left="40"/>
              <w:spacing w:after="0"/>
              <w:rPr>
                <w:sz w:val="20"/>
                <w:szCs w:val="20"/>
                <w:color w:val="auto"/>
              </w:rPr>
            </w:pPr>
            <w:r>
              <w:rPr>
                <w:rFonts w:ascii="Arial" w:cs="Arial" w:eastAsia="Arial" w:hAnsi="Arial"/>
                <w:sz w:val="18"/>
                <w:szCs w:val="18"/>
                <w:color w:val="auto"/>
              </w:rPr>
              <w:t>Stifel Nicolaus Europe Limited (Nominated Adviser</w:t>
            </w:r>
          </w:p>
        </w:tc>
        <w:tc>
          <w:tcPr>
            <w:tcW w:w="8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80" w:type="dxa"/>
            <w:vAlign w:val="bottom"/>
            <w:gridSpan w:val="3"/>
          </w:tcPr>
          <w:p>
            <w:pPr>
              <w:ind w:left="40"/>
              <w:spacing w:after="0"/>
              <w:rPr>
                <w:sz w:val="20"/>
                <w:szCs w:val="20"/>
                <w:color w:val="auto"/>
              </w:rPr>
            </w:pPr>
            <w:r>
              <w:rPr>
                <w:rFonts w:ascii="Arial" w:cs="Arial" w:eastAsia="Arial" w:hAnsi="Arial"/>
                <w:sz w:val="18"/>
                <w:szCs w:val="18"/>
                <w:color w:val="auto"/>
                <w:w w:val="98"/>
              </w:rPr>
              <w:t>and UK Broker)</w:t>
            </w:r>
          </w:p>
        </w:tc>
        <w:tc>
          <w:tcPr>
            <w:tcW w:w="46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Tel: +44 (0) 20 7710 7600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Stewart Wallace / Jonathan Senior / Ben Maddison</w:t>
      </w:r>
    </w:p>
    <w:sectPr>
      <w:pgSz w:w="11900" w:h="16838" w:orient="portrait"/>
      <w:cols w:equalWidth="0" w:num="1">
        <w:col w:w="11360"/>
      </w:cols>
      <w:pgMar w:left="240" w:top="49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2019-12-08T14:19:26Z</dcterms:created>
  <dcterms:modified xsi:type="dcterms:W3CDTF">2019-12-08T14:19:26Z</dcterms:modified>
</cp:coreProperties>
</file>