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EBSWORTH DAVID R</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Verona Pharma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VRNA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02/01/2021</w:t>
      </w:r>
    </w:p>
    <w:p>
      <w:pPr>
        <w:spacing w:after="0" w:line="20" w:lineRule="exact"/>
        <w:rPr>
          <w:sz w:val="24"/>
          <w:szCs w:val="24"/>
          <w:color w:val="auto"/>
        </w:rPr>
      </w:pPr>
      <w:r>
        <w:rPr>
          <w:sz w:val="24"/>
          <w:szCs w:val="24"/>
          <w:color w:val="auto"/>
        </w:rPr>
        <w:br w:type="column"/>
      </w:r>
    </w:p>
    <w:p>
      <w:pPr>
        <w:ind w:left="5" w:right="540" w:hanging="5"/>
        <w:spacing w:after="0" w:line="269"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8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13"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SE1 2RE</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390"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29"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02/01/2021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11,912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0.9938</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695,827</w:t>
            </w:r>
            <w:r>
              <w:rPr>
                <w:rFonts w:ascii="Times New Roman" w:cs="Times New Roman" w:eastAsia="Times New Roman" w:hAnsi="Times New Roman"/>
                <w:sz w:val="22"/>
                <w:szCs w:val="22"/>
                <w:color w:val="008000"/>
                <w:vertAlign w:val="superscript"/>
              </w:rPr>
              <w:t>(4)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Unless otherwise indicated, reported securities are represented by American Depositary Shares ("ADSs"), each of which represents eight (8) Ordinary Shares of the Issuer.</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the Form 4 was effected pursuant to a Rule 10b5-1 instruction solely with the intent to cover withholding taxes in connection with the settlement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and is based on the sale price of the ADSs divided by eight (8). The securities were sold in multiple transactions at per share prices ranging from</w:t>
      </w:r>
    </w:p>
    <w:p>
      <w:pPr>
        <w:spacing w:after="0" w:line="11" w:lineRule="exact"/>
        <w:rPr>
          <w:sz w:val="24"/>
          <w:szCs w:val="24"/>
          <w:color w:val="auto"/>
        </w:rPr>
      </w:pPr>
    </w:p>
    <w:p>
      <w:pPr>
        <w:ind w:left="40" w:right="360"/>
        <w:spacing w:after="0" w:line="250" w:lineRule="auto"/>
        <w:rPr>
          <w:sz w:val="20"/>
          <w:szCs w:val="20"/>
          <w:color w:val="auto"/>
        </w:rPr>
      </w:pPr>
      <w:r>
        <w:rPr>
          <w:rFonts w:ascii="Times New Roman" w:cs="Times New Roman" w:eastAsia="Times New Roman" w:hAnsi="Times New Roman"/>
          <w:sz w:val="13"/>
          <w:szCs w:val="13"/>
          <w:color w:val="008000"/>
        </w:rPr>
        <w:t>$0.99375 to $0.99625. The Reporting Person undertakes to provide upon request to the SEC staff, the Issuer, or any shareholder of the Issuer, full information regarding the number of securities sold at each separate price within the range set forth in this footnote 3.</w:t>
      </w:r>
    </w:p>
    <w:p>
      <w:pPr>
        <w:spacing w:after="0" w:line="21" w:lineRule="exact"/>
        <w:rPr>
          <w:sz w:val="24"/>
          <w:szCs w:val="24"/>
          <w:color w:val="auto"/>
        </w:rPr>
      </w:pPr>
    </w:p>
    <w:p>
      <w:pPr>
        <w:ind w:left="40" w:right="3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29,000 Ordinary Shares underlying Restricted Share Units, each of which represents a contingent right to receive one (1) Ordinary Share of the Issuer (which are represented by 3,625 ADSs); (ii) 666,824 Ordinary Shares represented by 83,353 ADSs; and (iii) 3 Ordinary Shares.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Claire Poll, Attorney-in-</w:t>
            </w:r>
          </w:p>
        </w:tc>
        <w:tc>
          <w:tcPr>
            <w:tcW w:w="16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02/03/2021</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Ebsworth</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0710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2021-02-03T18:10:16Z</dcterms:created>
  <dcterms:modified xsi:type="dcterms:W3CDTF">2021-02-03T18:10:16Z</dcterms:modified>
</cp:coreProperties>
</file>