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 MAHENDRA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10,800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0.9938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83,760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was effected pursuant to a Rule 10b5-1 instruction solely with the intent to cover withholding taxes in connection with the settlement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and is based on the sale price of the ADSs divided by eight (8). The securities were sold in multiple transactions at per share prices ranging from</w:t>
      </w:r>
    </w:p>
    <w:p>
      <w:pPr>
        <w:spacing w:after="0" w:line="11" w:lineRule="exact"/>
        <w:rPr>
          <w:sz w:val="24"/>
          <w:szCs w:val="24"/>
          <w:color w:val="auto"/>
        </w:rPr>
      </w:pPr>
    </w:p>
    <w:p>
      <w:pPr>
        <w:ind w:left="40" w:right="360"/>
        <w:spacing w:after="0" w:line="250" w:lineRule="auto"/>
        <w:rPr>
          <w:sz w:val="20"/>
          <w:szCs w:val="20"/>
          <w:color w:val="auto"/>
        </w:rPr>
      </w:pPr>
      <w:r>
        <w:rPr>
          <w:rFonts w:ascii="Times New Roman" w:cs="Times New Roman" w:eastAsia="Times New Roman" w:hAnsi="Times New Roman"/>
          <w:sz w:val="13"/>
          <w:szCs w:val="13"/>
          <w:color w:val="008000"/>
        </w:rPr>
        <w:t>$0.99375 to $0.99625.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1" w:lineRule="exact"/>
        <w:rPr>
          <w:sz w:val="24"/>
          <w:szCs w:val="24"/>
          <w:color w:val="auto"/>
        </w:rPr>
      </w:pPr>
    </w:p>
    <w:p>
      <w:pPr>
        <w:ind w:left="40" w:right="38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29,000 Ordinary Shares underlying Restricted Share Units, each of which represents a contingent right to receive one (1) Ordinary Share of the Issuer (which are represented by 3,625 ADSs); and (ii) 54,760 Ordinary Shares represented by 6,845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Mahendra Shah</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55449"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2021-02-03T18:11:31Z</dcterms:created>
  <dcterms:modified xsi:type="dcterms:W3CDTF">2021-02-03T18:11:31Z</dcterms:modified>
</cp:coreProperties>
</file>