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4"/>
          <w:szCs w:val="24"/>
          <w:color w:val="auto"/>
        </w:rPr>
      </w:pPr>
    </w:p>
    <w:p>
      <w:pPr>
        <w:spacing w:after="0" w:line="371" w:lineRule="exact"/>
        <w:rPr>
          <w:sz w:val="24"/>
          <w:szCs w:val="24"/>
          <w:color w:val="auto"/>
        </w:rPr>
      </w:pPr>
    </w:p>
    <w:tbl>
      <w:tblPr>
        <w:tblLayout w:type="fixed"/>
        <w:tblInd w:w="880" w:type="dxa"/>
        <w:tblCellMar>
          <w:top w:w="0" w:type="dxa"/>
          <w:left w:w="0" w:type="dxa"/>
          <w:bottom w:w="0" w:type="dxa"/>
          <w:right w:w="0" w:type="dxa"/>
        </w:tblCellMar>
      </w:tblPr>
      <w:tr>
        <w:trPr>
          <w:trHeight w:val="9673"/>
        </w:trPr>
        <w:tc>
          <w:tcPr>
            <w:tcW w:w="160" w:type="dxa"/>
            <w:vAlign w:val="bottom"/>
            <w:textDirection w:val="btLr"/>
          </w:tcPr>
          <w:p>
            <w:pPr>
              <w:spacing w:after="0"/>
              <w:rPr>
                <w:sz w:val="20"/>
                <w:szCs w:val="20"/>
                <w:color w:val="auto"/>
              </w:rPr>
            </w:pPr>
            <w:r>
              <w:rPr>
                <w:rFonts w:ascii="Arial" w:cs="Arial" w:eastAsia="Arial" w:hAnsi="Arial"/>
                <w:sz w:val="14"/>
                <w:szCs w:val="14"/>
                <w:color w:val="F15060"/>
              </w:rPr>
              <w:t>supplement and the accompanying prospectus, relating to an effective registration statement under the Securities Act of 1933, as amended, is not</w:t>
            </w:r>
          </w:p>
        </w:tc>
        <w:tc>
          <w:tcPr>
            <w:tcW w:w="160" w:type="dxa"/>
            <w:vAlign w:val="bottom"/>
            <w:textDirection w:val="btLr"/>
          </w:tcPr>
          <w:p>
            <w:pPr>
              <w:spacing w:after="0"/>
              <w:rPr>
                <w:sz w:val="20"/>
                <w:szCs w:val="20"/>
                <w:color w:val="auto"/>
              </w:rPr>
            </w:pPr>
            <w:r>
              <w:rPr>
                <w:rFonts w:ascii="Arial" w:cs="Arial" w:eastAsia="Arial" w:hAnsi="Arial"/>
                <w:sz w:val="14"/>
                <w:szCs w:val="14"/>
                <w:color w:val="F15060"/>
              </w:rPr>
              <w:t>statement relating to these securities has been declared effective by the Securities and Exchange Commission. This preliminary prospectus supplement</w:t>
            </w:r>
          </w:p>
        </w:tc>
        <w:tc>
          <w:tcPr>
            <w:tcW w:w="160" w:type="dxa"/>
            <w:vAlign w:val="bottom"/>
            <w:textDirection w:val="btLr"/>
          </w:tcPr>
          <w:p>
            <w:pPr>
              <w:spacing w:after="0"/>
              <w:rPr>
                <w:sz w:val="20"/>
                <w:szCs w:val="20"/>
                <w:color w:val="auto"/>
              </w:rPr>
            </w:pPr>
            <w:r>
              <w:rPr>
                <w:rFonts w:ascii="Arial" w:cs="Arial" w:eastAsia="Arial" w:hAnsi="Arial"/>
                <w:sz w:val="14"/>
                <w:szCs w:val="14"/>
                <w:color w:val="F15060"/>
              </w:rPr>
              <w:t>offer to sell these securities and we are not soliciting an offer to buy these securities in any jurisdiction where the offer or sale is not permitted.</w:t>
            </w:r>
          </w:p>
        </w:tc>
      </w:tr>
      <w:tr>
        <w:trPr>
          <w:trHeight w:val="2919"/>
        </w:trPr>
        <w:tc>
          <w:tcPr>
            <w:tcW w:w="160" w:type="dxa"/>
            <w:vAlign w:val="bottom"/>
            <w:textDirection w:val="btLr"/>
          </w:tcPr>
          <w:p>
            <w:pPr>
              <w:spacing w:after="0"/>
              <w:rPr>
                <w:sz w:val="20"/>
                <w:szCs w:val="20"/>
                <w:color w:val="auto"/>
              </w:rPr>
            </w:pPr>
            <w:r>
              <w:rPr>
                <w:rFonts w:ascii="Arial" w:cs="Arial" w:eastAsia="Arial" w:hAnsi="Arial"/>
                <w:sz w:val="14"/>
                <w:szCs w:val="14"/>
                <w:color w:val="F15060"/>
              </w:rPr>
              <w:t>The information in this preliminary prospectus</w:t>
            </w:r>
          </w:p>
        </w:tc>
        <w:tc>
          <w:tcPr>
            <w:tcW w:w="160" w:type="dxa"/>
            <w:vAlign w:val="bottom"/>
            <w:textDirection w:val="btLr"/>
          </w:tcPr>
          <w:p>
            <w:pPr>
              <w:spacing w:after="0"/>
              <w:rPr>
                <w:sz w:val="20"/>
                <w:szCs w:val="20"/>
                <w:color w:val="auto"/>
              </w:rPr>
            </w:pPr>
            <w:r>
              <w:rPr>
                <w:rFonts w:ascii="Arial" w:cs="Arial" w:eastAsia="Arial" w:hAnsi="Arial"/>
                <w:sz w:val="14"/>
                <w:szCs w:val="14"/>
                <w:color w:val="F15060"/>
              </w:rPr>
              <w:t>complete and may be changed. A registration</w:t>
            </w:r>
          </w:p>
        </w:tc>
        <w:tc>
          <w:tcPr>
            <w:tcW w:w="160" w:type="dxa"/>
            <w:vAlign w:val="bottom"/>
            <w:textDirection w:val="btLr"/>
          </w:tcPr>
          <w:p>
            <w:pPr>
              <w:spacing w:after="0"/>
              <w:rPr>
                <w:sz w:val="20"/>
                <w:szCs w:val="20"/>
                <w:color w:val="auto"/>
              </w:rPr>
            </w:pPr>
            <w:r>
              <w:rPr>
                <w:rFonts w:ascii="Arial" w:cs="Arial" w:eastAsia="Arial" w:hAnsi="Arial"/>
                <w:sz w:val="14"/>
                <w:szCs w:val="14"/>
                <w:color w:val="F15060"/>
              </w:rPr>
              <w:t>and the accompanying prospectus are not an</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right"/>
        <w:ind w:right="40"/>
        <w:spacing w:after="0"/>
        <w:rPr>
          <w:sz w:val="20"/>
          <w:szCs w:val="20"/>
          <w:color w:val="auto"/>
        </w:rPr>
      </w:pPr>
      <w:r>
        <w:rPr>
          <w:rFonts w:ascii="Arial" w:cs="Arial" w:eastAsia="Arial" w:hAnsi="Arial"/>
          <w:sz w:val="17"/>
          <w:szCs w:val="17"/>
          <w:b w:val="1"/>
          <w:bCs w:val="1"/>
          <w:i w:val="1"/>
          <w:iCs w:val="1"/>
          <w:color w:val="auto"/>
        </w:rPr>
        <w:t> Filed Pursuant to Rule 424(b)(5)​</w:t>
      </w:r>
    </w:p>
    <w:p>
      <w:pPr>
        <w:jc w:val="right"/>
        <w:ind w:right="40"/>
        <w:spacing w:after="0"/>
        <w:rPr>
          <w:sz w:val="20"/>
          <w:szCs w:val="20"/>
          <w:color w:val="auto"/>
        </w:rPr>
      </w:pPr>
      <w:r>
        <w:rPr>
          <w:rFonts w:ascii="Arial" w:cs="Arial" w:eastAsia="Arial" w:hAnsi="Arial"/>
          <w:sz w:val="17"/>
          <w:szCs w:val="17"/>
          <w:b w:val="1"/>
          <w:bCs w:val="1"/>
          <w:i w:val="1"/>
          <w:iCs w:val="1"/>
          <w:color w:val="auto"/>
        </w:rPr>
        <w:t> Registration No. 333-254530​</w:t>
      </w:r>
    </w:p>
    <w:p>
      <w:pPr>
        <w:spacing w:after="0" w:line="110" w:lineRule="exact"/>
        <w:rPr>
          <w:sz w:val="24"/>
          <w:szCs w:val="24"/>
          <w:color w:val="auto"/>
        </w:rPr>
      </w:pPr>
    </w:p>
    <w:p>
      <w:pPr>
        <w:ind w:left="1640"/>
        <w:spacing w:after="0"/>
        <w:rPr>
          <w:sz w:val="20"/>
          <w:szCs w:val="20"/>
          <w:color w:val="auto"/>
        </w:rPr>
      </w:pPr>
      <w:r>
        <w:rPr>
          <w:rFonts w:ascii="Arial" w:cs="Arial" w:eastAsia="Arial" w:hAnsi="Arial"/>
          <w:sz w:val="18"/>
          <w:szCs w:val="18"/>
          <w:b w:val="1"/>
          <w:bCs w:val="1"/>
          <w:color w:val="F15060"/>
        </w:rPr>
        <w:t>SUBJECT TO COMPLETION, DATED AUGUST 9, 2022</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33"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March 29, 2021)</w:t>
      </w:r>
    </w:p>
    <w:p>
      <w:pPr>
        <w:spacing w:after="0" w:line="47" w:lineRule="exact"/>
        <w:rPr>
          <w:sz w:val="24"/>
          <w:szCs w:val="24"/>
          <w:color w:val="auto"/>
        </w:rPr>
      </w:pPr>
    </w:p>
    <w:p>
      <w:pPr>
        <w:ind w:left="1720" w:right="1260" w:hanging="634"/>
        <w:spacing w:after="0" w:line="256" w:lineRule="auto"/>
        <w:rPr>
          <w:sz w:val="20"/>
          <w:szCs w:val="20"/>
          <w:color w:val="auto"/>
        </w:rPr>
      </w:pPr>
      <w:r>
        <w:rPr>
          <w:rFonts w:ascii="Arial" w:cs="Arial" w:eastAsia="Arial" w:hAnsi="Arial"/>
          <w:sz w:val="29"/>
          <w:szCs w:val="29"/>
          <w:b w:val="1"/>
          <w:bCs w:val="1"/>
          <w:color w:val="auto"/>
        </w:rPr>
        <w:t>10,000,000 American Depositary Shares (Representing Ordinary Shares)</w:t>
      </w:r>
      <w:r>
        <w:rPr>
          <w:rFonts w:ascii="Arial" w:cs="Arial" w:eastAsia="Arial" w:hAnsi="Arial"/>
          <w:sz w:val="17"/>
          <w:szCs w:val="17"/>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1862455</wp:posOffset>
            </wp:positionH>
            <wp:positionV relativeFrom="paragraph">
              <wp:posOffset>39370</wp:posOffset>
            </wp:positionV>
            <wp:extent cx="1491615"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161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1991360</wp:posOffset>
            </wp:positionH>
            <wp:positionV relativeFrom="paragraph">
              <wp:posOffset>230505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ind w:right="120"/>
        <w:spacing w:after="0" w:line="292" w:lineRule="auto"/>
        <w:rPr>
          <w:sz w:val="20"/>
          <w:szCs w:val="20"/>
          <w:color w:val="auto"/>
        </w:rPr>
      </w:pPr>
      <w:r>
        <w:rPr>
          <w:rFonts w:ascii="Arial" w:cs="Arial" w:eastAsia="Arial" w:hAnsi="Arial"/>
          <w:sz w:val="18"/>
          <w:szCs w:val="18"/>
          <w:color w:val="auto"/>
        </w:rPr>
        <w:t>We are offering 10,000,000 American Depositary Shares, or ADSs. Each ADS represents eight ordinary shares of Verona Pharma plc, nominal value £0.05 each.</w:t>
      </w:r>
    </w:p>
    <w:p>
      <w:pPr>
        <w:spacing w:after="0" w:line="36" w:lineRule="exact"/>
        <w:rPr>
          <w:sz w:val="24"/>
          <w:szCs w:val="24"/>
          <w:color w:val="auto"/>
        </w:rPr>
      </w:pPr>
    </w:p>
    <w:p>
      <w:pPr>
        <w:ind w:right="200"/>
        <w:spacing w:after="0" w:line="292" w:lineRule="auto"/>
        <w:rPr>
          <w:sz w:val="20"/>
          <w:szCs w:val="20"/>
          <w:color w:val="auto"/>
        </w:rPr>
      </w:pPr>
      <w:r>
        <w:rPr>
          <w:rFonts w:ascii="Arial" w:cs="Arial" w:eastAsia="Arial" w:hAnsi="Arial"/>
          <w:sz w:val="18"/>
          <w:szCs w:val="18"/>
          <w:color w:val="auto"/>
        </w:rPr>
        <w:t>Our ADSs are listed on The Nasdaq Global Market under the symbol “VRNA.” On August 8, 2022, the last reported sale price of our ADSs on The Nasdaq Global Market was $6.15 per ADS.</w:t>
      </w:r>
    </w:p>
    <w:p>
      <w:pPr>
        <w:spacing w:after="0" w:line="38" w:lineRule="exact"/>
        <w:rPr>
          <w:sz w:val="24"/>
          <w:szCs w:val="24"/>
          <w:color w:val="auto"/>
        </w:rPr>
      </w:pPr>
    </w:p>
    <w:p>
      <w:pPr>
        <w:jc w:val="both"/>
        <w:ind w:right="120"/>
        <w:spacing w:after="0" w:line="289" w:lineRule="auto"/>
        <w:rPr>
          <w:sz w:val="20"/>
          <w:szCs w:val="20"/>
          <w:color w:val="auto"/>
        </w:rPr>
      </w:pPr>
      <w:r>
        <w:rPr>
          <w:rFonts w:ascii="Arial" w:cs="Arial" w:eastAsia="Arial" w:hAnsi="Arial"/>
          <w:sz w:val="18"/>
          <w:szCs w:val="18"/>
          <w:i w:val="1"/>
          <w:iCs w:val="1"/>
          <w:color w:val="auto"/>
        </w:rPr>
        <w:t>We are an “emerging growth company” and a “smaller reporting company” under applicable Securities and Exchange Commission rules and are eligible for reduced public company disclosure requirements.</w:t>
      </w:r>
    </w:p>
    <w:p>
      <w:pPr>
        <w:spacing w:after="0" w:line="38" w:lineRule="exact"/>
        <w:rPr>
          <w:sz w:val="24"/>
          <w:szCs w:val="24"/>
          <w:color w:val="auto"/>
        </w:rPr>
      </w:pPr>
    </w:p>
    <w:p>
      <w:pPr>
        <w:ind w:right="180"/>
        <w:spacing w:after="0" w:line="268" w:lineRule="auto"/>
        <w:rPr>
          <w:sz w:val="20"/>
          <w:szCs w:val="20"/>
          <w:color w:val="auto"/>
        </w:rPr>
      </w:pPr>
      <w:r>
        <w:rPr>
          <w:rFonts w:ascii="Arial" w:cs="Arial" w:eastAsia="Arial" w:hAnsi="Arial"/>
          <w:sz w:val="18"/>
          <w:szCs w:val="18"/>
          <w:b w:val="1"/>
          <w:bCs w:val="1"/>
          <w:color w:val="auto"/>
        </w:rPr>
        <w:t xml:space="preserve">Investing in our ADSs involves a high degree of risk. See “Risk Factors” beginning on page </w:t>
      </w:r>
      <w:r>
        <w:rPr>
          <w:rFonts w:ascii="Arial" w:cs="Arial" w:eastAsia="Arial" w:hAnsi="Arial"/>
          <w:sz w:val="18"/>
          <w:szCs w:val="18"/>
          <w:b w:val="1"/>
          <w:bCs w:val="1"/>
          <w:u w:val="single" w:color="auto"/>
          <w:color w:val="0000EE"/>
        </w:rPr>
        <w:t>S-8</w:t>
      </w:r>
      <w:r>
        <w:rPr>
          <w:rFonts w:ascii="Arial" w:cs="Arial" w:eastAsia="Arial" w:hAnsi="Arial"/>
          <w:sz w:val="18"/>
          <w:szCs w:val="18"/>
          <w:b w:val="1"/>
          <w:bCs w:val="1"/>
          <w:color w:val="auto"/>
        </w:rPr>
        <w:t xml:space="preserve"> of this prospectus supplement or the accompanying prospectus and the documents incorporated by reference in this prospectus supplement concerning factors you should consider before investing in our securities.</w:t>
      </w:r>
    </w:p>
    <w:p>
      <w:pPr>
        <w:spacing w:after="0" w:line="47"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b w:val="1"/>
          <w:bCs w:val="1"/>
          <w:color w:val="auto"/>
        </w:rPr>
        <w:t>Neither the Securities and Exchange Commission, or the SEC,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200025</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28" w:lineRule="exact"/>
        <w:rPr>
          <w:sz w:val="24"/>
          <w:szCs w:val="24"/>
          <w:color w:val="auto"/>
        </w:rPr>
      </w:pPr>
    </w:p>
    <w:tbl>
      <w:tblPr>
        <w:tblLayout w:type="fixed"/>
        <w:tblInd w:w="0" w:type="dxa"/>
        <w:tblCellMar>
          <w:top w:w="0" w:type="dxa"/>
          <w:left w:w="0" w:type="dxa"/>
          <w:bottom w:w="0" w:type="dxa"/>
          <w:right w:w="0" w:type="dxa"/>
        </w:tblCellMar>
      </w:tblPr>
      <w:tr>
        <w:trPr>
          <w:trHeight w:val="373"/>
        </w:trPr>
        <w:tc>
          <w:tcPr>
            <w:tcW w:w="48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452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2600" w:type="dxa"/>
            <w:vAlign w:val="bottom"/>
            <w:gridSpan w:val="5"/>
          </w:tcPr>
          <w:p>
            <w:pPr>
              <w:ind w:left="100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PER ADS </w:t>
            </w: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TOTAL</w:t>
            </w:r>
          </w:p>
        </w:tc>
        <w:tc>
          <w:tcPr>
            <w:tcW w:w="180" w:type="dxa"/>
            <w:vAlign w:val="bottom"/>
          </w:tcPr>
          <w:p>
            <w:pPr>
              <w:spacing w:after="0"/>
              <w:rPr>
                <w:sz w:val="24"/>
                <w:szCs w:val="24"/>
                <w:color w:val="auto"/>
              </w:rPr>
            </w:pPr>
          </w:p>
        </w:tc>
        <w:tc>
          <w:tcPr>
            <w:tcW w:w="440" w:type="dxa"/>
            <w:vAlign w:val="bottom"/>
          </w:tcPr>
          <w:p>
            <w:pPr>
              <w:ind w:left="120"/>
              <w:spacing w:after="0"/>
              <w:rPr>
                <w:sz w:val="20"/>
                <w:szCs w:val="20"/>
                <w:color w:val="auto"/>
              </w:rPr>
            </w:pPr>
            <w:r>
              <w:rPr>
                <w:rFonts w:ascii="Arial" w:cs="Arial" w:eastAsia="Arial" w:hAnsi="Arial"/>
                <w:sz w:val="14"/>
                <w:szCs w:val="14"/>
                <w:b w:val="1"/>
                <w:bCs w:val="1"/>
                <w:color w:val="auto"/>
              </w:rPr>
              <w:t>​</w:t>
            </w:r>
          </w:p>
        </w:tc>
      </w:tr>
      <w:tr>
        <w:trPr>
          <w:trHeight w:val="20"/>
        </w:trPr>
        <w:tc>
          <w:tcPr>
            <w:tcW w:w="480" w:type="dxa"/>
            <w:vAlign w:val="bottom"/>
            <w:shd w:val="clear" w:color="auto" w:fill="CCEEFF"/>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r>
      <w:tr>
        <w:trPr>
          <w:trHeight w:val="237"/>
        </w:trPr>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Public offering price</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r>
      <w:tr>
        <w:trPr>
          <w:trHeight w:val="283"/>
        </w:trPr>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4520" w:type="dxa"/>
            <w:vAlign w:val="bottom"/>
          </w:tcPr>
          <w:p>
            <w:pPr>
              <w:ind w:left="120"/>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3"/>
                <w:szCs w:val="23"/>
                <w:color w:val="auto"/>
                <w:vertAlign w:val="superscript"/>
              </w:rPr>
              <w:t>(1)</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34"/>
        </w:trPr>
        <w:tc>
          <w:tcPr>
            <w:tcW w:w="480" w:type="dxa"/>
            <w:vAlign w:val="bottom"/>
            <w:shd w:val="clear" w:color="auto" w:fill="CCEEFF"/>
          </w:tcPr>
          <w:p>
            <w:pPr>
              <w:spacing w:after="0"/>
              <w:rPr>
                <w:sz w:val="20"/>
                <w:szCs w:val="20"/>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before expenses, to us</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r>
      <w:tr>
        <w:trPr>
          <w:trHeight w:val="212"/>
        </w:trPr>
        <w:tc>
          <w:tcPr>
            <w:tcW w:w="4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5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2"/>
            <w:shd w:val="clear" w:color="auto" w:fill="CCEEFF"/>
          </w:tcPr>
          <w:p>
            <w:pPr>
              <w:ind w:left="100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auto"/>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-633730</wp:posOffset>
            </wp:positionV>
            <wp:extent cx="5212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ind w:left="360" w:hanging="356"/>
        <w:spacing w:after="0"/>
        <w:tabs>
          <w:tab w:leader="none" w:pos="360" w:val="left"/>
        </w:tabs>
        <w:numPr>
          <w:ilvl w:val="0"/>
          <w:numId w:val="1"/>
        </w:numPr>
        <w:rPr>
          <w:rFonts w:ascii="Arial" w:cs="Arial" w:eastAsia="Arial" w:hAnsi="Arial"/>
          <w:sz w:val="20"/>
          <w:szCs w:val="20"/>
          <w:color w:val="auto"/>
          <w:vertAlign w:val="superscript"/>
        </w:rPr>
      </w:pPr>
      <w:r>
        <w:rPr>
          <w:rFonts w:ascii="Arial" w:cs="Arial" w:eastAsia="Arial" w:hAnsi="Arial"/>
          <w:sz w:val="13"/>
          <w:szCs w:val="13"/>
          <w:color w:val="auto"/>
        </w:rPr>
        <w:t xml:space="preserve">See the section titled “Underwriting” beginning on page </w:t>
      </w:r>
      <w:r>
        <w:rPr>
          <w:rFonts w:ascii="Arial" w:cs="Arial" w:eastAsia="Arial" w:hAnsi="Arial"/>
          <w:sz w:val="13"/>
          <w:szCs w:val="13"/>
          <w:u w:val="single" w:color="auto"/>
          <w:color w:val="0000EE"/>
        </w:rPr>
        <w:t>S-19</w:t>
      </w:r>
      <w:r>
        <w:rPr>
          <w:rFonts w:ascii="Arial" w:cs="Arial" w:eastAsia="Arial" w:hAnsi="Arial"/>
          <w:sz w:val="13"/>
          <w:szCs w:val="13"/>
          <w:color w:val="auto"/>
        </w:rPr>
        <w:t xml:space="preserve"> for a description of the compensation payable to the underwriters.</w:t>
      </w:r>
    </w:p>
    <w:p>
      <w:pPr>
        <w:spacing w:after="0" w:line="85" w:lineRule="exact"/>
        <w:rPr>
          <w:sz w:val="24"/>
          <w:szCs w:val="24"/>
          <w:color w:val="auto"/>
        </w:rPr>
      </w:pPr>
    </w:p>
    <w:p>
      <w:pPr>
        <w:spacing w:after="0"/>
        <w:rPr>
          <w:sz w:val="20"/>
          <w:szCs w:val="20"/>
          <w:color w:val="auto"/>
        </w:rPr>
      </w:pPr>
      <w:r>
        <w:rPr>
          <w:rFonts w:ascii="Arial" w:cs="Arial" w:eastAsia="Arial" w:hAnsi="Arial"/>
          <w:sz w:val="18"/>
          <w:szCs w:val="18"/>
          <w:color w:val="auto"/>
        </w:rPr>
        <w:t>Delivery of the ADSs is expected to be made on or about                     , 2022.</w:t>
      </w:r>
    </w:p>
    <w:p>
      <w:pPr>
        <w:spacing w:after="0" w:line="131" w:lineRule="exact"/>
        <w:rPr>
          <w:sz w:val="24"/>
          <w:szCs w:val="24"/>
          <w:color w:val="auto"/>
        </w:rPr>
      </w:pPr>
    </w:p>
    <w:p>
      <w:pPr>
        <w:ind w:right="720"/>
        <w:spacing w:after="0" w:line="323" w:lineRule="auto"/>
        <w:rPr>
          <w:sz w:val="20"/>
          <w:szCs w:val="20"/>
          <w:color w:val="auto"/>
        </w:rPr>
      </w:pPr>
      <w:r>
        <w:rPr>
          <w:rFonts w:ascii="Arial" w:cs="Arial" w:eastAsia="Arial" w:hAnsi="Arial"/>
          <w:sz w:val="17"/>
          <w:szCs w:val="17"/>
          <w:color w:val="auto"/>
        </w:rPr>
        <w:t>We have granted the underwriters an option for a period of 30 days to purchase up to 1,500,000 additional ADSs, at the public offering price less underwriting discounts and commissions.</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1960" w:type="dxa"/>
            <w:vAlign w:val="bottom"/>
            <w:vMerge w:val="restart"/>
          </w:tcPr>
          <w:p>
            <w:pPr>
              <w:spacing w:after="0"/>
              <w:rPr>
                <w:sz w:val="20"/>
                <w:szCs w:val="20"/>
                <w:color w:val="auto"/>
              </w:rPr>
            </w:pPr>
            <w:r>
              <w:rPr>
                <w:rFonts w:ascii="Arial" w:cs="Arial" w:eastAsia="Arial" w:hAnsi="Arial"/>
                <w:sz w:val="29"/>
                <w:szCs w:val="29"/>
                <w:b w:val="1"/>
                <w:bCs w:val="1"/>
                <w:color w:val="auto"/>
              </w:rPr>
              <w:t>​</w:t>
            </w:r>
          </w:p>
        </w:tc>
        <w:tc>
          <w:tcPr>
            <w:tcW w:w="880" w:type="dxa"/>
            <w:vAlign w:val="bottom"/>
            <w:vMerge w:val="restart"/>
          </w:tcPr>
          <w:p>
            <w:pPr>
              <w:ind w:left="640"/>
              <w:spacing w:after="0"/>
              <w:rPr>
                <w:sz w:val="20"/>
                <w:szCs w:val="20"/>
                <w:color w:val="auto"/>
              </w:rPr>
            </w:pPr>
            <w:r>
              <w:rPr>
                <w:rFonts w:ascii="Arial" w:cs="Arial" w:eastAsia="Arial" w:hAnsi="Arial"/>
                <w:sz w:val="29"/>
                <w:szCs w:val="29"/>
                <w:b w:val="1"/>
                <w:bCs w:val="1"/>
                <w:color w:val="auto"/>
              </w:rPr>
              <w:t>​​</w:t>
            </w:r>
          </w:p>
        </w:tc>
        <w:tc>
          <w:tcPr>
            <w:tcW w:w="2520" w:type="dxa"/>
            <w:vAlign w:val="bottom"/>
          </w:tcPr>
          <w:p>
            <w:pPr>
              <w:jc w:val="center"/>
              <w:spacing w:after="0"/>
              <w:rPr>
                <w:sz w:val="20"/>
                <w:szCs w:val="20"/>
                <w:color w:val="auto"/>
              </w:rPr>
            </w:pPr>
            <w:r>
              <w:rPr>
                <w:rFonts w:ascii="Arial" w:cs="Arial" w:eastAsia="Arial" w:hAnsi="Arial"/>
                <w:sz w:val="18"/>
                <w:szCs w:val="18"/>
                <w:i w:val="1"/>
                <w:iCs w:val="1"/>
                <w:color w:val="auto"/>
                <w:w w:val="99"/>
              </w:rPr>
              <w:t>Joint Book-Running Managers</w:t>
            </w:r>
          </w:p>
        </w:tc>
        <w:tc>
          <w:tcPr>
            <w:tcW w:w="300" w:type="dxa"/>
            <w:vAlign w:val="bottom"/>
            <w:vMerge w:val="restart"/>
          </w:tcPr>
          <w:p>
            <w:pPr>
              <w:ind w:left="40"/>
              <w:spacing w:after="0"/>
              <w:rPr>
                <w:sz w:val="20"/>
                <w:szCs w:val="20"/>
                <w:color w:val="auto"/>
              </w:rPr>
            </w:pPr>
            <w:r>
              <w:rPr>
                <w:rFonts w:ascii="Arial" w:cs="Arial" w:eastAsia="Arial" w:hAnsi="Arial"/>
                <w:sz w:val="29"/>
                <w:szCs w:val="29"/>
                <w:b w:val="1"/>
                <w:bCs w:val="1"/>
                <w:color w:val="auto"/>
              </w:rPr>
              <w:t>​​</w:t>
            </w:r>
          </w:p>
        </w:tc>
        <w:tc>
          <w:tcPr>
            <w:tcW w:w="2540" w:type="dxa"/>
            <w:vAlign w:val="bottom"/>
          </w:tcPr>
          <w:p>
            <w:pPr>
              <w:spacing w:after="0"/>
              <w:rPr>
                <w:sz w:val="20"/>
                <w:szCs w:val="20"/>
                <w:color w:val="auto"/>
              </w:rPr>
            </w:pPr>
          </w:p>
        </w:tc>
        <w:tc>
          <w:tcPr>
            <w:tcW w:w="100" w:type="dxa"/>
            <w:vAlign w:val="bottom"/>
            <w:vMerge w:val="restart"/>
          </w:tcPr>
          <w:p>
            <w:pPr>
              <w:ind w:left="20"/>
              <w:spacing w:after="0"/>
              <w:rPr>
                <w:sz w:val="20"/>
                <w:szCs w:val="20"/>
                <w:color w:val="auto"/>
              </w:rPr>
            </w:pPr>
            <w:r>
              <w:rPr>
                <w:rFonts w:ascii="Arial" w:cs="Arial" w:eastAsia="Arial" w:hAnsi="Arial"/>
                <w:sz w:val="29"/>
                <w:szCs w:val="29"/>
                <w:b w:val="1"/>
                <w:bCs w:val="1"/>
                <w:color w:val="auto"/>
              </w:rPr>
              <w:t>​</w:t>
            </w:r>
          </w:p>
        </w:tc>
        <w:tc>
          <w:tcPr>
            <w:tcW w:w="0" w:type="dxa"/>
            <w:vAlign w:val="bottom"/>
          </w:tcPr>
          <w:p>
            <w:pPr>
              <w:spacing w:after="0"/>
              <w:rPr>
                <w:sz w:val="1"/>
                <w:szCs w:val="1"/>
                <w:color w:val="auto"/>
              </w:rPr>
            </w:pPr>
          </w:p>
        </w:tc>
      </w:tr>
      <w:tr>
        <w:trPr>
          <w:trHeight w:val="266"/>
        </w:trPr>
        <w:tc>
          <w:tcPr>
            <w:tcW w:w="1960" w:type="dxa"/>
            <w:vAlign w:val="bottom"/>
            <w:vMerge w:val="continue"/>
          </w:tcPr>
          <w:p>
            <w:pPr>
              <w:spacing w:after="0"/>
              <w:rPr>
                <w:sz w:val="23"/>
                <w:szCs w:val="23"/>
                <w:color w:val="auto"/>
              </w:rPr>
            </w:pPr>
          </w:p>
        </w:tc>
        <w:tc>
          <w:tcPr>
            <w:tcW w:w="880" w:type="dxa"/>
            <w:vAlign w:val="bottom"/>
            <w:vMerge w:val="continue"/>
          </w:tcPr>
          <w:p>
            <w:pPr>
              <w:spacing w:after="0"/>
              <w:rPr>
                <w:sz w:val="23"/>
                <w:szCs w:val="23"/>
                <w:color w:val="auto"/>
              </w:rPr>
            </w:pPr>
          </w:p>
        </w:tc>
        <w:tc>
          <w:tcPr>
            <w:tcW w:w="2520" w:type="dxa"/>
            <w:vAlign w:val="bottom"/>
            <w:vMerge w:val="restart"/>
          </w:tcPr>
          <w:p>
            <w:pPr>
              <w:jc w:val="center"/>
              <w:spacing w:after="0"/>
              <w:rPr>
                <w:sz w:val="20"/>
                <w:szCs w:val="20"/>
                <w:color w:val="auto"/>
              </w:rPr>
            </w:pPr>
            <w:r>
              <w:rPr>
                <w:rFonts w:ascii="Arial" w:cs="Arial" w:eastAsia="Arial" w:hAnsi="Arial"/>
                <w:sz w:val="29"/>
                <w:szCs w:val="29"/>
                <w:b w:val="1"/>
                <w:bCs w:val="1"/>
                <w:color w:val="auto"/>
              </w:rPr>
              <w:t>Piper Sandler</w:t>
            </w:r>
          </w:p>
        </w:tc>
        <w:tc>
          <w:tcPr>
            <w:tcW w:w="300" w:type="dxa"/>
            <w:vAlign w:val="bottom"/>
            <w:vMerge w:val="continue"/>
          </w:tcPr>
          <w:p>
            <w:pPr>
              <w:spacing w:after="0"/>
              <w:rPr>
                <w:sz w:val="23"/>
                <w:szCs w:val="23"/>
                <w:color w:val="auto"/>
              </w:rPr>
            </w:pPr>
          </w:p>
        </w:tc>
        <w:tc>
          <w:tcPr>
            <w:tcW w:w="2540" w:type="dxa"/>
            <w:vAlign w:val="bottom"/>
            <w:vMerge w:val="restart"/>
          </w:tcPr>
          <w:p>
            <w:pPr>
              <w:ind w:left="60"/>
              <w:spacing w:after="0"/>
              <w:rPr>
                <w:sz w:val="20"/>
                <w:szCs w:val="20"/>
                <w:color w:val="auto"/>
              </w:rPr>
            </w:pPr>
            <w:r>
              <w:rPr>
                <w:rFonts w:ascii="Arial" w:cs="Arial" w:eastAsia="Arial" w:hAnsi="Arial"/>
                <w:sz w:val="29"/>
                <w:szCs w:val="29"/>
                <w:b w:val="1"/>
                <w:bCs w:val="1"/>
                <w:color w:val="auto"/>
              </w:rPr>
              <w:t>Truist Securities</w:t>
            </w:r>
          </w:p>
        </w:tc>
        <w:tc>
          <w:tcPr>
            <w:tcW w:w="1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07"/>
        </w:trPr>
        <w:tc>
          <w:tcPr>
            <w:tcW w:w="1960" w:type="dxa"/>
            <w:vAlign w:val="bottom"/>
          </w:tcPr>
          <w:p>
            <w:pPr>
              <w:spacing w:after="0"/>
              <w:rPr>
                <w:sz w:val="20"/>
                <w:szCs w:val="20"/>
                <w:color w:val="auto"/>
              </w:rPr>
            </w:pPr>
            <w:r>
              <w:rPr>
                <w:rFonts w:ascii="Arial" w:cs="Arial" w:eastAsia="Arial" w:hAnsi="Arial"/>
                <w:sz w:val="29"/>
                <w:szCs w:val="29"/>
                <w:b w:val="1"/>
                <w:bCs w:val="1"/>
                <w:color w:val="auto"/>
              </w:rPr>
              <w:t>Jefferies</w:t>
            </w:r>
          </w:p>
        </w:tc>
        <w:tc>
          <w:tcPr>
            <w:tcW w:w="88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34" w:lineRule="exact"/>
        <w:rPr>
          <w:sz w:val="24"/>
          <w:szCs w:val="24"/>
          <w:color w:val="auto"/>
        </w:rPr>
      </w:pPr>
    </w:p>
    <w:p>
      <w:pPr>
        <w:sectPr>
          <w:pgSz w:w="11900" w:h="16838" w:orient="portrait"/>
          <w:cols w:equalWidth="0" w:num="2">
            <w:col w:w="1520" w:space="60"/>
            <w:col w:w="8300"/>
          </w:cols>
          <w:pgMar w:left="580" w:top="222" w:right="1439" w:bottom="1440" w:gutter="0" w:footer="0" w:header="0"/>
        </w:sectPr>
      </w:pPr>
    </w:p>
    <w:p>
      <w:pPr>
        <w:spacing w:after="0" w:line="200" w:lineRule="exact"/>
        <w:rPr>
          <w:sz w:val="24"/>
          <w:szCs w:val="24"/>
          <w:color w:val="auto"/>
        </w:rPr>
      </w:pPr>
    </w:p>
    <w:p>
      <w:pPr>
        <w:spacing w:after="0" w:line="212" w:lineRule="exact"/>
        <w:rPr>
          <w:sz w:val="24"/>
          <w:szCs w:val="24"/>
          <w:color w:val="auto"/>
        </w:rPr>
      </w:pPr>
    </w:p>
    <w:p>
      <w:pPr>
        <w:ind w:left="3740"/>
        <w:spacing w:after="0"/>
        <w:rPr>
          <w:sz w:val="20"/>
          <w:szCs w:val="20"/>
          <w:color w:val="auto"/>
        </w:rPr>
      </w:pPr>
      <w:r>
        <w:rPr>
          <w:rFonts w:ascii="Arial" w:cs="Arial" w:eastAsia="Arial" w:hAnsi="Arial"/>
          <w:sz w:val="17"/>
          <w:szCs w:val="17"/>
          <w:color w:val="auto"/>
        </w:rPr>
        <w:t>Prospectus Supplement dated                     ,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8065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9880"/>
          </w:cols>
          <w:pgMar w:left="580" w:top="222" w:right="1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531495</wp:posOffset>
            </wp:positionV>
            <wp:extent cx="5212080"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25717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Table​ of Contents</w:t>
      </w:r>
      <w:r>
        <w:rPr>
          <w:rFonts w:ascii="Arial" w:cs="Arial" w:eastAsia="Arial" w:hAnsi="Arial"/>
          <w:sz w:val="17"/>
          <w:szCs w:val="17"/>
          <w:b w:val="1"/>
          <w:bCs w:val="1"/>
          <w:color w:val="auto"/>
        </w:rPr>
        <w:t>​</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521208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54"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About</w:t>
      </w:r>
      <w:r>
        <w:rPr>
          <w:rFonts w:ascii="Arial" w:cs="Arial" w:eastAsia="Arial" w:hAnsi="Arial"/>
          <w:sz w:val="17"/>
          <w:szCs w:val="17"/>
          <w:color w:val="000000"/>
        </w:rPr>
        <w:t>​</w:t>
      </w:r>
      <w:r>
        <w:rPr>
          <w:rFonts w:ascii="Arial" w:cs="Arial" w:eastAsia="Arial" w:hAnsi="Arial"/>
          <w:sz w:val="17"/>
          <w:szCs w:val="17"/>
          <w:color w:val="0000EE"/>
        </w:rPr>
        <w:t xml:space="preserve"> This Prospectus Supplement</w:t>
      </w:r>
    </w:p>
    <w:p>
      <w:pPr>
        <w:spacing w:after="0" w:line="5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Cautionary</w:t>
      </w:r>
      <w:r>
        <w:rPr>
          <w:rFonts w:ascii="Arial" w:cs="Arial" w:eastAsia="Arial" w:hAnsi="Arial"/>
          <w:sz w:val="17"/>
          <w:szCs w:val="17"/>
          <w:color w:val="000000"/>
        </w:rPr>
        <w:t>​</w:t>
      </w:r>
      <w:r>
        <w:rPr>
          <w:rFonts w:ascii="Arial" w:cs="Arial" w:eastAsia="Arial" w:hAnsi="Arial"/>
          <w:sz w:val="17"/>
          <w:szCs w:val="17"/>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-3175</wp:posOffset>
            </wp:positionV>
            <wp:extent cx="2738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381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30480</wp:posOffset>
            </wp:positionV>
            <wp:extent cx="5212080"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Prospectus</w:t>
      </w:r>
      <w:r>
        <w:rPr>
          <w:rFonts w:ascii="Arial" w:cs="Arial" w:eastAsia="Arial" w:hAnsi="Arial"/>
          <w:sz w:val="17"/>
          <w:szCs w:val="17"/>
          <w:color w:val="000000"/>
        </w:rPr>
        <w:t>​</w:t>
      </w:r>
      <w:r>
        <w:rPr>
          <w:rFonts w:ascii="Arial" w:cs="Arial" w:eastAsia="Arial" w:hAnsi="Arial"/>
          <w:sz w:val="17"/>
          <w:szCs w:val="17"/>
          <w:color w:val="0000EE"/>
        </w:rPr>
        <w:t xml:space="preserve"> Supplement Summary</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The</w:t>
      </w:r>
      <w:r>
        <w:rPr>
          <w:rFonts w:ascii="Arial" w:cs="Arial" w:eastAsia="Arial" w:hAnsi="Arial"/>
          <w:sz w:val="17"/>
          <w:szCs w:val="17"/>
          <w:color w:val="000000"/>
        </w:rPr>
        <w:t>​</w:t>
      </w:r>
      <w:r>
        <w:rPr>
          <w:rFonts w:ascii="Arial" w:cs="Arial" w:eastAsia="Arial" w:hAnsi="Arial"/>
          <w:sz w:val="17"/>
          <w:szCs w:val="17"/>
          <w:color w:val="0000EE"/>
        </w:rPr>
        <w:t xml:space="preserv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-3175</wp:posOffset>
            </wp:positionV>
            <wp:extent cx="6007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071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30480</wp:posOffset>
            </wp:positionV>
            <wp:extent cx="521208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Risk</w:t>
      </w:r>
      <w:r>
        <w:rPr>
          <w:rFonts w:ascii="Arial" w:cs="Arial" w:eastAsia="Arial" w:hAnsi="Arial"/>
          <w:sz w:val="17"/>
          <w:szCs w:val="17"/>
          <w:color w:val="000000"/>
        </w:rPr>
        <w:t>​</w:t>
      </w:r>
      <w:r>
        <w:rPr>
          <w:rFonts w:ascii="Arial" w:cs="Arial" w:eastAsia="Arial" w:hAnsi="Arial"/>
          <w:sz w:val="17"/>
          <w:szCs w:val="17"/>
          <w:color w:val="0000EE"/>
        </w:rPr>
        <w:t xml:space="preserve"> Factors</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Use</w:t>
      </w:r>
      <w:r>
        <w:rPr>
          <w:rFonts w:ascii="Arial" w:cs="Arial" w:eastAsia="Arial" w:hAnsi="Arial"/>
          <w:sz w:val="17"/>
          <w:szCs w:val="17"/>
          <w:color w:val="000000"/>
        </w:rPr>
        <w:t>​</w:t>
      </w:r>
      <w:r>
        <w:rPr>
          <w:rFonts w:ascii="Arial" w:cs="Arial" w:eastAsia="Arial" w:hAnsi="Arial"/>
          <w:sz w:val="17"/>
          <w:szCs w:val="17"/>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-3175</wp:posOffset>
            </wp:positionV>
            <wp:extent cx="8020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020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30480</wp:posOffset>
            </wp:positionV>
            <wp:extent cx="521208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Dividend</w:t>
      </w:r>
      <w:r>
        <w:rPr>
          <w:rFonts w:ascii="Arial" w:cs="Arial" w:eastAsia="Arial" w:hAnsi="Arial"/>
          <w:sz w:val="17"/>
          <w:szCs w:val="17"/>
          <w:color w:val="000000"/>
        </w:rPr>
        <w:t>​</w:t>
      </w:r>
      <w:r>
        <w:rPr>
          <w:rFonts w:ascii="Arial" w:cs="Arial" w:eastAsia="Arial" w:hAnsi="Arial"/>
          <w:sz w:val="17"/>
          <w:szCs w:val="17"/>
          <w:color w:val="0000EE"/>
        </w:rPr>
        <w:t xml:space="preserve"> Policy</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u w:val="single" w:color="auto"/>
          <w:color w:val="0000EE"/>
        </w:rPr>
        <w:t>Dilution</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30480</wp:posOffset>
            </wp:positionV>
            <wp:extent cx="521208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Material</w:t>
      </w:r>
      <w:r>
        <w:rPr>
          <w:rFonts w:ascii="Arial" w:cs="Arial" w:eastAsia="Arial" w:hAnsi="Arial"/>
          <w:sz w:val="17"/>
          <w:szCs w:val="17"/>
          <w:color w:val="000000"/>
        </w:rPr>
        <w:t>​</w:t>
      </w:r>
      <w:r>
        <w:rPr>
          <w:rFonts w:ascii="Arial" w:cs="Arial" w:eastAsia="Arial" w:hAnsi="Arial"/>
          <w:sz w:val="17"/>
          <w:szCs w:val="17"/>
          <w:color w:val="0000EE"/>
        </w:rPr>
        <w:t xml:space="preserve"> Tax Considerations</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u w:val="single" w:color="auto"/>
          <w:color w:val="0000EE"/>
        </w:rPr>
        <w:t>Underwriting</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30480</wp:posOffset>
            </wp:positionV>
            <wp:extent cx="521208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Legal</w:t>
      </w:r>
      <w:r>
        <w:rPr>
          <w:rFonts w:ascii="Arial" w:cs="Arial" w:eastAsia="Arial" w:hAnsi="Arial"/>
          <w:sz w:val="17"/>
          <w:szCs w:val="17"/>
          <w:color w:val="000000"/>
        </w:rPr>
        <w:t>​</w:t>
      </w:r>
      <w:r>
        <w:rPr>
          <w:rFonts w:ascii="Arial" w:cs="Arial" w:eastAsia="Arial" w:hAnsi="Arial"/>
          <w:sz w:val="17"/>
          <w:szCs w:val="17"/>
          <w:color w:val="0000EE"/>
        </w:rPr>
        <w:t xml:space="preserve"> Matters</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u w:val="single" w:color="auto"/>
          <w:color w:val="0000EE"/>
        </w:rPr>
        <w:t>Experts</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30480</wp:posOffset>
            </wp:positionV>
            <wp:extent cx="521208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Where</w:t>
      </w:r>
      <w:r>
        <w:rPr>
          <w:rFonts w:ascii="Arial" w:cs="Arial" w:eastAsia="Arial" w:hAnsi="Arial"/>
          <w:sz w:val="17"/>
          <w:szCs w:val="17"/>
          <w:color w:val="000000"/>
        </w:rPr>
        <w:t>​</w:t>
      </w:r>
      <w:r>
        <w:rPr>
          <w:rFonts w:ascii="Arial" w:cs="Arial" w:eastAsia="Arial" w:hAnsi="Arial"/>
          <w:sz w:val="17"/>
          <w:szCs w:val="17"/>
          <w:color w:val="0000EE"/>
        </w:rPr>
        <w:t xml:space="preserve"> You Can Find More Information; Incorporation by Reference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521208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54"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About</w:t>
      </w:r>
      <w:r>
        <w:rPr>
          <w:rFonts w:ascii="Arial" w:cs="Arial" w:eastAsia="Arial" w:hAnsi="Arial"/>
          <w:sz w:val="17"/>
          <w:szCs w:val="17"/>
          <w:color w:val="000000"/>
        </w:rPr>
        <w:t>​</w:t>
      </w:r>
      <w:r>
        <w:rPr>
          <w:rFonts w:ascii="Arial" w:cs="Arial" w:eastAsia="Arial" w:hAnsi="Arial"/>
          <w:sz w:val="17"/>
          <w:szCs w:val="17"/>
          <w:color w:val="0000EE"/>
        </w:rPr>
        <w:t xml:space="preserve"> This Prospectus</w:t>
      </w:r>
    </w:p>
    <w:p>
      <w:pPr>
        <w:spacing w:after="0" w:line="5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Where</w:t>
      </w:r>
      <w:r>
        <w:rPr>
          <w:rFonts w:ascii="Arial" w:cs="Arial" w:eastAsia="Arial" w:hAnsi="Arial"/>
          <w:sz w:val="17"/>
          <w:szCs w:val="17"/>
          <w:color w:val="000000"/>
        </w:rPr>
        <w:t>​</w:t>
      </w:r>
      <w:r>
        <w:rPr>
          <w:rFonts w:ascii="Arial" w:cs="Arial" w:eastAsia="Arial" w:hAnsi="Arial"/>
          <w:sz w:val="17"/>
          <w:szCs w:val="17"/>
          <w:color w:val="0000EE"/>
        </w:rPr>
        <w:t xml:space="preserv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-3175</wp:posOffset>
            </wp:positionV>
            <wp:extent cx="32226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226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30480</wp:posOffset>
            </wp:positionV>
            <wp:extent cx="521208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The</w:t>
      </w:r>
      <w:r>
        <w:rPr>
          <w:rFonts w:ascii="Arial" w:cs="Arial" w:eastAsia="Arial" w:hAnsi="Arial"/>
          <w:sz w:val="17"/>
          <w:szCs w:val="17"/>
          <w:color w:val="000000"/>
        </w:rPr>
        <w:t>​</w:t>
      </w:r>
      <w:r>
        <w:rPr>
          <w:rFonts w:ascii="Arial" w:cs="Arial" w:eastAsia="Arial" w:hAnsi="Arial"/>
          <w:sz w:val="17"/>
          <w:szCs w:val="17"/>
          <w:color w:val="0000EE"/>
        </w:rPr>
        <w:t xml:space="preserve"> Company</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Risk</w:t>
      </w:r>
      <w:r>
        <w:rPr>
          <w:rFonts w:ascii="Arial" w:cs="Arial" w:eastAsia="Arial" w:hAnsi="Arial"/>
          <w:sz w:val="17"/>
          <w:szCs w:val="17"/>
          <w:color w:val="000000"/>
        </w:rPr>
        <w:t>​</w:t>
      </w:r>
      <w:r>
        <w:rPr>
          <w:rFonts w:ascii="Arial" w:cs="Arial" w:eastAsia="Arial" w:hAnsi="Arial"/>
          <w:sz w:val="17"/>
          <w:szCs w:val="17"/>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-3175</wp:posOffset>
            </wp:positionV>
            <wp:extent cx="6026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26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30480</wp:posOffset>
            </wp:positionV>
            <wp:extent cx="52120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Use</w:t>
      </w:r>
      <w:r>
        <w:rPr>
          <w:rFonts w:ascii="Arial" w:cs="Arial" w:eastAsia="Arial" w:hAnsi="Arial"/>
          <w:sz w:val="17"/>
          <w:szCs w:val="17"/>
          <w:color w:val="000000"/>
        </w:rPr>
        <w:t>​</w:t>
      </w:r>
      <w:r>
        <w:rPr>
          <w:rFonts w:ascii="Arial" w:cs="Arial" w:eastAsia="Arial" w:hAnsi="Arial"/>
          <w:sz w:val="17"/>
          <w:szCs w:val="17"/>
          <w:color w:val="0000EE"/>
        </w:rPr>
        <w:t xml:space="preserve"> of Proceeds</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Description</w:t>
      </w:r>
      <w:r>
        <w:rPr>
          <w:rFonts w:ascii="Arial" w:cs="Arial" w:eastAsia="Arial" w:hAnsi="Arial"/>
          <w:sz w:val="17"/>
          <w:szCs w:val="17"/>
          <w:color w:val="000000"/>
        </w:rPr>
        <w:t>​</w:t>
      </w:r>
      <w:r>
        <w:rPr>
          <w:rFonts w:ascii="Arial" w:cs="Arial" w:eastAsia="Arial" w:hAnsi="Arial"/>
          <w:sz w:val="17"/>
          <w:szCs w:val="17"/>
          <w:color w:val="0000EE"/>
        </w:rPr>
        <w:t xml:space="preserve"> of Share Capital and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-3175</wp:posOffset>
            </wp:positionV>
            <wp:extent cx="26530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530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30480</wp:posOffset>
            </wp:positionV>
            <wp:extent cx="521208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Description</w:t>
      </w:r>
      <w:r>
        <w:rPr>
          <w:rFonts w:ascii="Arial" w:cs="Arial" w:eastAsia="Arial" w:hAnsi="Arial"/>
          <w:sz w:val="17"/>
          <w:szCs w:val="17"/>
          <w:color w:val="000000"/>
        </w:rPr>
        <w:t>​</w:t>
      </w:r>
      <w:r>
        <w:rPr>
          <w:rFonts w:ascii="Arial" w:cs="Arial" w:eastAsia="Arial" w:hAnsi="Arial"/>
          <w:sz w:val="17"/>
          <w:szCs w:val="17"/>
          <w:color w:val="0000EE"/>
        </w:rPr>
        <w:t xml:space="preserve"> of American Depositary Shares</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Description</w:t>
      </w:r>
      <w:r>
        <w:rPr>
          <w:rFonts w:ascii="Arial" w:cs="Arial" w:eastAsia="Arial" w:hAnsi="Arial"/>
          <w:sz w:val="17"/>
          <w:szCs w:val="17"/>
          <w:color w:val="000000"/>
        </w:rPr>
        <w:t>​</w:t>
      </w:r>
      <w:r>
        <w:rPr>
          <w:rFonts w:ascii="Arial" w:cs="Arial" w:eastAsia="Arial" w:hAnsi="Arial"/>
          <w:sz w:val="17"/>
          <w:szCs w:val="17"/>
          <w:color w:val="0000EE"/>
        </w:rPr>
        <w:t xml:space="preserve">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-3175</wp:posOffset>
            </wp:positionV>
            <wp:extent cx="14287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287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30480</wp:posOffset>
            </wp:positionV>
            <wp:extent cx="521208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Description</w:t>
      </w:r>
      <w:r>
        <w:rPr>
          <w:rFonts w:ascii="Arial" w:cs="Arial" w:eastAsia="Arial" w:hAnsi="Arial"/>
          <w:sz w:val="17"/>
          <w:szCs w:val="17"/>
          <w:color w:val="000000"/>
        </w:rPr>
        <w:t>​</w:t>
      </w:r>
      <w:r>
        <w:rPr>
          <w:rFonts w:ascii="Arial" w:cs="Arial" w:eastAsia="Arial" w:hAnsi="Arial"/>
          <w:sz w:val="17"/>
          <w:szCs w:val="17"/>
          <w:color w:val="0000EE"/>
        </w:rPr>
        <w:t xml:space="preserve"> of Warrants</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Global</w:t>
      </w:r>
      <w:r>
        <w:rPr>
          <w:rFonts w:ascii="Arial" w:cs="Arial" w:eastAsia="Arial" w:hAnsi="Arial"/>
          <w:sz w:val="17"/>
          <w:szCs w:val="17"/>
          <w:color w:val="000000"/>
        </w:rPr>
        <w:t>​</w:t>
      </w:r>
      <w:r>
        <w:rPr>
          <w:rFonts w:ascii="Arial" w:cs="Arial" w:eastAsia="Arial" w:hAnsi="Arial"/>
          <w:sz w:val="17"/>
          <w:szCs w:val="17"/>
          <w:color w:val="0000EE"/>
        </w:rPr>
        <w:t xml:space="preser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-3175</wp:posOffset>
            </wp:positionV>
            <wp:extent cx="8197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1978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30480</wp:posOffset>
            </wp:positionV>
            <wp:extent cx="521208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Plan</w:t>
      </w:r>
      <w:r>
        <w:rPr>
          <w:rFonts w:ascii="Arial" w:cs="Arial" w:eastAsia="Arial" w:hAnsi="Arial"/>
          <w:sz w:val="17"/>
          <w:szCs w:val="17"/>
          <w:color w:val="000000"/>
        </w:rPr>
        <w:t>​</w:t>
      </w:r>
      <w:r>
        <w:rPr>
          <w:rFonts w:ascii="Arial" w:cs="Arial" w:eastAsia="Arial" w:hAnsi="Arial"/>
          <w:sz w:val="17"/>
          <w:szCs w:val="17"/>
          <w:color w:val="0000EE"/>
        </w:rPr>
        <w:t xml:space="preserve"> of Distribution</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Legal</w:t>
      </w:r>
      <w:r>
        <w:rPr>
          <w:rFonts w:ascii="Arial" w:cs="Arial" w:eastAsia="Arial" w:hAnsi="Arial"/>
          <w:sz w:val="17"/>
          <w:szCs w:val="17"/>
          <w:color w:val="000000"/>
        </w:rPr>
        <w:t>​</w:t>
      </w:r>
      <w:r>
        <w:rPr>
          <w:rFonts w:ascii="Arial" w:cs="Arial" w:eastAsia="Arial" w:hAnsi="Arial"/>
          <w:sz w:val="17"/>
          <w:szCs w:val="17"/>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-3175</wp:posOffset>
            </wp:positionV>
            <wp:extent cx="657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7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u w:val="single" w:color="auto"/>
          <w:color w:val="0000EE"/>
        </w:rPr>
        <w:t>S-1</w:t>
      </w:r>
      <w:r>
        <w:rPr>
          <w:rFonts w:ascii="Arial" w:cs="Arial" w:eastAsia="Arial" w:hAnsi="Arial"/>
          <w:sz w:val="17"/>
          <w:szCs w:val="17"/>
          <w:b w:val="1"/>
          <w:bCs w:val="1"/>
          <w:color w:val="auto"/>
        </w:rPr>
        <w:t>​</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u w:val="single" w:color="auto"/>
          <w:color w:val="0000EE"/>
        </w:rPr>
        <w:t>S-3</w:t>
      </w:r>
      <w:r>
        <w:rPr>
          <w:rFonts w:ascii="Arial" w:cs="Arial" w:eastAsia="Arial" w:hAnsi="Arial"/>
          <w:sz w:val="17"/>
          <w:szCs w:val="17"/>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u w:val="single" w:color="auto"/>
          <w:color w:val="0000EE"/>
        </w:rPr>
        <w:t>S-4</w:t>
      </w:r>
      <w:r>
        <w:rPr>
          <w:rFonts w:ascii="Arial" w:cs="Arial" w:eastAsia="Arial" w:hAnsi="Arial"/>
          <w:sz w:val="17"/>
          <w:szCs w:val="17"/>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u w:val="single" w:color="auto"/>
          <w:color w:val="0000EE"/>
        </w:rPr>
        <w:t>S-6</w:t>
      </w:r>
      <w:r>
        <w:rPr>
          <w:rFonts w:ascii="Arial" w:cs="Arial" w:eastAsia="Arial" w:hAnsi="Arial"/>
          <w:sz w:val="17"/>
          <w:szCs w:val="17"/>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u w:val="single" w:color="auto"/>
          <w:color w:val="0000EE"/>
        </w:rPr>
        <w:t>S-8</w:t>
      </w:r>
      <w:r>
        <w:rPr>
          <w:rFonts w:ascii="Arial" w:cs="Arial" w:eastAsia="Arial" w:hAnsi="Arial"/>
          <w:sz w:val="17"/>
          <w:szCs w:val="17"/>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u w:val="single" w:color="auto"/>
          <w:color w:val="0000EE"/>
        </w:rPr>
        <w:t>S-9</w:t>
      </w:r>
      <w:r>
        <w:rPr>
          <w:rFonts w:ascii="Arial" w:cs="Arial" w:eastAsia="Arial" w:hAnsi="Arial"/>
          <w:sz w:val="17"/>
          <w:szCs w:val="17"/>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u w:val="single" w:color="auto"/>
          <w:color w:val="0000EE"/>
        </w:rPr>
        <w:t>S-10</w:t>
      </w:r>
      <w:r>
        <w:rPr>
          <w:rFonts w:ascii="Arial" w:cs="Arial" w:eastAsia="Arial" w:hAnsi="Arial"/>
          <w:sz w:val="17"/>
          <w:szCs w:val="17"/>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u w:val="single" w:color="auto"/>
          <w:color w:val="0000EE"/>
        </w:rPr>
        <w:t>S-11</w:t>
      </w:r>
      <w:r>
        <w:rPr>
          <w:rFonts w:ascii="Arial" w:cs="Arial" w:eastAsia="Arial" w:hAnsi="Arial"/>
          <w:sz w:val="17"/>
          <w:szCs w:val="17"/>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u w:val="single" w:color="auto"/>
          <w:color w:val="0000EE"/>
        </w:rPr>
        <w:t>S-12</w:t>
      </w:r>
      <w:r>
        <w:rPr>
          <w:rFonts w:ascii="Arial" w:cs="Arial" w:eastAsia="Arial" w:hAnsi="Arial"/>
          <w:sz w:val="17"/>
          <w:szCs w:val="17"/>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u w:val="single" w:color="auto"/>
          <w:color w:val="0000EE"/>
        </w:rPr>
        <w:t>S-19</w:t>
      </w:r>
      <w:r>
        <w:rPr>
          <w:rFonts w:ascii="Arial" w:cs="Arial" w:eastAsia="Arial" w:hAnsi="Arial"/>
          <w:sz w:val="17"/>
          <w:szCs w:val="17"/>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u w:val="single" w:color="auto"/>
          <w:color w:val="0000EE"/>
        </w:rPr>
        <w:t>S-27</w:t>
      </w:r>
      <w:r>
        <w:rPr>
          <w:rFonts w:ascii="Arial" w:cs="Arial" w:eastAsia="Arial" w:hAnsi="Arial"/>
          <w:sz w:val="17"/>
          <w:szCs w:val="17"/>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u w:val="single" w:color="auto"/>
          <w:color w:val="0000EE"/>
        </w:rPr>
        <w:t>S-27</w:t>
      </w:r>
      <w:r>
        <w:rPr>
          <w:rFonts w:ascii="Arial" w:cs="Arial" w:eastAsia="Arial" w:hAnsi="Arial"/>
          <w:sz w:val="17"/>
          <w:szCs w:val="17"/>
          <w:b w:val="1"/>
          <w:bCs w:val="1"/>
          <w:color w:val="auto"/>
        </w:rPr>
        <w: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u w:val="single" w:color="auto"/>
          <w:color w:val="0000EE"/>
        </w:rPr>
        <w:t>S-28</w:t>
      </w:r>
      <w:r>
        <w:rPr>
          <w:rFonts w:ascii="Arial" w:cs="Arial" w:eastAsia="Arial" w:hAnsi="Arial"/>
          <w:sz w:val="17"/>
          <w:szCs w:val="17"/>
          <w:b w:val="1"/>
          <w:bCs w:val="1"/>
          <w:color w:val="auto"/>
        </w:rPr>
        <w:t>​</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32"/>
        </w:trPr>
        <w:tc>
          <w:tcPr>
            <w:tcW w:w="400" w:type="dxa"/>
            <w:vAlign w:val="bottom"/>
          </w:tcPr>
          <w:p>
            <w:pPr>
              <w:spacing w:after="0"/>
              <w:rPr>
                <w:sz w:val="20"/>
                <w:szCs w:val="20"/>
                <w:color w:val="auto"/>
              </w:rPr>
            </w:pPr>
            <w:r>
              <w:rPr>
                <w:rFonts w:ascii="Arial" w:cs="Arial" w:eastAsia="Arial" w:hAnsi="Arial"/>
                <w:sz w:val="17"/>
                <w:szCs w:val="17"/>
                <w:b w:val="1"/>
                <w:bCs w:val="1"/>
                <w:color w:val="auto"/>
              </w:rPr>
              <w:t>​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190"/>
        </w:trPr>
        <w:tc>
          <w:tcPr>
            <w:tcW w:w="400" w:type="dxa"/>
            <w:vAlign w:val="bottom"/>
          </w:tcPr>
          <w:p>
            <w:pPr>
              <w:spacing w:after="0" w:line="184" w:lineRule="exact"/>
              <w:rPr>
                <w:sz w:val="20"/>
                <w:szCs w:val="20"/>
                <w:color w:val="auto"/>
              </w:rPr>
            </w:pPr>
            <w:r>
              <w:rPr>
                <w:rFonts w:ascii="Arial" w:cs="Arial" w:eastAsia="Arial" w:hAnsi="Arial"/>
                <w:sz w:val="17"/>
                <w:szCs w:val="17"/>
                <w:color w:val="auto"/>
              </w:rPr>
              <w:t>​ ​​</w:t>
            </w:r>
          </w:p>
        </w:tc>
        <w:tc>
          <w:tcPr>
            <w:tcW w:w="80" w:type="dxa"/>
            <w:vAlign w:val="bottom"/>
          </w:tcPr>
          <w:p>
            <w:pPr>
              <w:spacing w:after="0"/>
              <w:rPr>
                <w:sz w:val="16"/>
                <w:szCs w:val="16"/>
                <w:color w:val="auto"/>
              </w:rPr>
            </w:pPr>
          </w:p>
        </w:tc>
        <w:tc>
          <w:tcPr>
            <w:tcW w:w="120" w:type="dxa"/>
            <w:vAlign w:val="bottom"/>
            <w:tcBorders>
              <w:bottom w:val="single" w:sz="8" w:color="0000EE"/>
            </w:tcBorders>
            <w:gridSpan w:val="2"/>
          </w:tcPr>
          <w:p>
            <w:pPr>
              <w:jc w:val="right"/>
              <w:spacing w:after="0" w:line="170" w:lineRule="exact"/>
              <w:rPr>
                <w:sz w:val="20"/>
                <w:szCs w:val="20"/>
                <w:color w:val="auto"/>
              </w:rPr>
            </w:pPr>
            <w:r>
              <w:rPr>
                <w:rFonts w:ascii="Arial" w:cs="Arial" w:eastAsia="Arial" w:hAnsi="Arial"/>
                <w:sz w:val="17"/>
                <w:szCs w:val="17"/>
                <w:color w:val="0000EE"/>
                <w:w w:val="84"/>
              </w:rPr>
              <w:t>1</w:t>
            </w:r>
          </w:p>
        </w:tc>
        <w:tc>
          <w:tcPr>
            <w:tcW w:w="40" w:type="dxa"/>
            <w:vAlign w:val="bottom"/>
          </w:tcPr>
          <w:p>
            <w:pPr>
              <w:spacing w:after="0" w:line="184" w:lineRule="exact"/>
              <w:rPr>
                <w:sz w:val="20"/>
                <w:szCs w:val="20"/>
                <w:color w:val="auto"/>
              </w:rPr>
            </w:pPr>
            <w:r>
              <w:rPr>
                <w:rFonts w:ascii="Arial" w:cs="Arial" w:eastAsia="Arial" w:hAnsi="Arial"/>
                <w:sz w:val="17"/>
                <w:szCs w:val="17"/>
                <w:b w:val="1"/>
                <w:bCs w:val="1"/>
                <w:color w:val="auto"/>
              </w:rPr>
              <w:t>​</w:t>
            </w:r>
          </w:p>
        </w:tc>
      </w:tr>
      <w:tr>
        <w:trPr>
          <w:trHeight w:val="237"/>
        </w:trPr>
        <w:tc>
          <w:tcPr>
            <w:tcW w:w="400" w:type="dxa"/>
            <w:vAlign w:val="bottom"/>
          </w:tcPr>
          <w:p>
            <w:pPr>
              <w:spacing w:after="0"/>
              <w:rPr>
                <w:sz w:val="20"/>
                <w:szCs w:val="20"/>
                <w:color w:val="auto"/>
              </w:rPr>
            </w:pPr>
            <w:r>
              <w:rPr>
                <w:rFonts w:ascii="Arial" w:cs="Arial" w:eastAsia="Arial" w:hAnsi="Arial"/>
                <w:sz w:val="17"/>
                <w:szCs w:val="17"/>
                <w:color w:val="auto"/>
              </w:rPr>
              <w:t>​ ​​</w:t>
            </w:r>
          </w:p>
        </w:tc>
        <w:tc>
          <w:tcPr>
            <w:tcW w:w="80" w:type="dxa"/>
            <w:vAlign w:val="bottom"/>
          </w:tcPr>
          <w:p>
            <w:pPr>
              <w:spacing w:after="0"/>
              <w:rPr>
                <w:sz w:val="20"/>
                <w:szCs w:val="20"/>
                <w:color w:val="auto"/>
              </w:rPr>
            </w:pPr>
          </w:p>
        </w:tc>
        <w:tc>
          <w:tcPr>
            <w:tcW w:w="120" w:type="dxa"/>
            <w:vAlign w:val="bottom"/>
            <w:tcBorders>
              <w:bottom w:val="single" w:sz="8" w:color="0000EE"/>
            </w:tcBorders>
            <w:gridSpan w:val="2"/>
          </w:tcPr>
          <w:p>
            <w:pPr>
              <w:jc w:val="right"/>
              <w:spacing w:after="0"/>
              <w:rPr>
                <w:sz w:val="20"/>
                <w:szCs w:val="20"/>
                <w:color w:val="auto"/>
              </w:rPr>
            </w:pPr>
            <w:r>
              <w:rPr>
                <w:rFonts w:ascii="Arial" w:cs="Arial" w:eastAsia="Arial" w:hAnsi="Arial"/>
                <w:sz w:val="17"/>
                <w:szCs w:val="17"/>
                <w:color w:val="0000EE"/>
                <w:w w:val="84"/>
              </w:rPr>
              <w:t>2</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37"/>
        </w:trPr>
        <w:tc>
          <w:tcPr>
            <w:tcW w:w="400" w:type="dxa"/>
            <w:vAlign w:val="bottom"/>
          </w:tcPr>
          <w:p>
            <w:pPr>
              <w:spacing w:after="0"/>
              <w:rPr>
                <w:sz w:val="20"/>
                <w:szCs w:val="20"/>
                <w:color w:val="auto"/>
              </w:rPr>
            </w:pPr>
            <w:r>
              <w:rPr>
                <w:rFonts w:ascii="Arial" w:cs="Arial" w:eastAsia="Arial" w:hAnsi="Arial"/>
                <w:sz w:val="17"/>
                <w:szCs w:val="17"/>
                <w:color w:val="auto"/>
              </w:rPr>
              <w:t>​ ​​</w:t>
            </w:r>
          </w:p>
        </w:tc>
        <w:tc>
          <w:tcPr>
            <w:tcW w:w="80" w:type="dxa"/>
            <w:vAlign w:val="bottom"/>
          </w:tcPr>
          <w:p>
            <w:pPr>
              <w:spacing w:after="0"/>
              <w:rPr>
                <w:sz w:val="20"/>
                <w:szCs w:val="20"/>
                <w:color w:val="auto"/>
              </w:rPr>
            </w:pPr>
          </w:p>
        </w:tc>
        <w:tc>
          <w:tcPr>
            <w:tcW w:w="120" w:type="dxa"/>
            <w:vAlign w:val="bottom"/>
            <w:tcBorders>
              <w:bottom w:val="single" w:sz="8" w:color="0000EE"/>
            </w:tcBorders>
            <w:gridSpan w:val="2"/>
          </w:tcPr>
          <w:p>
            <w:pPr>
              <w:jc w:val="right"/>
              <w:spacing w:after="0"/>
              <w:rPr>
                <w:sz w:val="20"/>
                <w:szCs w:val="20"/>
                <w:color w:val="auto"/>
              </w:rPr>
            </w:pPr>
            <w:r>
              <w:rPr>
                <w:rFonts w:ascii="Arial" w:cs="Arial" w:eastAsia="Arial" w:hAnsi="Arial"/>
                <w:sz w:val="17"/>
                <w:szCs w:val="17"/>
                <w:color w:val="0000EE"/>
                <w:w w:val="84"/>
              </w:rPr>
              <w:t>4</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37"/>
        </w:trPr>
        <w:tc>
          <w:tcPr>
            <w:tcW w:w="400" w:type="dxa"/>
            <w:vAlign w:val="bottom"/>
          </w:tcPr>
          <w:p>
            <w:pPr>
              <w:spacing w:after="0"/>
              <w:rPr>
                <w:sz w:val="20"/>
                <w:szCs w:val="20"/>
                <w:color w:val="auto"/>
              </w:rPr>
            </w:pPr>
            <w:r>
              <w:rPr>
                <w:rFonts w:ascii="Arial" w:cs="Arial" w:eastAsia="Arial" w:hAnsi="Arial"/>
                <w:sz w:val="17"/>
                <w:szCs w:val="17"/>
                <w:color w:val="auto"/>
              </w:rPr>
              <w:t>​ ​​</w:t>
            </w:r>
          </w:p>
        </w:tc>
        <w:tc>
          <w:tcPr>
            <w:tcW w:w="80" w:type="dxa"/>
            <w:vAlign w:val="bottom"/>
          </w:tcPr>
          <w:p>
            <w:pPr>
              <w:spacing w:after="0"/>
              <w:rPr>
                <w:sz w:val="20"/>
                <w:szCs w:val="20"/>
                <w:color w:val="auto"/>
              </w:rPr>
            </w:pPr>
          </w:p>
        </w:tc>
        <w:tc>
          <w:tcPr>
            <w:tcW w:w="120" w:type="dxa"/>
            <w:vAlign w:val="bottom"/>
            <w:tcBorders>
              <w:bottom w:val="single" w:sz="8" w:color="0000EE"/>
            </w:tcBorders>
            <w:gridSpan w:val="2"/>
          </w:tcPr>
          <w:p>
            <w:pPr>
              <w:jc w:val="right"/>
              <w:spacing w:after="0"/>
              <w:rPr>
                <w:sz w:val="20"/>
                <w:szCs w:val="20"/>
                <w:color w:val="auto"/>
              </w:rPr>
            </w:pPr>
            <w:r>
              <w:rPr>
                <w:rFonts w:ascii="Arial" w:cs="Arial" w:eastAsia="Arial" w:hAnsi="Arial"/>
                <w:sz w:val="17"/>
                <w:szCs w:val="17"/>
                <w:color w:val="0000EE"/>
                <w:w w:val="84"/>
              </w:rPr>
              <w:t>5</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36"/>
        </w:trPr>
        <w:tc>
          <w:tcPr>
            <w:tcW w:w="400" w:type="dxa"/>
            <w:vAlign w:val="bottom"/>
          </w:tcPr>
          <w:p>
            <w:pPr>
              <w:spacing w:after="0"/>
              <w:rPr>
                <w:sz w:val="20"/>
                <w:szCs w:val="20"/>
                <w:color w:val="auto"/>
              </w:rPr>
            </w:pPr>
            <w:r>
              <w:rPr>
                <w:rFonts w:ascii="Arial" w:cs="Arial" w:eastAsia="Arial" w:hAnsi="Arial"/>
                <w:sz w:val="17"/>
                <w:szCs w:val="17"/>
                <w:color w:val="auto"/>
              </w:rPr>
              <w:t>​ ​​</w:t>
            </w:r>
          </w:p>
        </w:tc>
        <w:tc>
          <w:tcPr>
            <w:tcW w:w="80" w:type="dxa"/>
            <w:vAlign w:val="bottom"/>
          </w:tcPr>
          <w:p>
            <w:pPr>
              <w:spacing w:after="0"/>
              <w:rPr>
                <w:sz w:val="20"/>
                <w:szCs w:val="20"/>
                <w:color w:val="auto"/>
              </w:rPr>
            </w:pPr>
          </w:p>
        </w:tc>
        <w:tc>
          <w:tcPr>
            <w:tcW w:w="120" w:type="dxa"/>
            <w:vAlign w:val="bottom"/>
            <w:tcBorders>
              <w:bottom w:val="single" w:sz="8" w:color="0000EE"/>
            </w:tcBorders>
            <w:gridSpan w:val="2"/>
          </w:tcPr>
          <w:p>
            <w:pPr>
              <w:jc w:val="right"/>
              <w:spacing w:after="0"/>
              <w:rPr>
                <w:sz w:val="20"/>
                <w:szCs w:val="20"/>
                <w:color w:val="auto"/>
              </w:rPr>
            </w:pPr>
            <w:r>
              <w:rPr>
                <w:rFonts w:ascii="Arial" w:cs="Arial" w:eastAsia="Arial" w:hAnsi="Arial"/>
                <w:sz w:val="17"/>
                <w:szCs w:val="17"/>
                <w:color w:val="0000EE"/>
                <w:w w:val="84"/>
              </w:rPr>
              <w:t>6</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37"/>
        </w:trPr>
        <w:tc>
          <w:tcPr>
            <w:tcW w:w="400" w:type="dxa"/>
            <w:vAlign w:val="bottom"/>
          </w:tcPr>
          <w:p>
            <w:pPr>
              <w:spacing w:after="0"/>
              <w:rPr>
                <w:sz w:val="20"/>
                <w:szCs w:val="20"/>
                <w:color w:val="auto"/>
              </w:rPr>
            </w:pPr>
            <w:r>
              <w:rPr>
                <w:rFonts w:ascii="Arial" w:cs="Arial" w:eastAsia="Arial" w:hAnsi="Arial"/>
                <w:sz w:val="17"/>
                <w:szCs w:val="17"/>
                <w:color w:val="auto"/>
              </w:rPr>
              <w:t>​ ​​</w:t>
            </w:r>
          </w:p>
        </w:tc>
        <w:tc>
          <w:tcPr>
            <w:tcW w:w="80" w:type="dxa"/>
            <w:vAlign w:val="bottom"/>
          </w:tcPr>
          <w:p>
            <w:pPr>
              <w:spacing w:after="0"/>
              <w:rPr>
                <w:sz w:val="20"/>
                <w:szCs w:val="20"/>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7"/>
                <w:szCs w:val="17"/>
                <w:color w:val="0000EE"/>
                <w:w w:val="84"/>
              </w:rPr>
              <w:t>7</w:t>
            </w:r>
          </w:p>
        </w:tc>
        <w:tc>
          <w:tcPr>
            <w:tcW w:w="6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36"/>
        </w:trPr>
        <w:tc>
          <w:tcPr>
            <w:tcW w:w="400" w:type="dxa"/>
            <w:vAlign w:val="bottom"/>
          </w:tcPr>
          <w:p>
            <w:pPr>
              <w:spacing w:after="0"/>
              <w:rPr>
                <w:sz w:val="20"/>
                <w:szCs w:val="20"/>
                <w:color w:val="auto"/>
              </w:rPr>
            </w:pPr>
            <w:r>
              <w:rPr>
                <w:rFonts w:ascii="Arial" w:cs="Arial" w:eastAsia="Arial" w:hAnsi="Arial"/>
                <w:sz w:val="17"/>
                <w:szCs w:val="17"/>
                <w:color w:val="auto"/>
              </w:rPr>
              <w:t>​ ​​</w:t>
            </w: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7"/>
                <w:szCs w:val="17"/>
                <w:color w:val="0000EE"/>
                <w:w w:val="84"/>
              </w:rPr>
              <w:t>23</w:t>
            </w:r>
          </w:p>
        </w:tc>
        <w:tc>
          <w:tcPr>
            <w:tcW w:w="6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37"/>
        </w:trPr>
        <w:tc>
          <w:tcPr>
            <w:tcW w:w="400" w:type="dxa"/>
            <w:vAlign w:val="bottom"/>
          </w:tcPr>
          <w:p>
            <w:pPr>
              <w:spacing w:after="0"/>
              <w:rPr>
                <w:sz w:val="20"/>
                <w:szCs w:val="20"/>
                <w:color w:val="auto"/>
              </w:rPr>
            </w:pPr>
            <w:r>
              <w:rPr>
                <w:rFonts w:ascii="Arial" w:cs="Arial" w:eastAsia="Arial" w:hAnsi="Arial"/>
                <w:sz w:val="17"/>
                <w:szCs w:val="17"/>
                <w:color w:val="auto"/>
              </w:rPr>
              <w:t>​ ​​</w:t>
            </w: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7"/>
                <w:szCs w:val="17"/>
                <w:color w:val="0000EE"/>
                <w:w w:val="84"/>
              </w:rPr>
              <w:t>33</w:t>
            </w:r>
          </w:p>
        </w:tc>
        <w:tc>
          <w:tcPr>
            <w:tcW w:w="6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36"/>
        </w:trPr>
        <w:tc>
          <w:tcPr>
            <w:tcW w:w="400" w:type="dxa"/>
            <w:vAlign w:val="bottom"/>
          </w:tcPr>
          <w:p>
            <w:pPr>
              <w:spacing w:after="0"/>
              <w:rPr>
                <w:sz w:val="20"/>
                <w:szCs w:val="20"/>
                <w:color w:val="auto"/>
              </w:rPr>
            </w:pPr>
            <w:r>
              <w:rPr>
                <w:rFonts w:ascii="Arial" w:cs="Arial" w:eastAsia="Arial" w:hAnsi="Arial"/>
                <w:sz w:val="17"/>
                <w:szCs w:val="17"/>
                <w:color w:val="auto"/>
              </w:rPr>
              <w:t>​ ​​</w:t>
            </w: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7"/>
                <w:szCs w:val="17"/>
                <w:color w:val="0000EE"/>
                <w:w w:val="84"/>
              </w:rPr>
              <w:t>40</w:t>
            </w:r>
          </w:p>
        </w:tc>
        <w:tc>
          <w:tcPr>
            <w:tcW w:w="6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37"/>
        </w:trPr>
        <w:tc>
          <w:tcPr>
            <w:tcW w:w="400" w:type="dxa"/>
            <w:vAlign w:val="bottom"/>
          </w:tcPr>
          <w:p>
            <w:pPr>
              <w:spacing w:after="0"/>
              <w:rPr>
                <w:sz w:val="20"/>
                <w:szCs w:val="20"/>
                <w:color w:val="auto"/>
              </w:rPr>
            </w:pPr>
            <w:r>
              <w:rPr>
                <w:rFonts w:ascii="Arial" w:cs="Arial" w:eastAsia="Arial" w:hAnsi="Arial"/>
                <w:sz w:val="17"/>
                <w:szCs w:val="17"/>
                <w:color w:val="auto"/>
              </w:rPr>
              <w:t>​ ​​</w:t>
            </w: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7"/>
                <w:szCs w:val="17"/>
                <w:color w:val="0000EE"/>
                <w:w w:val="84"/>
              </w:rPr>
              <w:t>42</w:t>
            </w:r>
          </w:p>
        </w:tc>
        <w:tc>
          <w:tcPr>
            <w:tcW w:w="6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36"/>
        </w:trPr>
        <w:tc>
          <w:tcPr>
            <w:tcW w:w="400" w:type="dxa"/>
            <w:vAlign w:val="bottom"/>
          </w:tcPr>
          <w:p>
            <w:pPr>
              <w:spacing w:after="0"/>
              <w:rPr>
                <w:sz w:val="20"/>
                <w:szCs w:val="20"/>
                <w:color w:val="auto"/>
              </w:rPr>
            </w:pPr>
            <w:r>
              <w:rPr>
                <w:rFonts w:ascii="Arial" w:cs="Arial" w:eastAsia="Arial" w:hAnsi="Arial"/>
                <w:sz w:val="17"/>
                <w:szCs w:val="17"/>
                <w:color w:val="auto"/>
              </w:rPr>
              <w:t>​ ​​</w:t>
            </w: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7"/>
                <w:szCs w:val="17"/>
                <w:color w:val="0000EE"/>
                <w:w w:val="84"/>
              </w:rPr>
              <w:t>46</w:t>
            </w:r>
          </w:p>
        </w:tc>
        <w:tc>
          <w:tcPr>
            <w:tcW w:w="6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37"/>
        </w:trPr>
        <w:tc>
          <w:tcPr>
            <w:tcW w:w="400" w:type="dxa"/>
            <w:vAlign w:val="bottom"/>
          </w:tcPr>
          <w:p>
            <w:pPr>
              <w:spacing w:after="0"/>
              <w:rPr>
                <w:sz w:val="20"/>
                <w:szCs w:val="20"/>
                <w:color w:val="auto"/>
              </w:rPr>
            </w:pPr>
            <w:r>
              <w:rPr>
                <w:rFonts w:ascii="Arial" w:cs="Arial" w:eastAsia="Arial" w:hAnsi="Arial"/>
                <w:sz w:val="17"/>
                <w:szCs w:val="17"/>
                <w:color w:val="auto"/>
              </w:rPr>
              <w:t>​ ​​</w:t>
            </w: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7"/>
                <w:szCs w:val="17"/>
                <w:color w:val="0000EE"/>
                <w:w w:val="84"/>
              </w:rPr>
              <w:t>48</w:t>
            </w:r>
          </w:p>
        </w:tc>
        <w:tc>
          <w:tcPr>
            <w:tcW w:w="6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bl>
    <w:p>
      <w:pPr>
        <w:spacing w:after="0" w:line="48" w:lineRule="exact"/>
        <w:rPr>
          <w:sz w:val="20"/>
          <w:szCs w:val="20"/>
          <w:color w:val="auto"/>
        </w:rPr>
      </w:pPr>
    </w:p>
    <w:p>
      <w:pPr>
        <w:sectPr>
          <w:pgSz w:w="11900" w:h="16838" w:orient="portrait"/>
          <w:cols w:equalWidth="0" w:num="2">
            <w:col w:w="8100" w:space="720"/>
            <w:col w:w="1059"/>
          </w:cols>
          <w:pgMar w:left="580" w:top="114"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95"/>
        </w:trPr>
        <w:tc>
          <w:tcPr>
            <w:tcW w:w="58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7"/>
                <w:szCs w:val="17"/>
                <w:color w:val="0000EE"/>
                <w:w w:val="97"/>
              </w:rPr>
              <w:t>Experts</w:t>
            </w:r>
          </w:p>
        </w:tc>
        <w:tc>
          <w:tcPr>
            <w:tcW w:w="74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0000EE"/>
            </w:tcBorders>
            <w:shd w:val="clear" w:color="auto" w:fill="CCEEFF"/>
          </w:tcPr>
          <w:p>
            <w:pPr>
              <w:jc w:val="right"/>
              <w:spacing w:after="0"/>
              <w:rPr>
                <w:sz w:val="20"/>
                <w:szCs w:val="20"/>
                <w:color w:val="auto"/>
              </w:rPr>
            </w:pPr>
            <w:r>
              <w:rPr>
                <w:rFonts w:ascii="Arial" w:cs="Arial" w:eastAsia="Arial" w:hAnsi="Arial"/>
                <w:sz w:val="17"/>
                <w:szCs w:val="17"/>
                <w:color w:val="0000EE"/>
                <w:w w:val="84"/>
              </w:rPr>
              <w:t>48</w:t>
            </w:r>
          </w:p>
        </w:tc>
        <w:tc>
          <w:tcPr>
            <w:tcW w:w="60" w:type="dxa"/>
            <w:vAlign w:val="bottom"/>
          </w:tcPr>
          <w:p>
            <w:pPr>
              <w:spacing w:after="0"/>
              <w:rPr>
                <w:sz w:val="16"/>
                <w:szCs w:val="16"/>
                <w:color w:val="auto"/>
              </w:rPr>
            </w:pPr>
          </w:p>
        </w:tc>
      </w:tr>
      <w:tr>
        <w:trPr>
          <w:trHeight w:val="223"/>
        </w:trPr>
        <w:tc>
          <w:tcPr>
            <w:tcW w:w="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 ​​</w:t>
            </w:r>
          </w:p>
        </w:tc>
        <w:tc>
          <w:tcPr>
            <w:tcW w:w="180" w:type="dxa"/>
            <w:vAlign w:val="bottom"/>
            <w:tcBorders>
              <w:bottom w:val="single" w:sz="8" w:color="auto"/>
            </w:tcBorders>
            <w:shd w:val="clear" w:color="auto" w:fill="CCEEFF"/>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7"/>
                <w:szCs w:val="17"/>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ABOUT THIS PROSPECTUS SUPPLEMENT</w:t>
      </w:r>
    </w:p>
    <w:p>
      <w:pPr>
        <w:spacing w:after="0" w:line="343" w:lineRule="exact"/>
        <w:rPr>
          <w:sz w:val="20"/>
          <w:szCs w:val="20"/>
          <w:color w:val="auto"/>
        </w:rPr>
      </w:pPr>
    </w:p>
    <w:p>
      <w:pPr>
        <w:ind w:left="1260" w:right="439"/>
        <w:spacing w:after="0" w:line="256" w:lineRule="auto"/>
        <w:rPr>
          <w:sz w:val="20"/>
          <w:szCs w:val="20"/>
          <w:color w:val="auto"/>
        </w:rPr>
      </w:pPr>
      <w:r>
        <w:rPr>
          <w:rFonts w:ascii="Arial" w:cs="Arial" w:eastAsia="Arial" w:hAnsi="Arial"/>
          <w:sz w:val="17"/>
          <w:szCs w:val="17"/>
          <w:color w:val="auto"/>
        </w:rPr>
        <w:t xml:space="preserve">This document is in two parts. The first part is this prospectus supplement, which describes the terms of the offering of the securities offered hereby and also adds to and updates the information contained in the accompanying prospectus and the documents incorporated by reference into this prospectus supplement and the accompanying prospectus. The second part is the accompanying prospectus, including the documents incorporated by reference, which provides more general information. Generally, when we refer to this prospectus, we are referring to both parts of this document combined. Before you invest, you should carefully read this prospectus supplement, the accompanying prospectus, all information incorporated by reference herein and therein, as well as the additional information described under “Where You Can Find More Information; Incorporation by Reference” on page </w:t>
      </w:r>
      <w:r>
        <w:rPr>
          <w:rFonts w:ascii="Arial" w:cs="Arial" w:eastAsia="Arial" w:hAnsi="Arial"/>
          <w:sz w:val="17"/>
          <w:szCs w:val="17"/>
          <w:u w:val="single" w:color="auto"/>
          <w:color w:val="0000EE"/>
        </w:rPr>
        <w:t>S-28</w:t>
      </w:r>
      <w:r>
        <w:rPr>
          <w:rFonts w:ascii="Arial" w:cs="Arial" w:eastAsia="Arial" w:hAnsi="Arial"/>
          <w:sz w:val="17"/>
          <w:szCs w:val="17"/>
          <w:color w:val="auto"/>
        </w:rPr>
        <w:t xml:space="preserve"> of this prospectus supplement. These documents contain information you should consider when making your investment decision. This prospectus supplement may add, update or change information contained in the accompanying prospectus. To the extent that there is any conflict between the information contained in this prospectus supplement, on the one hand, and the information contained in the accompanying prospectus or any document incorporated by reference herein or therein, on the other hand, you should rely on the information in this prospectus supplement or any free writing prospectus.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08" w:lineRule="exact"/>
        <w:rPr>
          <w:sz w:val="20"/>
          <w:szCs w:val="20"/>
          <w:color w:val="auto"/>
        </w:rPr>
      </w:pPr>
    </w:p>
    <w:p>
      <w:pPr>
        <w:ind w:left="1260" w:right="559"/>
        <w:spacing w:after="0" w:line="260" w:lineRule="auto"/>
        <w:rPr>
          <w:sz w:val="20"/>
          <w:szCs w:val="20"/>
          <w:color w:val="auto"/>
        </w:rPr>
      </w:pPr>
      <w:r>
        <w:rPr>
          <w:rFonts w:ascii="Arial" w:cs="Arial" w:eastAsia="Arial" w:hAnsi="Arial"/>
          <w:sz w:val="17"/>
          <w:szCs w:val="17"/>
          <w:color w:val="auto"/>
        </w:rPr>
        <w:t>This prospectus supplement and the accompanying prospectus are part of a registration statement that we filed with the SEC utilizing a “shelf” registration process. Under this shelf registration process, we may offer from time to time various securities, including the ADSs that we are offering under this prospectus supplement and the accompanying prospectus. Such registration statement also includes exhibits that provide more detail on the matters discussed in this prospectus supplement and the accompanying prospectus. You should read this prospectus supplement, the accompanying prospectus, including the information incorporated by reference, the exhibits filed with the SEC, and any free writing prospectus that we have authorized for use in connection with this offering, in their entirety before making an investment decision.</w:t>
      </w:r>
    </w:p>
    <w:p>
      <w:pPr>
        <w:spacing w:after="0" w:line="106" w:lineRule="exact"/>
        <w:rPr>
          <w:sz w:val="20"/>
          <w:szCs w:val="20"/>
          <w:color w:val="auto"/>
        </w:rPr>
      </w:pPr>
    </w:p>
    <w:p>
      <w:pPr>
        <w:ind w:left="1260" w:right="459"/>
        <w:spacing w:after="0" w:line="257" w:lineRule="auto"/>
        <w:rPr>
          <w:sz w:val="20"/>
          <w:szCs w:val="20"/>
          <w:color w:val="auto"/>
        </w:rPr>
      </w:pPr>
      <w:r>
        <w:rPr>
          <w:rFonts w:ascii="Arial" w:cs="Arial" w:eastAsia="Arial" w:hAnsi="Arial"/>
          <w:sz w:val="17"/>
          <w:szCs w:val="17"/>
          <w:color w:val="auto"/>
        </w:rPr>
        <w:t xml:space="preserve">You should rely only on the information contained in this prospectus supplement, the accompanying prospectus or incorporated herein or therein by reference and in any free writing prospectus that we have authorized for use in connection with this offering. We have not, and the underwriters have not, authorized anyone to provide you with information that is different. We and the underwriters are offering to sell, and seeking offers to buy, the securities offered hereby only in jurisdictions where offers and sales are permitted. The information contained, or incorporated by reference, in this prospectus supplement and the accompanying prospectus is accurate only as of the respective dates thereof, regardless of the time of delivery of those respective documents, or of any sale of our ADSs. It is important for you to read and consider all information contained in this prospectus supplement and the accompanying prospectus, including the documents we have referred you to in the section titled “Where You Can Find More Information; Incorporation by Reference” on page </w:t>
      </w:r>
      <w:r>
        <w:rPr>
          <w:rFonts w:ascii="Arial" w:cs="Arial" w:eastAsia="Arial" w:hAnsi="Arial"/>
          <w:sz w:val="17"/>
          <w:szCs w:val="17"/>
          <w:u w:val="single" w:color="auto"/>
          <w:color w:val="0000EE"/>
        </w:rPr>
        <w:t>S-28</w:t>
      </w:r>
      <w:r>
        <w:rPr>
          <w:rFonts w:ascii="Arial" w:cs="Arial" w:eastAsia="Arial" w:hAnsi="Arial"/>
          <w:sz w:val="17"/>
          <w:szCs w:val="17"/>
          <w:color w:val="auto"/>
        </w:rPr>
        <w:t>.</w:t>
      </w:r>
    </w:p>
    <w:p>
      <w:pPr>
        <w:spacing w:after="0" w:line="114" w:lineRule="exact"/>
        <w:rPr>
          <w:sz w:val="20"/>
          <w:szCs w:val="20"/>
          <w:color w:val="auto"/>
        </w:rPr>
      </w:pPr>
    </w:p>
    <w:p>
      <w:pPr>
        <w:ind w:left="1260" w:right="479"/>
        <w:spacing w:after="0" w:line="260" w:lineRule="auto"/>
        <w:rPr>
          <w:sz w:val="20"/>
          <w:szCs w:val="20"/>
          <w:color w:val="auto"/>
        </w:rPr>
      </w:pPr>
      <w:r>
        <w:rPr>
          <w:rFonts w:ascii="Arial" w:cs="Arial" w:eastAsia="Arial" w:hAnsi="Arial"/>
          <w:sz w:val="17"/>
          <w:szCs w:val="17"/>
          <w:color w:val="auto"/>
        </w:rPr>
        <w:t>The industry and market data contained in or incorporated by reference into this prospectus supplement are based on independent industry publications, reports by market research firms or other published independent sources. In addition, the market and industry data and forecasts included or incorporated by reference in this prospectus supplement may involve estimates, assumptions and other risks and uncertainties and are subject to change based on various factors, including those discussed under the heading “Risk Factors” contained in this prospectus supplement, the accompanying prospectus and any applicable free writing prospectus, and under similar headings in other documents that are incorporated by reference into this prospectus supplement. Accordingly, investors should not place undue reliance on this information.</w:t>
      </w:r>
    </w:p>
    <w:p>
      <w:pPr>
        <w:spacing w:after="0" w:line="106" w:lineRule="exact"/>
        <w:rPr>
          <w:sz w:val="20"/>
          <w:szCs w:val="20"/>
          <w:color w:val="auto"/>
        </w:rPr>
      </w:pPr>
    </w:p>
    <w:p>
      <w:pPr>
        <w:ind w:left="1260" w:right="559"/>
        <w:spacing w:after="0" w:line="270" w:lineRule="auto"/>
        <w:rPr>
          <w:sz w:val="20"/>
          <w:szCs w:val="20"/>
          <w:color w:val="auto"/>
        </w:rPr>
      </w:pPr>
      <w:r>
        <w:rPr>
          <w:rFonts w:ascii="Arial" w:cs="Arial" w:eastAsia="Arial" w:hAnsi="Arial"/>
          <w:sz w:val="17"/>
          <w:szCs w:val="17"/>
          <w:color w:val="auto"/>
        </w:rPr>
        <w:t>When we refer to “Verona,” “we,” “our,” “us” and the “Company” in this prospectus supplement, we mean Verona Pharma plc and its consolidated subsidiary, unless otherwise specified. When we refer to “you,” we mean the potential holders of the applicable series of securities.</w:t>
      </w:r>
    </w:p>
    <w:p>
      <w:pPr>
        <w:spacing w:after="0" w:line="110" w:lineRule="exact"/>
        <w:rPr>
          <w:sz w:val="20"/>
          <w:szCs w:val="20"/>
          <w:color w:val="auto"/>
        </w:rPr>
      </w:pPr>
    </w:p>
    <w:p>
      <w:pPr>
        <w:ind w:left="1260" w:right="439"/>
        <w:spacing w:after="0" w:line="250" w:lineRule="auto"/>
        <w:rPr>
          <w:sz w:val="20"/>
          <w:szCs w:val="20"/>
          <w:color w:val="auto"/>
        </w:rPr>
      </w:pPr>
      <w:r>
        <w:rPr>
          <w:rFonts w:ascii="Arial" w:cs="Arial" w:eastAsia="Arial" w:hAnsi="Arial"/>
          <w:sz w:val="17"/>
          <w:szCs w:val="17"/>
          <w:color w:val="auto"/>
        </w:rPr>
        <w:t xml:space="preserve">Solely for convenience, any trademarks, service marks, logos and trade names referred to in this prospectus supplement, the accompanying base prospectus and the documents incorporated by reference herein or therein, are without the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 symbols, but such references are not intended to indicate, in any way, that we will not assert, to the fullest extent under applicable law, our rights. This prospectus supplement, the accompanying</w:t>
      </w:r>
    </w:p>
    <w:p>
      <w:pPr>
        <w:sectPr>
          <w:pgSz w:w="11900" w:h="16838" w:orient="portrait"/>
          <w:cols w:equalWidth="0" w:num="1">
            <w:col w:w="9879"/>
          </w:cols>
          <w:pgMar w:left="580" w:top="114"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60" w:right="499"/>
        <w:spacing w:after="0" w:line="272" w:lineRule="auto"/>
        <w:rPr>
          <w:sz w:val="20"/>
          <w:szCs w:val="20"/>
          <w:color w:val="auto"/>
        </w:rPr>
      </w:pPr>
      <w:r>
        <w:rPr>
          <w:rFonts w:ascii="Arial" w:cs="Arial" w:eastAsia="Arial" w:hAnsi="Arial"/>
          <w:sz w:val="17"/>
          <w:szCs w:val="17"/>
          <w:color w:val="auto"/>
        </w:rPr>
        <w:t>prospectus and the documents incorporated by reference herein and therein, may contain additional trademarks, service marks and trade names of others, which are the property of their respective owners. All trademarks, service marks and trade names appearing in this prospectus supplement, the accompanying prospectus and the documents incorporated by reference herein and therein,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57" w:lineRule="exact"/>
        <w:rPr>
          <w:sz w:val="20"/>
          <w:szCs w:val="20"/>
          <w:color w:val="auto"/>
        </w:rPr>
      </w:pPr>
    </w:p>
    <w:p>
      <w:pPr>
        <w:ind w:left="1260" w:right="439"/>
        <w:spacing w:after="0" w:line="266"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herein and therein and any free writing prospectus that we have authorized for use in connection with this offering may contain forward-looking statements. All statements other than statements of historical facts contained in this prospectus supplement, the accompanying prospectus and the documents incorporated by reference herein and therein and any free writing prospectus, including our future results of operations and financial position, business strategy and plans and objectives of management for future operations, the development of ensifentrine or any other product candidates, including statements regarding the expected initiation, timing, progress and availability of data from our clinical trials, potential regulatory approvals and commercialization, research and development costs, timing and likelihood of success, potential collaborations, the duration of our patent portfolio, our estimates regarding expenses, future revenues, capital requirements, debt service obligations and our need for additional financing, the funding we expect to become available under our credit facility and from cash receipts from U.K. tax credits, the sufficiency of our cash and cash equivalents to fund operations, and our intended use of proceeds from this offering are forward-looking statements. We intend the forward-looking statements contained in this prospectus supplement to be covered by the safe harbor provisions for forward-looking statements contained in Section 27A of the Securities Act of 1933, as amended, or the Securities Act, and Section 21E of the Securities Exchange Act of 1934, as amended, or the Exchange Act.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supplement, the accompanying prospectus and the documents incorporated by reference herein and therein and any free writing prospectus may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18" w:lineRule="exact"/>
        <w:rPr>
          <w:sz w:val="20"/>
          <w:szCs w:val="20"/>
          <w:color w:val="auto"/>
        </w:rPr>
      </w:pPr>
    </w:p>
    <w:p>
      <w:pPr>
        <w:ind w:left="1260" w:right="419"/>
        <w:spacing w:after="0" w:line="267"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supplement, the accompanying prospectus and the documents incorporated by reference herein and therein and any free writing prospectus are only predictions. We have based these forward-looking statements largely on our expectations and projections about future events and financial trends that we believe may affect our business, financial condition and results of operations. These forward-looking statements speak only as of the date of this prospectus supplement, the accompanying prospectus and the documents incorporated by reference herein and therein and any free writing prospectus, as applicable, and are subject to a number of risks, uncertainties and assumptions, including those described under “Risk Factors” in this prospectus supplement and in documents incorporated by reference herein.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in this prospectus supplement, the accompanying prospectus and the documents incorporated by reference herein and therein and any free writing prospectus,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5" w:name="page6"/>
    <w:bookmarkEnd w:id="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349250</wp:posOffset>
            </wp:positionV>
            <wp:extent cx="5516245" cy="7967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PROSPECTUS SUPPLEMENT SUMMARY</w:t>
      </w:r>
    </w:p>
    <w:p>
      <w:pPr>
        <w:spacing w:after="0" w:line="345" w:lineRule="exact"/>
        <w:rPr>
          <w:sz w:val="20"/>
          <w:szCs w:val="20"/>
          <w:color w:val="auto"/>
        </w:rPr>
      </w:pPr>
    </w:p>
    <w:p>
      <w:pPr>
        <w:ind w:left="1280" w:right="399"/>
        <w:spacing w:after="0" w:line="270" w:lineRule="auto"/>
        <w:rPr>
          <w:sz w:val="20"/>
          <w:szCs w:val="20"/>
          <w:color w:val="auto"/>
        </w:rPr>
      </w:pPr>
      <w:r>
        <w:rPr>
          <w:rFonts w:ascii="Arial" w:cs="Arial" w:eastAsia="Arial" w:hAnsi="Arial"/>
          <w:sz w:val="17"/>
          <w:szCs w:val="17"/>
          <w:i w:val="1"/>
          <w:iCs w:val="1"/>
          <w:color w:val="auto"/>
        </w:rPr>
        <w:t xml:space="preserve">This summary highlights selected information about us, this offering and information appearing elsewhere in this prospectus supplement, the accompanying prospectus and the documents incorporated by reference herein and therein and any free writing prospectus that we have authorized for use in connection with this offering. This summary is not complete and does not contain all of the information you should consider before investing in our securities. Before making an investment decision, to fully understand this offering and its consequences to you, you should carefully read this entire prospectus supplement and the accompanying prospectus, including the information set forth under “Risk Factors” beginning on page </w:t>
      </w:r>
      <w:r>
        <w:rPr>
          <w:rFonts w:ascii="Arial" w:cs="Arial" w:eastAsia="Arial" w:hAnsi="Arial"/>
          <w:sz w:val="17"/>
          <w:szCs w:val="17"/>
          <w:i w:val="1"/>
          <w:iCs w:val="1"/>
          <w:u w:val="single" w:color="auto"/>
          <w:color w:val="0000EE"/>
        </w:rPr>
        <w:t>S-8</w:t>
      </w:r>
      <w:r>
        <w:rPr>
          <w:rFonts w:ascii="Arial" w:cs="Arial" w:eastAsia="Arial" w:hAnsi="Arial"/>
          <w:sz w:val="17"/>
          <w:szCs w:val="17"/>
          <w:i w:val="1"/>
          <w:iCs w:val="1"/>
          <w:color w:val="auto"/>
        </w:rPr>
        <w:t xml:space="preserve"> of this prospectus supplement and the financial statements and related notes and the other information that we incorporate by reference into this prospectus supplement.</w:t>
      </w:r>
    </w:p>
    <w:p>
      <w:pPr>
        <w:spacing w:after="0" w:line="167" w:lineRule="exact"/>
        <w:rPr>
          <w:sz w:val="20"/>
          <w:szCs w:val="20"/>
          <w:color w:val="auto"/>
        </w:rPr>
      </w:pPr>
    </w:p>
    <w:p>
      <w:pPr>
        <w:ind w:left="1280"/>
        <w:spacing w:after="0"/>
        <w:rPr>
          <w:sz w:val="20"/>
          <w:szCs w:val="20"/>
          <w:color w:val="auto"/>
        </w:rPr>
      </w:pPr>
      <w:r>
        <w:rPr>
          <w:rFonts w:ascii="Arial" w:cs="Arial" w:eastAsia="Arial" w:hAnsi="Arial"/>
          <w:sz w:val="17"/>
          <w:szCs w:val="17"/>
          <w:b w:val="1"/>
          <w:bCs w:val="1"/>
          <w:i w:val="1"/>
          <w:iCs w:val="1"/>
          <w:color w:val="auto"/>
        </w:rPr>
        <w:t>Our Company</w:t>
      </w:r>
    </w:p>
    <w:p>
      <w:pPr>
        <w:spacing w:after="0" w:line="59" w:lineRule="exact"/>
        <w:rPr>
          <w:sz w:val="20"/>
          <w:szCs w:val="20"/>
          <w:color w:val="auto"/>
        </w:rPr>
      </w:pPr>
    </w:p>
    <w:p>
      <w:pPr>
        <w:ind w:left="1280" w:right="419"/>
        <w:spacing w:after="0" w:line="271" w:lineRule="auto"/>
        <w:rPr>
          <w:sz w:val="20"/>
          <w:szCs w:val="20"/>
          <w:color w:val="auto"/>
        </w:rPr>
      </w:pPr>
      <w:r>
        <w:rPr>
          <w:rFonts w:ascii="Arial" w:cs="Arial" w:eastAsia="Arial" w:hAnsi="Arial"/>
          <w:sz w:val="17"/>
          <w:szCs w:val="17"/>
          <w:color w:val="auto"/>
        </w:rPr>
        <w:t>We are a clinical-stage biopharmaceutical company focused on developing and commercializing innovative therapeutics for the treatment of respiratory diseases with significant unmet medical need. Our product candidate, ensifentrine, is an investigational, potential first-in-class, inhaled, dual inhibitor of the enzymes phosphodiesterase 3 and 4, which is designed to act as both a bronchodilator and an anti-inflammatory agent. In the third quarter of 2020, we commenced our Phase 3 ENHANCE (Ensifentrine as a Novel inHAled Nebulized COPD thErapy) trials and, if approved, we intend to commercialize ensifentrine for the maintenance treatment of chronic obstructive pulmonary disease, or COPD, for the nebulized formulation in the United States.</w:t>
      </w:r>
    </w:p>
    <w:p>
      <w:pPr>
        <w:spacing w:after="0" w:line="167" w:lineRule="exact"/>
        <w:rPr>
          <w:sz w:val="20"/>
          <w:szCs w:val="20"/>
          <w:color w:val="auto"/>
        </w:rPr>
      </w:pPr>
    </w:p>
    <w:p>
      <w:pPr>
        <w:ind w:left="1280"/>
        <w:spacing w:after="0"/>
        <w:rPr>
          <w:sz w:val="20"/>
          <w:szCs w:val="20"/>
          <w:color w:val="auto"/>
        </w:rPr>
      </w:pPr>
      <w:r>
        <w:rPr>
          <w:rFonts w:ascii="Arial" w:cs="Arial" w:eastAsia="Arial" w:hAnsi="Arial"/>
          <w:sz w:val="17"/>
          <w:szCs w:val="17"/>
          <w:b w:val="1"/>
          <w:bCs w:val="1"/>
          <w:i w:val="1"/>
          <w:iCs w:val="1"/>
          <w:color w:val="auto"/>
        </w:rPr>
        <w:t>Recent Developments</w:t>
      </w:r>
    </w:p>
    <w:p>
      <w:pPr>
        <w:spacing w:after="0" w:line="59" w:lineRule="exact"/>
        <w:rPr>
          <w:sz w:val="20"/>
          <w:szCs w:val="20"/>
          <w:color w:val="auto"/>
        </w:rPr>
      </w:pPr>
    </w:p>
    <w:p>
      <w:pPr>
        <w:ind w:left="1280" w:right="539"/>
        <w:spacing w:after="0" w:line="308" w:lineRule="auto"/>
        <w:rPr>
          <w:sz w:val="20"/>
          <w:szCs w:val="20"/>
          <w:color w:val="auto"/>
        </w:rPr>
      </w:pPr>
      <w:r>
        <w:rPr>
          <w:rFonts w:ascii="Arial" w:cs="Arial" w:eastAsia="Arial" w:hAnsi="Arial"/>
          <w:sz w:val="17"/>
          <w:szCs w:val="17"/>
          <w:color w:val="auto"/>
        </w:rPr>
        <w:t>On August 9, 2022, we announced the following top-line results from the Phase 3 ENHANCE-2 clinical trial evaluating nebulized ensifentrine for the maintenance treatment of COPD:</w:t>
      </w:r>
    </w:p>
    <w:p>
      <w:pPr>
        <w:spacing w:after="0" w:line="9" w:lineRule="exact"/>
        <w:rPr>
          <w:sz w:val="20"/>
          <w:szCs w:val="20"/>
          <w:color w:val="auto"/>
        </w:rPr>
      </w:pPr>
    </w:p>
    <w:p>
      <w:pPr>
        <w:ind w:left="1860" w:hanging="222"/>
        <w:spacing w:after="0"/>
        <w:tabs>
          <w:tab w:leader="none" w:pos="18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Study population (n=789)</w:t>
      </w:r>
      <w:r>
        <w:rPr>
          <w:rFonts w:ascii="Arial" w:cs="Arial" w:eastAsia="Arial" w:hAnsi="Arial"/>
          <w:sz w:val="17"/>
          <w:szCs w:val="17"/>
          <w:color w:val="auto"/>
        </w:rPr>
        <w:t>:</w:t>
      </w:r>
    </w:p>
    <w:p>
      <w:pPr>
        <w:spacing w:after="0" w:line="90" w:lineRule="exact"/>
        <w:rPr>
          <w:rFonts w:ascii="Arial" w:cs="Arial" w:eastAsia="Arial" w:hAnsi="Arial"/>
          <w:sz w:val="17"/>
          <w:szCs w:val="17"/>
          <w:color w:val="auto"/>
        </w:rPr>
      </w:pPr>
    </w:p>
    <w:p>
      <w:pPr>
        <w:ind w:left="2220" w:right="899" w:hanging="222"/>
        <w:spacing w:after="0" w:line="306" w:lineRule="auto"/>
        <w:tabs>
          <w:tab w:leader="none" w:pos="2220" w:val="left"/>
        </w:tabs>
        <w:numPr>
          <w:ilvl w:val="1"/>
          <w:numId w:val="2"/>
        </w:numPr>
        <w:rPr>
          <w:rFonts w:ascii="Arial" w:cs="Arial" w:eastAsia="Arial" w:hAnsi="Arial"/>
          <w:sz w:val="17"/>
          <w:szCs w:val="17"/>
          <w:color w:val="auto"/>
        </w:rPr>
      </w:pPr>
      <w:r>
        <w:rPr>
          <w:rFonts w:ascii="Arial" w:cs="Arial" w:eastAsia="Arial" w:hAnsi="Arial"/>
          <w:sz w:val="17"/>
          <w:szCs w:val="17"/>
          <w:color w:val="auto"/>
        </w:rPr>
        <w:t>Subject demographics and disease characteristics were well balanced between treatment groups.</w:t>
      </w:r>
    </w:p>
    <w:p>
      <w:pPr>
        <w:spacing w:after="0" w:line="1" w:lineRule="exact"/>
        <w:rPr>
          <w:rFonts w:ascii="Arial" w:cs="Arial" w:eastAsia="Arial" w:hAnsi="Arial"/>
          <w:sz w:val="17"/>
          <w:szCs w:val="17"/>
          <w:color w:val="auto"/>
        </w:rPr>
      </w:pPr>
    </w:p>
    <w:p>
      <w:pPr>
        <w:ind w:left="2220" w:right="459" w:hanging="222"/>
        <w:spacing w:after="0" w:line="271" w:lineRule="auto"/>
        <w:tabs>
          <w:tab w:leader="none" w:pos="2220" w:val="left"/>
        </w:tabs>
        <w:numPr>
          <w:ilvl w:val="1"/>
          <w:numId w:val="2"/>
        </w:numPr>
        <w:rPr>
          <w:rFonts w:ascii="Arial" w:cs="Arial" w:eastAsia="Arial" w:hAnsi="Arial"/>
          <w:sz w:val="17"/>
          <w:szCs w:val="17"/>
          <w:color w:val="auto"/>
        </w:rPr>
      </w:pPr>
      <w:r>
        <w:rPr>
          <w:rFonts w:ascii="Arial" w:cs="Arial" w:eastAsia="Arial" w:hAnsi="Arial"/>
          <w:sz w:val="17"/>
          <w:szCs w:val="17"/>
          <w:color w:val="auto"/>
        </w:rPr>
        <w:t>Approximately 52% of subjects received background COPD therapy, either a long-acting muscarinic antagonist, or LAMA, or a long-acting beta-agonist, or LABA. Additionally, 15% of all subjects received inhaled corticosteroids, or ICS, with concomitant LAMA or LABA.</w:t>
      </w:r>
    </w:p>
    <w:p>
      <w:pPr>
        <w:ind w:left="1860" w:hanging="222"/>
        <w:spacing w:after="0"/>
        <w:tabs>
          <w:tab w:leader="none" w:pos="18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Primary endpoint met (FEV</w:t>
      </w:r>
      <w:r>
        <w:rPr>
          <w:rFonts w:ascii="Arial" w:cs="Arial" w:eastAsia="Arial" w:hAnsi="Arial"/>
          <w:sz w:val="25"/>
          <w:szCs w:val="25"/>
          <w:b w:val="1"/>
          <w:bCs w:val="1"/>
          <w:color w:val="auto"/>
          <w:vertAlign w:val="subscript"/>
        </w:rPr>
        <w:t>1</w:t>
      </w:r>
      <w:r>
        <w:rPr>
          <w:rFonts w:ascii="Arial" w:cs="Arial" w:eastAsia="Arial" w:hAnsi="Arial"/>
          <w:sz w:val="17"/>
          <w:szCs w:val="17"/>
          <w:b w:val="1"/>
          <w:bCs w:val="1"/>
          <w:color w:val="auto"/>
        </w:rPr>
        <w:t>* AUC 0-12 hr)</w:t>
      </w:r>
      <w:r>
        <w:rPr>
          <w:rFonts w:ascii="Arial" w:cs="Arial" w:eastAsia="Arial" w:hAnsi="Arial"/>
          <w:sz w:val="17"/>
          <w:szCs w:val="17"/>
          <w:color w:val="auto"/>
        </w:rPr>
        <w:t>:</w:t>
      </w:r>
    </w:p>
    <w:p>
      <w:pPr>
        <w:spacing w:after="0" w:line="28" w:lineRule="exact"/>
        <w:rPr>
          <w:rFonts w:ascii="Arial" w:cs="Arial" w:eastAsia="Arial" w:hAnsi="Arial"/>
          <w:sz w:val="17"/>
          <w:szCs w:val="17"/>
          <w:color w:val="auto"/>
        </w:rPr>
      </w:pPr>
    </w:p>
    <w:p>
      <w:pPr>
        <w:ind w:left="2220" w:right="619" w:hanging="222"/>
        <w:spacing w:after="0" w:line="270" w:lineRule="auto"/>
        <w:tabs>
          <w:tab w:leader="none" w:pos="2220" w:val="left"/>
        </w:tabs>
        <w:numPr>
          <w:ilvl w:val="1"/>
          <w:numId w:val="2"/>
        </w:numPr>
        <w:rPr>
          <w:rFonts w:ascii="Arial" w:cs="Arial" w:eastAsia="Arial" w:hAnsi="Arial"/>
          <w:sz w:val="17"/>
          <w:szCs w:val="17"/>
          <w:color w:val="auto"/>
        </w:rPr>
      </w:pPr>
      <w:r>
        <w:rPr>
          <w:rFonts w:ascii="Arial" w:cs="Arial" w:eastAsia="Arial" w:hAnsi="Arial"/>
          <w:sz w:val="17"/>
          <w:szCs w:val="17"/>
          <w:color w:val="auto"/>
        </w:rPr>
        <w:t>Placebo corrected, average FEV</w:t>
      </w:r>
      <w:r>
        <w:rPr>
          <w:rFonts w:ascii="Arial" w:cs="Arial" w:eastAsia="Arial" w:hAnsi="Arial"/>
          <w:sz w:val="25"/>
          <w:szCs w:val="25"/>
          <w:color w:val="auto"/>
          <w:vertAlign w:val="subscript"/>
        </w:rPr>
        <w:t>1</w:t>
      </w:r>
      <w:r>
        <w:rPr>
          <w:rFonts w:ascii="Arial" w:cs="Arial" w:eastAsia="Arial" w:hAnsi="Arial"/>
          <w:sz w:val="17"/>
          <w:szCs w:val="17"/>
          <w:color w:val="auto"/>
        </w:rPr>
        <w:t xml:space="preserve"> area under the curve 0-12 hours post dose at week 12 was 94 mL (p&lt;0.0001) for ensifentrine.</w:t>
      </w:r>
    </w:p>
    <w:p>
      <w:pPr>
        <w:spacing w:after="0" w:line="17" w:lineRule="exact"/>
        <w:rPr>
          <w:rFonts w:ascii="Arial" w:cs="Arial" w:eastAsia="Arial" w:hAnsi="Arial"/>
          <w:sz w:val="17"/>
          <w:szCs w:val="17"/>
          <w:color w:val="auto"/>
        </w:rPr>
      </w:pPr>
    </w:p>
    <w:p>
      <w:pPr>
        <w:ind w:left="2220" w:right="599" w:hanging="222"/>
        <w:spacing w:after="0" w:line="245" w:lineRule="auto"/>
        <w:tabs>
          <w:tab w:leader="none" w:pos="2220" w:val="left"/>
        </w:tabs>
        <w:numPr>
          <w:ilvl w:val="1"/>
          <w:numId w:val="2"/>
        </w:numPr>
        <w:rPr>
          <w:rFonts w:ascii="Arial" w:cs="Arial" w:eastAsia="Arial" w:hAnsi="Arial"/>
          <w:sz w:val="17"/>
          <w:szCs w:val="17"/>
          <w:color w:val="auto"/>
        </w:rPr>
      </w:pPr>
      <w:r>
        <w:rPr>
          <w:rFonts w:ascii="Arial" w:cs="Arial" w:eastAsia="Arial" w:hAnsi="Arial"/>
          <w:sz w:val="17"/>
          <w:szCs w:val="17"/>
          <w:color w:val="auto"/>
        </w:rPr>
        <w:t>Statistically significant and clinically meaningful improvements with ensifentrine demonstrated across all subgroups including, gender, age, smoking status, COPD severity, background medication, ICS use, chronic bronchitis, FEV</w:t>
      </w:r>
      <w:r>
        <w:rPr>
          <w:rFonts w:ascii="Arial" w:cs="Arial" w:eastAsia="Arial" w:hAnsi="Arial"/>
          <w:sz w:val="25"/>
          <w:szCs w:val="25"/>
          <w:color w:val="auto"/>
          <w:vertAlign w:val="subscript"/>
        </w:rPr>
        <w:t>1</w:t>
      </w:r>
      <w:r>
        <w:rPr>
          <w:rFonts w:ascii="Arial" w:cs="Arial" w:eastAsia="Arial" w:hAnsi="Arial"/>
          <w:sz w:val="17"/>
          <w:szCs w:val="17"/>
          <w:color w:val="auto"/>
        </w:rPr>
        <w:t xml:space="preserve"> reversibility, and geographic region.</w:t>
      </w:r>
    </w:p>
    <w:p>
      <w:pPr>
        <w:spacing w:after="0" w:line="47" w:lineRule="exact"/>
        <w:rPr>
          <w:rFonts w:ascii="Arial" w:cs="Arial" w:eastAsia="Arial" w:hAnsi="Arial"/>
          <w:sz w:val="17"/>
          <w:szCs w:val="17"/>
          <w:color w:val="auto"/>
        </w:rPr>
      </w:pPr>
    </w:p>
    <w:p>
      <w:pPr>
        <w:ind w:left="1860" w:hanging="222"/>
        <w:spacing w:after="0"/>
        <w:tabs>
          <w:tab w:leader="none" w:pos="18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Secondary endpoints of lung function met</w:t>
      </w:r>
      <w:r>
        <w:rPr>
          <w:rFonts w:ascii="Arial" w:cs="Arial" w:eastAsia="Arial" w:hAnsi="Arial"/>
          <w:sz w:val="17"/>
          <w:szCs w:val="17"/>
          <w:color w:val="auto"/>
        </w:rPr>
        <w:t>:</w:t>
      </w:r>
    </w:p>
    <w:p>
      <w:pPr>
        <w:spacing w:after="0" w:line="47" w:lineRule="exact"/>
        <w:rPr>
          <w:rFonts w:ascii="Arial" w:cs="Arial" w:eastAsia="Arial" w:hAnsi="Arial"/>
          <w:sz w:val="17"/>
          <w:szCs w:val="17"/>
          <w:color w:val="auto"/>
        </w:rPr>
      </w:pPr>
    </w:p>
    <w:p>
      <w:pPr>
        <w:ind w:left="2220" w:right="1079" w:hanging="222"/>
        <w:spacing w:after="0" w:line="249" w:lineRule="auto"/>
        <w:tabs>
          <w:tab w:leader="none" w:pos="2220" w:val="left"/>
        </w:tabs>
        <w:numPr>
          <w:ilvl w:val="1"/>
          <w:numId w:val="2"/>
        </w:numPr>
        <w:rPr>
          <w:rFonts w:ascii="Arial" w:cs="Arial" w:eastAsia="Arial" w:hAnsi="Arial"/>
          <w:sz w:val="17"/>
          <w:szCs w:val="17"/>
          <w:color w:val="auto"/>
        </w:rPr>
      </w:pPr>
      <w:r>
        <w:rPr>
          <w:rFonts w:ascii="Arial" w:cs="Arial" w:eastAsia="Arial" w:hAnsi="Arial"/>
          <w:sz w:val="17"/>
          <w:szCs w:val="17"/>
          <w:color w:val="auto"/>
        </w:rPr>
        <w:t>Placebo corrected, increase in peak FEV</w:t>
      </w:r>
      <w:r>
        <w:rPr>
          <w:rFonts w:ascii="Arial" w:cs="Arial" w:eastAsia="Arial" w:hAnsi="Arial"/>
          <w:sz w:val="25"/>
          <w:szCs w:val="25"/>
          <w:color w:val="auto"/>
          <w:vertAlign w:val="subscript"/>
        </w:rPr>
        <w:t>1</w:t>
      </w:r>
      <w:r>
        <w:rPr>
          <w:rFonts w:ascii="Arial" w:cs="Arial" w:eastAsia="Arial" w:hAnsi="Arial"/>
          <w:sz w:val="17"/>
          <w:szCs w:val="17"/>
          <w:color w:val="auto"/>
        </w:rPr>
        <w:t xml:space="preserve"> of 146 mL (p&lt;0.0001) 0-4 hours post dose at week 12.</w:t>
      </w:r>
    </w:p>
    <w:p>
      <w:pPr>
        <w:spacing w:after="0" w:line="1" w:lineRule="exact"/>
        <w:rPr>
          <w:rFonts w:ascii="Arial" w:cs="Arial" w:eastAsia="Arial" w:hAnsi="Arial"/>
          <w:sz w:val="17"/>
          <w:szCs w:val="17"/>
          <w:color w:val="auto"/>
        </w:rPr>
      </w:pPr>
    </w:p>
    <w:p>
      <w:pPr>
        <w:ind w:left="2220" w:right="1219" w:hanging="222"/>
        <w:spacing w:after="0" w:line="276" w:lineRule="auto"/>
        <w:tabs>
          <w:tab w:leader="none" w:pos="2220" w:val="left"/>
        </w:tabs>
        <w:numPr>
          <w:ilvl w:val="1"/>
          <w:numId w:val="2"/>
        </w:numPr>
        <w:rPr>
          <w:rFonts w:ascii="Arial" w:cs="Arial" w:eastAsia="Arial" w:hAnsi="Arial"/>
          <w:sz w:val="17"/>
          <w:szCs w:val="17"/>
          <w:color w:val="auto"/>
        </w:rPr>
      </w:pPr>
      <w:r>
        <w:rPr>
          <w:rFonts w:ascii="Arial" w:cs="Arial" w:eastAsia="Arial" w:hAnsi="Arial"/>
          <w:sz w:val="17"/>
          <w:szCs w:val="17"/>
          <w:color w:val="auto"/>
        </w:rPr>
        <w:t>Placebo corrected, increase in morning trough FEV</w:t>
      </w:r>
      <w:r>
        <w:rPr>
          <w:rFonts w:ascii="Arial" w:cs="Arial" w:eastAsia="Arial" w:hAnsi="Arial"/>
          <w:sz w:val="25"/>
          <w:szCs w:val="25"/>
          <w:color w:val="auto"/>
          <w:vertAlign w:val="subscript"/>
        </w:rPr>
        <w:t>1</w:t>
      </w:r>
      <w:r>
        <w:rPr>
          <w:rFonts w:ascii="Arial" w:cs="Arial" w:eastAsia="Arial" w:hAnsi="Arial"/>
          <w:sz w:val="17"/>
          <w:szCs w:val="17"/>
          <w:color w:val="auto"/>
        </w:rPr>
        <w:t xml:space="preserve"> of 49 mL (p=0.0017) at week 12, supporting twice daily dosing regimen.</w:t>
      </w:r>
    </w:p>
    <w:p>
      <w:pPr>
        <w:spacing w:after="0" w:line="21" w:lineRule="exact"/>
        <w:rPr>
          <w:rFonts w:ascii="Arial" w:cs="Arial" w:eastAsia="Arial" w:hAnsi="Arial"/>
          <w:sz w:val="17"/>
          <w:szCs w:val="17"/>
          <w:color w:val="auto"/>
        </w:rPr>
      </w:pPr>
    </w:p>
    <w:p>
      <w:pPr>
        <w:ind w:left="1860" w:hanging="222"/>
        <w:spacing w:after="0"/>
        <w:tabs>
          <w:tab w:leader="none" w:pos="18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Exacerbation rate reduced</w:t>
      </w:r>
      <w:r>
        <w:rPr>
          <w:rFonts w:ascii="Arial" w:cs="Arial" w:eastAsia="Arial" w:hAnsi="Arial"/>
          <w:sz w:val="17"/>
          <w:szCs w:val="17"/>
          <w:color w:val="auto"/>
        </w:rPr>
        <w:t>:</w:t>
      </w:r>
    </w:p>
    <w:p>
      <w:pPr>
        <w:spacing w:after="0" w:line="90" w:lineRule="exact"/>
        <w:rPr>
          <w:rFonts w:ascii="Arial" w:cs="Arial" w:eastAsia="Arial" w:hAnsi="Arial"/>
          <w:sz w:val="17"/>
          <w:szCs w:val="17"/>
          <w:color w:val="auto"/>
        </w:rPr>
      </w:pPr>
    </w:p>
    <w:p>
      <w:pPr>
        <w:ind w:left="2220" w:right="459" w:hanging="222"/>
        <w:spacing w:after="0" w:line="306" w:lineRule="auto"/>
        <w:tabs>
          <w:tab w:leader="none" w:pos="2220" w:val="left"/>
        </w:tabs>
        <w:numPr>
          <w:ilvl w:val="1"/>
          <w:numId w:val="2"/>
        </w:numPr>
        <w:rPr>
          <w:rFonts w:ascii="Arial" w:cs="Arial" w:eastAsia="Arial" w:hAnsi="Arial"/>
          <w:sz w:val="17"/>
          <w:szCs w:val="17"/>
          <w:color w:val="auto"/>
        </w:rPr>
      </w:pPr>
      <w:r>
        <w:rPr>
          <w:rFonts w:ascii="Arial" w:cs="Arial" w:eastAsia="Arial" w:hAnsi="Arial"/>
          <w:sz w:val="17"/>
          <w:szCs w:val="17"/>
          <w:color w:val="auto"/>
        </w:rPr>
        <w:t>Subjects receiving ensifentrine demonstrated a 42% reduction in the rate of moderate to severe COPD exacerbations over 24 weeks compared to those receiving placebo (p=0.0109).</w:t>
      </w:r>
    </w:p>
    <w:p>
      <w:pPr>
        <w:spacing w:after="0" w:line="1" w:lineRule="exact"/>
        <w:rPr>
          <w:rFonts w:ascii="Arial" w:cs="Arial" w:eastAsia="Arial" w:hAnsi="Arial"/>
          <w:sz w:val="17"/>
          <w:szCs w:val="17"/>
          <w:color w:val="auto"/>
        </w:rPr>
      </w:pPr>
    </w:p>
    <w:p>
      <w:pPr>
        <w:ind w:left="2220" w:right="539" w:hanging="222"/>
        <w:spacing w:after="0" w:line="308" w:lineRule="auto"/>
        <w:tabs>
          <w:tab w:leader="none" w:pos="2220" w:val="left"/>
        </w:tabs>
        <w:numPr>
          <w:ilvl w:val="1"/>
          <w:numId w:val="2"/>
        </w:numPr>
        <w:rPr>
          <w:rFonts w:ascii="Arial" w:cs="Arial" w:eastAsia="Arial" w:hAnsi="Arial"/>
          <w:sz w:val="17"/>
          <w:szCs w:val="17"/>
          <w:color w:val="auto"/>
        </w:rPr>
      </w:pPr>
      <w:r>
        <w:rPr>
          <w:rFonts w:ascii="Arial" w:cs="Arial" w:eastAsia="Arial" w:hAnsi="Arial"/>
          <w:sz w:val="17"/>
          <w:szCs w:val="17"/>
          <w:color w:val="auto"/>
        </w:rPr>
        <w:t>Treatment with ensifentrine significantly decreased the risk of a moderate/severe exacerbation as measured by time to first exacerbation when compared with placebo by 42% (p=0.0088).</w:t>
      </w:r>
    </w:p>
    <w:p>
      <w:pPr>
        <w:sectPr>
          <w:pgSz w:w="11900" w:h="16838" w:orient="portrait"/>
          <w:cols w:equalWidth="0" w:num="1">
            <w:col w:w="9879"/>
          </w:cols>
          <w:pgMar w:left="58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349250</wp:posOffset>
            </wp:positionV>
            <wp:extent cx="5516245" cy="7967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860" w:hanging="222"/>
        <w:spacing w:after="0"/>
        <w:tabs>
          <w:tab w:leader="none" w:pos="1860" w:val="left"/>
        </w:tabs>
        <w:numPr>
          <w:ilvl w:val="1"/>
          <w:numId w:val="3"/>
        </w:numPr>
        <w:rPr>
          <w:rFonts w:ascii="Arial" w:cs="Arial" w:eastAsia="Arial" w:hAnsi="Arial"/>
          <w:sz w:val="17"/>
          <w:szCs w:val="17"/>
          <w:color w:val="auto"/>
        </w:rPr>
      </w:pPr>
      <w:r>
        <w:rPr>
          <w:rFonts w:ascii="Arial" w:cs="Arial" w:eastAsia="Arial" w:hAnsi="Arial"/>
          <w:sz w:val="17"/>
          <w:szCs w:val="17"/>
          <w:b w:val="1"/>
          <w:bCs w:val="1"/>
          <w:color w:val="auto"/>
        </w:rPr>
        <w:t>COPD symptoms and Quality of Life, or QOL</w:t>
      </w:r>
      <w:r>
        <w:rPr>
          <w:rFonts w:ascii="Arial" w:cs="Arial" w:eastAsia="Arial" w:hAnsi="Arial"/>
          <w:sz w:val="17"/>
          <w:szCs w:val="17"/>
          <w:color w:val="auto"/>
        </w:rPr>
        <w:t>:</w:t>
      </w:r>
    </w:p>
    <w:p>
      <w:pPr>
        <w:spacing w:after="0" w:line="90" w:lineRule="exact"/>
        <w:rPr>
          <w:rFonts w:ascii="Arial" w:cs="Arial" w:eastAsia="Arial" w:hAnsi="Arial"/>
          <w:sz w:val="17"/>
          <w:szCs w:val="17"/>
          <w:color w:val="auto"/>
        </w:rPr>
      </w:pPr>
    </w:p>
    <w:p>
      <w:pPr>
        <w:ind w:left="2220" w:right="499" w:hanging="222"/>
        <w:spacing w:after="0" w:line="273" w:lineRule="auto"/>
        <w:tabs>
          <w:tab w:leader="none" w:pos="2220" w:val="left"/>
        </w:tabs>
        <w:numPr>
          <w:ilvl w:val="2"/>
          <w:numId w:val="3"/>
        </w:numPr>
        <w:rPr>
          <w:rFonts w:ascii="Arial" w:cs="Arial" w:eastAsia="Arial" w:hAnsi="Arial"/>
          <w:sz w:val="17"/>
          <w:szCs w:val="17"/>
          <w:color w:val="auto"/>
        </w:rPr>
      </w:pPr>
      <w:r>
        <w:rPr>
          <w:rFonts w:ascii="Arial" w:cs="Arial" w:eastAsia="Arial" w:hAnsi="Arial"/>
          <w:sz w:val="17"/>
          <w:szCs w:val="17"/>
          <w:color w:val="auto"/>
        </w:rPr>
        <w:t>Daily symptoms and QOL as measured by E-RS** Total Score and SGRQ** Total Score in the ensifentrine group improved from baseline to greater than the minimal clinically important difference of  -2 units and -4 units, respectively, at week 24. Improvements in these measures were seen as early as 6 weeks and showed continued improvement at 12 and 24 weeks, numerically exceeding placebo at each measurement. Statistical significance was not achieved due to improvements in the placebo group over time.</w:t>
      </w:r>
    </w:p>
    <w:p>
      <w:pPr>
        <w:spacing w:after="0" w:line="121" w:lineRule="exact"/>
        <w:rPr>
          <w:rFonts w:ascii="Arial" w:cs="Arial" w:eastAsia="Arial" w:hAnsi="Arial"/>
          <w:sz w:val="17"/>
          <w:szCs w:val="17"/>
          <w:color w:val="auto"/>
        </w:rPr>
      </w:pPr>
    </w:p>
    <w:p>
      <w:pPr>
        <w:ind w:left="1860" w:hanging="222"/>
        <w:spacing w:after="0"/>
        <w:tabs>
          <w:tab w:leader="none" w:pos="1860" w:val="left"/>
        </w:tabs>
        <w:numPr>
          <w:ilvl w:val="1"/>
          <w:numId w:val="3"/>
        </w:numPr>
        <w:rPr>
          <w:rFonts w:ascii="Arial" w:cs="Arial" w:eastAsia="Arial" w:hAnsi="Arial"/>
          <w:sz w:val="17"/>
          <w:szCs w:val="17"/>
          <w:color w:val="auto"/>
        </w:rPr>
      </w:pPr>
      <w:r>
        <w:rPr>
          <w:rFonts w:ascii="Arial" w:cs="Arial" w:eastAsia="Arial" w:hAnsi="Arial"/>
          <w:sz w:val="17"/>
          <w:szCs w:val="17"/>
          <w:b w:val="1"/>
          <w:bCs w:val="1"/>
          <w:color w:val="auto"/>
        </w:rPr>
        <w:t>Favorable safety results:</w:t>
      </w:r>
    </w:p>
    <w:p>
      <w:pPr>
        <w:spacing w:after="0" w:line="90" w:lineRule="exact"/>
        <w:rPr>
          <w:rFonts w:ascii="Arial" w:cs="Arial" w:eastAsia="Arial" w:hAnsi="Arial"/>
          <w:sz w:val="17"/>
          <w:szCs w:val="17"/>
          <w:color w:val="auto"/>
        </w:rPr>
      </w:pPr>
    </w:p>
    <w:p>
      <w:pPr>
        <w:ind w:left="2220" w:right="719" w:hanging="222"/>
        <w:spacing w:after="0" w:line="308" w:lineRule="auto"/>
        <w:tabs>
          <w:tab w:leader="none" w:pos="2220" w:val="left"/>
        </w:tabs>
        <w:numPr>
          <w:ilvl w:val="2"/>
          <w:numId w:val="3"/>
        </w:numPr>
        <w:rPr>
          <w:rFonts w:ascii="Arial" w:cs="Arial" w:eastAsia="Arial" w:hAnsi="Arial"/>
          <w:sz w:val="17"/>
          <w:szCs w:val="17"/>
          <w:color w:val="auto"/>
        </w:rPr>
      </w:pPr>
      <w:r>
        <w:rPr>
          <w:rFonts w:ascii="Arial" w:cs="Arial" w:eastAsia="Arial" w:hAnsi="Arial"/>
          <w:sz w:val="17"/>
          <w:szCs w:val="17"/>
          <w:color w:val="auto"/>
        </w:rPr>
        <w:t>Ensifentrine was well tolerated with safety results similar to placebo, including occurrence of pneumonia, gastrointestinal and cardiovascular adverse events.</w:t>
      </w:r>
    </w:p>
    <w:p>
      <w:pPr>
        <w:spacing w:after="0" w:line="249" w:lineRule="exact"/>
        <w:rPr>
          <w:rFonts w:ascii="Arial" w:cs="Arial" w:eastAsia="Arial" w:hAnsi="Arial"/>
          <w:sz w:val="17"/>
          <w:szCs w:val="17"/>
          <w:color w:val="auto"/>
        </w:rPr>
      </w:pPr>
    </w:p>
    <w:p>
      <w:pPr>
        <w:ind w:left="1280"/>
        <w:spacing w:after="0"/>
        <w:rPr>
          <w:rFonts w:ascii="Arial" w:cs="Arial" w:eastAsia="Arial" w:hAnsi="Arial"/>
          <w:sz w:val="17"/>
          <w:szCs w:val="17"/>
          <w:color w:val="auto"/>
        </w:rPr>
      </w:pPr>
      <w:r>
        <w:rPr>
          <w:rFonts w:ascii="Arial" w:cs="Arial" w:eastAsia="Arial" w:hAnsi="Arial"/>
          <w:sz w:val="13"/>
          <w:szCs w:val="13"/>
          <w:color w:val="auto"/>
        </w:rPr>
        <w:t>*</w:t>
      </w:r>
      <w:r>
        <w:rPr>
          <w:rFonts w:ascii="Arial" w:cs="Arial" w:eastAsia="Arial" w:hAnsi="Arial"/>
          <w:sz w:val="12"/>
          <w:szCs w:val="12"/>
          <w:color w:val="auto"/>
        </w:rPr>
        <w:t>FEV</w:t>
      </w:r>
      <w:r>
        <w:rPr>
          <w:rFonts w:ascii="Arial" w:cs="Arial" w:eastAsia="Arial" w:hAnsi="Arial"/>
          <w:sz w:val="18"/>
          <w:szCs w:val="18"/>
          <w:color w:val="auto"/>
          <w:vertAlign w:val="subscript"/>
        </w:rPr>
        <w:t>1</w:t>
      </w:r>
      <w:r>
        <w:rPr>
          <w:rFonts w:ascii="Arial" w:cs="Arial" w:eastAsia="Arial" w:hAnsi="Arial"/>
          <w:sz w:val="12"/>
          <w:szCs w:val="12"/>
          <w:color w:val="auto"/>
        </w:rPr>
        <w:t>: Forced Expiratory Volume in one second, a standard measure of lung function</w:t>
      </w:r>
    </w:p>
    <w:p>
      <w:pPr>
        <w:spacing w:after="0" w:line="114" w:lineRule="exact"/>
        <w:rPr>
          <w:rFonts w:ascii="Arial" w:cs="Arial" w:eastAsia="Arial" w:hAnsi="Arial"/>
          <w:sz w:val="17"/>
          <w:szCs w:val="17"/>
          <w:color w:val="auto"/>
        </w:rPr>
      </w:pPr>
    </w:p>
    <w:p>
      <w:pPr>
        <w:ind w:left="1640" w:hanging="362"/>
        <w:spacing w:after="0"/>
        <w:tabs>
          <w:tab w:leader="none" w:pos="1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E-RS, Evaluating Respiratory Symptoms, and SGRQ, St. George’s Respiratory Questionnaire, are validated patient reported outcome tools</w:t>
      </w:r>
    </w:p>
    <w:p>
      <w:pPr>
        <w:spacing w:after="0" w:line="166" w:lineRule="exact"/>
        <w:rPr>
          <w:sz w:val="20"/>
          <w:szCs w:val="20"/>
          <w:color w:val="auto"/>
        </w:rPr>
      </w:pPr>
    </w:p>
    <w:p>
      <w:pPr>
        <w:jc w:val="both"/>
        <w:ind w:left="1280" w:right="579"/>
        <w:spacing w:after="0" w:line="286" w:lineRule="auto"/>
        <w:rPr>
          <w:sz w:val="20"/>
          <w:szCs w:val="20"/>
          <w:color w:val="auto"/>
        </w:rPr>
      </w:pPr>
      <w:r>
        <w:rPr>
          <w:rFonts w:ascii="Arial" w:cs="Arial" w:eastAsia="Arial" w:hAnsi="Arial"/>
          <w:sz w:val="17"/>
          <w:szCs w:val="17"/>
          <w:color w:val="auto"/>
        </w:rPr>
        <w:t>These data, along with results from our ongoing Phase 3 ENHANCE-1 clinical trial, which is on track to be reported around the end of 2022, are expected to support the submission of a New Drug Application to the U.S. Food and Drug Administration in the first half of 2023.</w:t>
      </w:r>
    </w:p>
    <w:p>
      <w:pPr>
        <w:spacing w:after="0" w:line="84" w:lineRule="exact"/>
        <w:rPr>
          <w:sz w:val="20"/>
          <w:szCs w:val="20"/>
          <w:color w:val="auto"/>
        </w:rPr>
      </w:pPr>
    </w:p>
    <w:p>
      <w:pPr>
        <w:ind w:left="1280" w:right="399"/>
        <w:spacing w:after="0" w:line="271" w:lineRule="auto"/>
        <w:rPr>
          <w:sz w:val="20"/>
          <w:szCs w:val="20"/>
          <w:color w:val="auto"/>
        </w:rPr>
      </w:pPr>
      <w:r>
        <w:rPr>
          <w:rFonts w:ascii="Arial" w:cs="Arial" w:eastAsia="Arial" w:hAnsi="Arial"/>
          <w:sz w:val="17"/>
          <w:szCs w:val="17"/>
          <w:color w:val="auto"/>
        </w:rPr>
        <w:t>In 2020, there were approximately 6 million patients on maintenance treatment for COPD in the United States, with approximately 5 million patients receiving two or more therapies or alternative therapies. Of those patients, approximately 40% remain symptomatic, resulting in more than 1 million patients that we believe has the potential to be treated with ensifentrine. As of December 2021, 35 payers covered more than 200 million lives, or 85% of all lives covered, for nebulizers, with the majority of claims for nebulizers in the United States reimbursed through Medicare Part B. If ensifentrine is approved, we plan to target the approximately 12,000 pulmonologists in the United States and expects that it will need approximately 100 sales representatives.</w:t>
      </w:r>
    </w:p>
    <w:p>
      <w:pPr>
        <w:spacing w:after="0" w:line="167" w:lineRule="exact"/>
        <w:rPr>
          <w:sz w:val="20"/>
          <w:szCs w:val="20"/>
          <w:color w:val="auto"/>
        </w:rPr>
      </w:pPr>
    </w:p>
    <w:p>
      <w:pPr>
        <w:ind w:left="1280"/>
        <w:spacing w:after="0"/>
        <w:rPr>
          <w:sz w:val="20"/>
          <w:szCs w:val="20"/>
          <w:color w:val="auto"/>
        </w:rPr>
      </w:pPr>
      <w:r>
        <w:rPr>
          <w:rFonts w:ascii="Arial" w:cs="Arial" w:eastAsia="Arial" w:hAnsi="Arial"/>
          <w:sz w:val="17"/>
          <w:szCs w:val="17"/>
          <w:b w:val="1"/>
          <w:bCs w:val="1"/>
          <w:i w:val="1"/>
          <w:iCs w:val="1"/>
          <w:color w:val="auto"/>
        </w:rPr>
        <w:t>Corporate Information</w:t>
      </w:r>
    </w:p>
    <w:p>
      <w:pPr>
        <w:spacing w:after="0" w:line="59" w:lineRule="exact"/>
        <w:rPr>
          <w:sz w:val="20"/>
          <w:szCs w:val="20"/>
          <w:color w:val="auto"/>
        </w:rPr>
      </w:pPr>
    </w:p>
    <w:p>
      <w:pPr>
        <w:ind w:left="1280" w:right="519"/>
        <w:spacing w:after="0" w:line="272" w:lineRule="auto"/>
        <w:rPr>
          <w:sz w:val="20"/>
          <w:szCs w:val="20"/>
          <w:color w:val="auto"/>
        </w:rPr>
      </w:pPr>
      <w:r>
        <w:rPr>
          <w:rFonts w:ascii="Arial" w:cs="Arial" w:eastAsia="Arial" w:hAnsi="Arial"/>
          <w:sz w:val="17"/>
          <w:szCs w:val="17"/>
          <w:color w:val="auto"/>
        </w:rPr>
        <w:t xml:space="preserve">We were incorporated in February 2005 as Isis Resources plc under the laws of England and Wales. In September 2006, we acquired Rhinopharma Limited, a private company incorporated in Canada, and changed our name to Verona Pharma plc. Our principal office is located at 3 More London Riverside, London SE1 2RE, United Kingdom, and our telephone number is +(44) 203 283 4200. Our corporate website address is </w:t>
      </w:r>
      <w:r>
        <w:rPr>
          <w:rFonts w:ascii="Arial" w:cs="Arial" w:eastAsia="Arial" w:hAnsi="Arial"/>
          <w:sz w:val="17"/>
          <w:szCs w:val="17"/>
          <w:i w:val="1"/>
          <w:iCs w:val="1"/>
          <w:color w:val="auto"/>
        </w:rPr>
        <w:t>www.veronapharma.com</w:t>
      </w:r>
      <w:r>
        <w:rPr>
          <w:rFonts w:ascii="Arial" w:cs="Arial" w:eastAsia="Arial" w:hAnsi="Arial"/>
          <w:sz w:val="17"/>
          <w:szCs w:val="17"/>
          <w:color w:val="auto"/>
        </w:rPr>
        <w:t>. Information contained on or accessible through our website is not a part of this prospectus supplement, and the inclusion of our website address in this prospectus supplement is an inactive textual reference only.</w:t>
      </w:r>
    </w:p>
    <w:p>
      <w:pPr>
        <w:sectPr>
          <w:pgSz w:w="11900" w:h="16838" w:orient="portrait"/>
          <w:cols w:equalWidth="0" w:num="1">
            <w:col w:w="9879"/>
          </w:cols>
          <w:pgMar w:left="58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349250</wp:posOffset>
            </wp:positionV>
            <wp:extent cx="5516245" cy="8216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821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377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9879"/>
          </w:cols>
          <w:pgMar w:left="580" w:top="114" w:right="1440" w:bottom="1440" w:gutter="0" w:footer="0" w:header="0"/>
        </w:sectPr>
      </w:pPr>
    </w:p>
    <w:p>
      <w:pPr>
        <w:spacing w:after="0" w:line="33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ADSs offered by us</w:t>
      </w:r>
    </w:p>
    <w:p>
      <w:pPr>
        <w:spacing w:after="0" w:line="331" w:lineRule="exact"/>
        <w:rPr>
          <w:sz w:val="20"/>
          <w:szCs w:val="20"/>
          <w:color w:val="auto"/>
        </w:rPr>
      </w:pPr>
    </w:p>
    <w:p>
      <w:pPr>
        <w:ind w:left="1460" w:right="380" w:hanging="179"/>
        <w:spacing w:after="0" w:line="291" w:lineRule="auto"/>
        <w:rPr>
          <w:sz w:val="20"/>
          <w:szCs w:val="20"/>
          <w:color w:val="auto"/>
        </w:rPr>
      </w:pPr>
      <w:r>
        <w:rPr>
          <w:rFonts w:ascii="Arial" w:cs="Arial" w:eastAsia="Arial" w:hAnsi="Arial"/>
          <w:sz w:val="17"/>
          <w:szCs w:val="17"/>
          <w:color w:val="auto"/>
        </w:rPr>
        <w:t>Underwriters’ option to purchase additional ADSs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60" w:hanging="179"/>
        <w:spacing w:after="0" w:line="268" w:lineRule="auto"/>
        <w:rPr>
          <w:sz w:val="20"/>
          <w:szCs w:val="20"/>
          <w:color w:val="auto"/>
        </w:rPr>
      </w:pPr>
      <w:r>
        <w:rPr>
          <w:rFonts w:ascii="Arial" w:cs="Arial" w:eastAsia="Arial" w:hAnsi="Arial"/>
          <w:sz w:val="17"/>
          <w:szCs w:val="17"/>
          <w:color w:val="auto"/>
        </w:rPr>
        <w:t>Ordinary shares (including ordinary shares represented by ADSs) to be outstanding immediately after the offering</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left="2"/>
        <w:spacing w:after="0"/>
        <w:rPr>
          <w:sz w:val="20"/>
          <w:szCs w:val="20"/>
          <w:color w:val="auto"/>
        </w:rPr>
      </w:pPr>
      <w:r>
        <w:rPr>
          <w:rFonts w:ascii="Arial" w:cs="Arial" w:eastAsia="Arial" w:hAnsi="Arial"/>
          <w:sz w:val="17"/>
          <w:szCs w:val="17"/>
          <w:color w:val="auto"/>
        </w:rPr>
        <w:t>              ADSs.</w:t>
      </w:r>
    </w:p>
    <w:p>
      <w:pPr>
        <w:spacing w:after="0" w:line="200" w:lineRule="exact"/>
        <w:rPr>
          <w:sz w:val="20"/>
          <w:szCs w:val="20"/>
          <w:color w:val="auto"/>
        </w:rPr>
      </w:pPr>
    </w:p>
    <w:p>
      <w:pPr>
        <w:spacing w:after="0" w:line="334" w:lineRule="exact"/>
        <w:rPr>
          <w:sz w:val="20"/>
          <w:szCs w:val="20"/>
          <w:color w:val="auto"/>
        </w:rPr>
      </w:pPr>
    </w:p>
    <w:p>
      <w:pPr>
        <w:jc w:val="both"/>
        <w:ind w:left="2" w:right="599"/>
        <w:spacing w:after="0" w:line="286" w:lineRule="auto"/>
        <w:rPr>
          <w:sz w:val="20"/>
          <w:szCs w:val="20"/>
          <w:color w:val="auto"/>
        </w:rPr>
      </w:pPr>
      <w:r>
        <w:rPr>
          <w:rFonts w:ascii="Arial" w:cs="Arial" w:eastAsia="Arial" w:hAnsi="Arial"/>
          <w:sz w:val="17"/>
          <w:szCs w:val="17"/>
          <w:color w:val="auto"/>
        </w:rPr>
        <w:t>We have granted the underwriters a 30-day option to purchase up to                additional ADSs at the public offering price, less 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 w:right="679" w:hanging="2"/>
        <w:spacing w:after="0" w:line="286" w:lineRule="auto"/>
        <w:tabs>
          <w:tab w:leader="none" w:pos="97" w:val="left"/>
        </w:tabs>
        <w:numPr>
          <w:ilvl w:val="0"/>
          <w:numId w:val="5"/>
        </w:numPr>
        <w:rPr>
          <w:rFonts w:ascii="Arial" w:cs="Arial" w:eastAsia="Arial" w:hAnsi="Arial"/>
          <w:sz w:val="17"/>
          <w:szCs w:val="17"/>
          <w:color w:val="auto"/>
        </w:rPr>
      </w:pPr>
      <w:r>
        <w:rPr>
          <w:rFonts w:ascii="Arial" w:cs="Arial" w:eastAsia="Arial" w:hAnsi="Arial"/>
          <w:sz w:val="17"/>
          <w:szCs w:val="17"/>
          <w:color w:val="auto"/>
        </w:rPr>
        <w:t>              ordinary shares (or                ordinary shares if the underwriters exercise in full their option to purchase additional ADSs).</w:t>
      </w:r>
    </w:p>
    <w:p>
      <w:pPr>
        <w:spacing w:after="0" w:line="200" w:lineRule="exact"/>
        <w:rPr>
          <w:sz w:val="20"/>
          <w:szCs w:val="20"/>
          <w:color w:val="auto"/>
        </w:rPr>
      </w:pPr>
    </w:p>
    <w:p>
      <w:pPr>
        <w:sectPr>
          <w:pgSz w:w="11900" w:h="16838" w:orient="portrait"/>
          <w:cols w:equalWidth="0" w:num="2">
            <w:col w:w="4120" w:space="398"/>
            <w:col w:w="5361"/>
          </w:cols>
          <w:pgMar w:left="580" w:top="114" w:right="1440" w:bottom="1440" w:gutter="0" w:footer="0" w:header="0"/>
          <w:type w:val="continuous"/>
        </w:sectPr>
      </w:pPr>
    </w:p>
    <w:p>
      <w:pPr>
        <w:spacing w:after="0" w:line="6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American Depositary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Depositary</w:t>
      </w:r>
    </w:p>
    <w:p>
      <w:pPr>
        <w:spacing w:after="0" w:line="345"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Each ADS represents eight ordinary shares.</w:t>
      </w:r>
    </w:p>
    <w:p>
      <w:pPr>
        <w:spacing w:after="0" w:line="142" w:lineRule="exact"/>
        <w:rPr>
          <w:sz w:val="20"/>
          <w:szCs w:val="20"/>
          <w:color w:val="auto"/>
        </w:rPr>
      </w:pPr>
    </w:p>
    <w:p>
      <w:pPr>
        <w:ind w:right="399"/>
        <w:spacing w:after="0" w:line="259" w:lineRule="auto"/>
        <w:rPr>
          <w:sz w:val="20"/>
          <w:szCs w:val="20"/>
          <w:color w:val="auto"/>
        </w:rPr>
      </w:pPr>
      <w:r>
        <w:rPr>
          <w:rFonts w:ascii="Arial" w:cs="Arial" w:eastAsia="Arial" w:hAnsi="Arial"/>
          <w:sz w:val="17"/>
          <w:szCs w:val="17"/>
          <w:color w:val="auto"/>
        </w:rPr>
        <w:t>The depositary (through its custodian) will hold the ordinary shares underlying the ADSs. Investors will have rights as provided in the deposit agreement among us, Citibank, N.A., as depositary, and all owners and holders from time to time of ADSs issued thereunder. Investors may, among other things, cancel their ADSs and withdraw the underlying ordinary shares against a fee paid to the depositary. In certain limited instances described in the deposit agreement, we may amend or terminate the deposit agreement without our investors’ consent. If an investor continues to hold ADSs, the investor agrees to be bound by the terms of the deposit agreement then in effect.</w:t>
      </w:r>
    </w:p>
    <w:p>
      <w:pPr>
        <w:spacing w:after="0" w:line="110" w:lineRule="exact"/>
        <w:rPr>
          <w:sz w:val="20"/>
          <w:szCs w:val="20"/>
          <w:color w:val="auto"/>
        </w:rPr>
      </w:pPr>
    </w:p>
    <w:p>
      <w:pPr>
        <w:ind w:right="439"/>
        <w:spacing w:after="0" w:line="261" w:lineRule="auto"/>
        <w:rPr>
          <w:sz w:val="20"/>
          <w:szCs w:val="20"/>
          <w:color w:val="auto"/>
        </w:rPr>
      </w:pPr>
      <w:r>
        <w:rPr>
          <w:rFonts w:ascii="Arial" w:cs="Arial" w:eastAsia="Arial" w:hAnsi="Arial"/>
          <w:sz w:val="17"/>
          <w:szCs w:val="17"/>
          <w:color w:val="auto"/>
        </w:rPr>
        <w:t>To better understand the terms of the ADSs and the deposit agreement, including applicable fees and charges, you should carefully read “Description of American Depositary Shares” in the accompanying prospectus and the documents incorporated by reference herein and therein. You should also read the deposit agreement, which is an exhibit to the registration statement of which this prospectus supplement forms a part.</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Citibank, N.A.</w:t>
      </w:r>
    </w:p>
    <w:p>
      <w:pPr>
        <w:spacing w:after="0" w:line="345" w:lineRule="exact"/>
        <w:rPr>
          <w:sz w:val="20"/>
          <w:szCs w:val="20"/>
          <w:color w:val="auto"/>
        </w:rPr>
      </w:pPr>
    </w:p>
    <w:p>
      <w:pPr>
        <w:ind w:right="419"/>
        <w:spacing w:after="0" w:line="269" w:lineRule="auto"/>
        <w:rPr>
          <w:sz w:val="20"/>
          <w:szCs w:val="20"/>
          <w:color w:val="auto"/>
        </w:rPr>
      </w:pPr>
      <w:r>
        <w:rPr>
          <w:rFonts w:ascii="Arial" w:cs="Arial" w:eastAsia="Arial" w:hAnsi="Arial"/>
          <w:sz w:val="17"/>
          <w:szCs w:val="17"/>
          <w:color w:val="auto"/>
        </w:rPr>
        <w:t xml:space="preserve">We estimate that our net proceeds from this offering will be approximately $            million, or approximately $            million if the underwriters exercise their option to purchase additional ADSs in full, after deducting underwriting discounts and commissions and estimated offering expenses payable by us. We intend to use the net proceeds of this offering to advance the development of ensifentrine, commercial preparation activities and, if approved, the commercial launch of ensifentrine, other research and development activities, and for working capital and other general corporate purposes. See the section entitled “Use of Proceeds” on page </w:t>
      </w:r>
      <w:r>
        <w:rPr>
          <w:rFonts w:ascii="Arial" w:cs="Arial" w:eastAsia="Arial" w:hAnsi="Arial"/>
          <w:sz w:val="17"/>
          <w:szCs w:val="17"/>
          <w:u w:val="single" w:color="auto"/>
          <w:color w:val="0000EE"/>
        </w:rPr>
        <w:t>S-9</w:t>
      </w:r>
      <w:r>
        <w:rPr>
          <w:rFonts w:ascii="Arial" w:cs="Arial" w:eastAsia="Arial" w:hAnsi="Arial"/>
          <w:sz w:val="17"/>
          <w:szCs w:val="17"/>
          <w:color w:val="auto"/>
        </w:rPr>
        <w:t xml:space="preserve"> of this prospectus supplement.</w:t>
      </w:r>
    </w:p>
    <w:p>
      <w:pPr>
        <w:spacing w:after="0" w:line="290" w:lineRule="exact"/>
        <w:rPr>
          <w:sz w:val="20"/>
          <w:szCs w:val="20"/>
          <w:color w:val="auto"/>
        </w:rPr>
      </w:pPr>
    </w:p>
    <w:p>
      <w:pPr>
        <w:ind w:right="719"/>
        <w:spacing w:after="0" w:line="286" w:lineRule="auto"/>
        <w:rPr>
          <w:sz w:val="20"/>
          <w:szCs w:val="20"/>
          <w:color w:val="auto"/>
        </w:rPr>
      </w:pPr>
      <w:r>
        <w:rPr>
          <w:rFonts w:ascii="Arial" w:cs="Arial" w:eastAsia="Arial" w:hAnsi="Arial"/>
          <w:sz w:val="17"/>
          <w:szCs w:val="17"/>
          <w:color w:val="auto"/>
        </w:rPr>
        <w:t xml:space="preserve">Investing in our ADSs involves risks. See “Risk Factors” beginning on page </w:t>
      </w:r>
      <w:r>
        <w:rPr>
          <w:rFonts w:ascii="Arial" w:cs="Arial" w:eastAsia="Arial" w:hAnsi="Arial"/>
          <w:sz w:val="17"/>
          <w:szCs w:val="17"/>
          <w:u w:val="single" w:color="auto"/>
          <w:color w:val="0000EE"/>
        </w:rPr>
        <w:t>S-8</w:t>
      </w:r>
      <w:r>
        <w:rPr>
          <w:rFonts w:ascii="Arial" w:cs="Arial" w:eastAsia="Arial" w:hAnsi="Arial"/>
          <w:sz w:val="17"/>
          <w:szCs w:val="17"/>
          <w:color w:val="auto"/>
        </w:rPr>
        <w:t xml:space="preserve"> of this prospectus supplement and the other</w:t>
      </w:r>
    </w:p>
    <w:p>
      <w:pPr>
        <w:spacing w:after="0" w:line="200" w:lineRule="exact"/>
        <w:rPr>
          <w:sz w:val="20"/>
          <w:szCs w:val="20"/>
          <w:color w:val="auto"/>
        </w:rPr>
      </w:pPr>
    </w:p>
    <w:p>
      <w:pPr>
        <w:sectPr>
          <w:pgSz w:w="11900" w:h="16838" w:orient="portrait"/>
          <w:cols w:equalWidth="0" w:num="2">
            <w:col w:w="3800" w:space="720"/>
            <w:col w:w="5359"/>
          </w:cols>
          <w:pgMar w:left="580" w:top="114" w:right="1440" w:bottom="1440" w:gutter="0" w:footer="0" w:header="0"/>
          <w:type w:val="continuous"/>
        </w:sectPr>
      </w:pPr>
    </w:p>
    <w:p>
      <w:pPr>
        <w:spacing w:after="0" w:line="191"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349250</wp:posOffset>
            </wp:positionV>
            <wp:extent cx="5516245" cy="7967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information included in, or incorporated by reference into, this</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prospectus supplement for a discussion of certain factors you</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should carefully consider before deciding to invest in our ADSs.</w:t>
      </w:r>
    </w:p>
    <w:p>
      <w:pPr>
        <w:spacing w:after="0" w:line="316" w:lineRule="exact"/>
        <w:rPr>
          <w:sz w:val="20"/>
          <w:szCs w:val="20"/>
          <w:color w:val="auto"/>
        </w:rPr>
      </w:pPr>
    </w:p>
    <w:p>
      <w:pPr>
        <w:ind w:left="1280"/>
        <w:spacing w:after="0"/>
        <w:tabs>
          <w:tab w:leader="none" w:pos="4500" w:val="left"/>
        </w:tabs>
        <w:rPr>
          <w:sz w:val="20"/>
          <w:szCs w:val="20"/>
          <w:color w:val="auto"/>
        </w:rPr>
      </w:pPr>
      <w:r>
        <w:rPr>
          <w:rFonts w:ascii="Arial" w:cs="Arial" w:eastAsia="Arial" w:hAnsi="Arial"/>
          <w:sz w:val="17"/>
          <w:szCs w:val="17"/>
          <w:color w:val="auto"/>
        </w:rPr>
        <w:t>Nasdaq Global Market symbol</w:t>
      </w:r>
      <w:r>
        <w:rPr>
          <w:sz w:val="20"/>
          <w:szCs w:val="20"/>
          <w:color w:val="auto"/>
        </w:rPr>
        <w:tab/>
      </w:r>
      <w:r>
        <w:rPr>
          <w:rFonts w:ascii="Arial" w:cs="Arial" w:eastAsia="Arial" w:hAnsi="Arial"/>
          <w:sz w:val="16"/>
          <w:szCs w:val="16"/>
          <w:color w:val="auto"/>
        </w:rPr>
        <w:t>VRNA</w:t>
      </w:r>
    </w:p>
    <w:p>
      <w:pPr>
        <w:spacing w:after="0" w:line="358" w:lineRule="exact"/>
        <w:rPr>
          <w:sz w:val="20"/>
          <w:szCs w:val="20"/>
          <w:color w:val="auto"/>
        </w:rPr>
      </w:pPr>
    </w:p>
    <w:p>
      <w:pPr>
        <w:ind w:left="1280" w:right="419"/>
        <w:spacing w:after="0" w:line="286" w:lineRule="auto"/>
        <w:rPr>
          <w:sz w:val="20"/>
          <w:szCs w:val="20"/>
          <w:color w:val="auto"/>
        </w:rPr>
      </w:pPr>
      <w:r>
        <w:rPr>
          <w:rFonts w:ascii="Arial" w:cs="Arial" w:eastAsia="Arial" w:hAnsi="Arial"/>
          <w:sz w:val="17"/>
          <w:szCs w:val="17"/>
          <w:color w:val="auto"/>
        </w:rPr>
        <w:t>The number of ordinary shares (including ordinary shares represented by ADSs) to be outstanding immediately after this offering is based on 487,633,374 ordinary shares outstanding as of August 1, 2022 and excludes:</w:t>
      </w:r>
    </w:p>
    <w:p>
      <w:pPr>
        <w:spacing w:after="0" w:line="17" w:lineRule="exact"/>
        <w:rPr>
          <w:sz w:val="20"/>
          <w:szCs w:val="20"/>
          <w:color w:val="auto"/>
        </w:rPr>
      </w:pPr>
    </w:p>
    <w:p>
      <w:pPr>
        <w:ind w:left="1860" w:right="559" w:hanging="222"/>
        <w:spacing w:after="0" w:line="306" w:lineRule="auto"/>
        <w:tabs>
          <w:tab w:leader="none" w:pos="1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15,639,600 ordinary shares issuable upon the exercise of share options outstanding as of August 1, 2022, at a weighted average exercise price of  $1.14 per ordinary share;</w:t>
      </w:r>
    </w:p>
    <w:p>
      <w:pPr>
        <w:spacing w:after="0" w:line="1" w:lineRule="exact"/>
        <w:rPr>
          <w:rFonts w:ascii="Arial" w:cs="Arial" w:eastAsia="Arial" w:hAnsi="Arial"/>
          <w:sz w:val="17"/>
          <w:szCs w:val="17"/>
          <w:color w:val="auto"/>
        </w:rPr>
      </w:pPr>
    </w:p>
    <w:p>
      <w:pPr>
        <w:ind w:left="1860" w:right="1139" w:hanging="222"/>
        <w:spacing w:after="0" w:line="308" w:lineRule="auto"/>
        <w:tabs>
          <w:tab w:leader="none" w:pos="1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27,367,456 ordinary shares issuable upon vesting of restricted share units outstanding as of August 1, 2022; and</w:t>
      </w:r>
    </w:p>
    <w:p>
      <w:pPr>
        <w:spacing w:after="0" w:line="11" w:lineRule="exact"/>
        <w:rPr>
          <w:rFonts w:ascii="Arial" w:cs="Arial" w:eastAsia="Arial" w:hAnsi="Arial"/>
          <w:sz w:val="17"/>
          <w:szCs w:val="17"/>
          <w:color w:val="auto"/>
        </w:rPr>
      </w:pPr>
    </w:p>
    <w:p>
      <w:pPr>
        <w:ind w:left="1860" w:right="459" w:hanging="222"/>
        <w:spacing w:after="0" w:line="286" w:lineRule="auto"/>
        <w:tabs>
          <w:tab w:leader="none" w:pos="1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17,000,601 ordinary shares reserved for future issuance under our 2017 Incentive Award Plan, or the 2017 Plan, as of August 1, 2022, and ordinary shares that may become available pursuant to provisions in the 2017 Plan that automatically increase the share reserve under the 2017 Plan.</w:t>
      </w:r>
    </w:p>
    <w:p>
      <w:pPr>
        <w:spacing w:after="0" w:line="84" w:lineRule="exact"/>
        <w:rPr>
          <w:sz w:val="20"/>
          <w:szCs w:val="20"/>
          <w:color w:val="auto"/>
        </w:rPr>
      </w:pPr>
    </w:p>
    <w:p>
      <w:pPr>
        <w:ind w:left="1280" w:right="479"/>
        <w:spacing w:after="0" w:line="308" w:lineRule="auto"/>
        <w:rPr>
          <w:sz w:val="20"/>
          <w:szCs w:val="20"/>
          <w:color w:val="auto"/>
        </w:rPr>
      </w:pPr>
      <w:r>
        <w:rPr>
          <w:rFonts w:ascii="Arial" w:cs="Arial" w:eastAsia="Arial" w:hAnsi="Arial"/>
          <w:sz w:val="17"/>
          <w:szCs w:val="17"/>
          <w:color w:val="auto"/>
        </w:rPr>
        <w:t>Unless otherwise indicated, all information contained in this prospectus supplement assumes no exercise of the outstanding options and no vesting of the restricted share units described above.</w:t>
      </w:r>
    </w:p>
    <w:p>
      <w:pPr>
        <w:sectPr>
          <w:pgSz w:w="11900" w:h="16838" w:orient="portrait"/>
          <w:cols w:equalWidth="0" w:num="1">
            <w:col w:w="9879"/>
          </w:cols>
          <w:pgMar w:left="58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RISK FACTORS</w:t>
      </w:r>
    </w:p>
    <w:p>
      <w:pPr>
        <w:spacing w:after="0" w:line="359" w:lineRule="exact"/>
        <w:rPr>
          <w:sz w:val="20"/>
          <w:szCs w:val="20"/>
          <w:color w:val="auto"/>
        </w:rPr>
      </w:pPr>
    </w:p>
    <w:p>
      <w:pPr>
        <w:ind w:left="1260" w:right="439"/>
        <w:spacing w:after="0" w:line="271" w:lineRule="auto"/>
        <w:rPr>
          <w:sz w:val="20"/>
          <w:szCs w:val="20"/>
          <w:color w:val="auto"/>
        </w:rPr>
      </w:pPr>
      <w:r>
        <w:rPr>
          <w:rFonts w:ascii="Arial" w:cs="Arial" w:eastAsia="Arial" w:hAnsi="Arial"/>
          <w:sz w:val="17"/>
          <w:szCs w:val="17"/>
          <w:i w:val="1"/>
          <w:iCs w:val="1"/>
          <w:color w:val="auto"/>
        </w:rPr>
        <w:t>Investment in any securities offered pursuant to this prospectus supplement and the accompanying prospectus involves risks. You should carefully consider the risk factors described below and in our Annual Report on Form 10-K for the fiscal year ended December 31, 2021 and the other documents incorporated by reference in this prospectus supplement.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Risks Relating to this Offering</w:t>
      </w:r>
    </w:p>
    <w:p>
      <w:pPr>
        <w:spacing w:after="0" w:line="125" w:lineRule="exact"/>
        <w:rPr>
          <w:sz w:val="20"/>
          <w:szCs w:val="20"/>
          <w:color w:val="auto"/>
        </w:rPr>
      </w:pPr>
    </w:p>
    <w:p>
      <w:pPr>
        <w:ind w:left="1260" w:right="439"/>
        <w:spacing w:after="0" w:line="290" w:lineRule="auto"/>
        <w:rPr>
          <w:sz w:val="20"/>
          <w:szCs w:val="20"/>
          <w:color w:val="auto"/>
        </w:rPr>
      </w:pPr>
      <w:r>
        <w:rPr>
          <w:rFonts w:ascii="Arial" w:cs="Arial" w:eastAsia="Arial" w:hAnsi="Arial"/>
          <w:sz w:val="17"/>
          <w:szCs w:val="17"/>
          <w:b w:val="1"/>
          <w:bCs w:val="1"/>
          <w:color w:val="auto"/>
        </w:rPr>
        <w:t>If you purchase ADSs sold in this offering, you will experience immediate and substantial dilution in the net tangible book value of your ADSs. In addition, we may issue additional equity or convertible debt securities in the future, which may result in additional dilution to you.</w:t>
      </w:r>
    </w:p>
    <w:p>
      <w:pPr>
        <w:spacing w:after="0" w:line="306" w:lineRule="exact"/>
        <w:rPr>
          <w:sz w:val="20"/>
          <w:szCs w:val="20"/>
          <w:color w:val="auto"/>
        </w:rPr>
      </w:pPr>
    </w:p>
    <w:p>
      <w:pPr>
        <w:ind w:left="1260" w:right="459"/>
        <w:spacing w:after="0" w:line="270" w:lineRule="auto"/>
        <w:rPr>
          <w:sz w:val="20"/>
          <w:szCs w:val="20"/>
          <w:color w:val="auto"/>
        </w:rPr>
      </w:pPr>
      <w:r>
        <w:rPr>
          <w:rFonts w:ascii="Arial" w:cs="Arial" w:eastAsia="Arial" w:hAnsi="Arial"/>
          <w:sz w:val="17"/>
          <w:szCs w:val="17"/>
          <w:color w:val="auto"/>
        </w:rPr>
        <w:t xml:space="preserve">The price per ADS being offered may be higher than the net tangible book value per ADS prior to this offering. If you purchase ADSs in this offering, you will incur immediate and substantial dilution in the as adjusted net tangible book value of your ADSs because the price that you pay will be substantially greater than the net tangible book value per ADS you acquire. For a more detailed discussion of the foregoing, see the section entitled “Dilution” on page </w:t>
      </w:r>
      <w:r>
        <w:rPr>
          <w:rFonts w:ascii="Arial" w:cs="Arial" w:eastAsia="Arial" w:hAnsi="Arial"/>
          <w:sz w:val="17"/>
          <w:szCs w:val="17"/>
          <w:u w:val="single" w:color="auto"/>
          <w:color w:val="0000EE"/>
        </w:rPr>
        <w:t>S-11</w:t>
      </w:r>
      <w:r>
        <w:rPr>
          <w:rFonts w:ascii="Arial" w:cs="Arial" w:eastAsia="Arial" w:hAnsi="Arial"/>
          <w:sz w:val="17"/>
          <w:szCs w:val="17"/>
          <w:color w:val="auto"/>
        </w:rPr>
        <w:t>. To the extent outstanding share options are exercised or restricted share units vest, there will be further dilution to new investors. In addition, to the extent we need to raise additional capital in the future and we issue additional ADSs or securities convertible or exchangeable for our ordinary shares or ADSs, our then-existing shareholders may experience dilution and the new securities may have rights senior to those of our ADSs offered in this offering.</w:t>
      </w:r>
    </w:p>
    <w:p>
      <w:pPr>
        <w:spacing w:after="0" w:line="98" w:lineRule="exact"/>
        <w:rPr>
          <w:sz w:val="20"/>
          <w:szCs w:val="20"/>
          <w:color w:val="auto"/>
        </w:rPr>
      </w:pPr>
    </w:p>
    <w:p>
      <w:pPr>
        <w:ind w:left="1260" w:right="459"/>
        <w:spacing w:after="0" w:line="323" w:lineRule="auto"/>
        <w:rPr>
          <w:sz w:val="20"/>
          <w:szCs w:val="20"/>
          <w:color w:val="auto"/>
        </w:rPr>
      </w:pPr>
      <w:r>
        <w:rPr>
          <w:rFonts w:ascii="Arial" w:cs="Arial" w:eastAsia="Arial" w:hAnsi="Arial"/>
          <w:sz w:val="17"/>
          <w:szCs w:val="17"/>
          <w:b w:val="1"/>
          <w:bCs w:val="1"/>
          <w:color w:val="auto"/>
        </w:rPr>
        <w:t>We have broad discretion in the use of the net proceeds from this offering and may not use them effectively.</w:t>
      </w:r>
    </w:p>
    <w:p>
      <w:pPr>
        <w:spacing w:after="0" w:line="56" w:lineRule="exact"/>
        <w:rPr>
          <w:sz w:val="20"/>
          <w:szCs w:val="20"/>
          <w:color w:val="auto"/>
        </w:rPr>
      </w:pPr>
    </w:p>
    <w:p>
      <w:pPr>
        <w:ind w:left="1260" w:right="439"/>
        <w:spacing w:after="0" w:line="268"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to advance the development of ensifentrine, commercial preparation activities and, if approved, the commercial launch of ensifentrine, other research and development activities, and for working capital and other general corporate purposes. Failure by our management to apply these funds effectively could harm our business. Pending their use, we plan to invest the net proceeds from this offering in short- and intermediate-term, interest-bearing obligations, investment-grade instruments, certificates of deposit or direct, guaranteed obligations of the U.S. government, or money market mutual funds that invest in the listed securities. These investments may not yield a favorable return to our shareholders. If we do not invest or apply the net proceeds from this offering in ways that enhance shareholder value, we may fail to achieve expected financial results, which could cause our ADS price to decline.</w:t>
      </w:r>
    </w:p>
    <w:p>
      <w:pPr>
        <w:spacing w:after="0" w:line="110" w:lineRule="exact"/>
        <w:rPr>
          <w:sz w:val="20"/>
          <w:szCs w:val="20"/>
          <w:color w:val="auto"/>
        </w:rPr>
      </w:pPr>
    </w:p>
    <w:p>
      <w:pPr>
        <w:ind w:left="1260" w:right="859"/>
        <w:spacing w:after="0" w:line="323" w:lineRule="auto"/>
        <w:rPr>
          <w:sz w:val="20"/>
          <w:szCs w:val="20"/>
          <w:color w:val="auto"/>
        </w:rPr>
      </w:pPr>
      <w:r>
        <w:rPr>
          <w:rFonts w:ascii="Arial" w:cs="Arial" w:eastAsia="Arial" w:hAnsi="Arial"/>
          <w:sz w:val="17"/>
          <w:szCs w:val="17"/>
          <w:b w:val="1"/>
          <w:bCs w:val="1"/>
          <w:color w:val="auto"/>
        </w:rPr>
        <w:t>Future sales or issuances of our ADSs in the public markets, or the perception of such sales, could depress the trading price of our ADSs.</w:t>
      </w:r>
    </w:p>
    <w:p>
      <w:pPr>
        <w:spacing w:after="0" w:line="43" w:lineRule="exact"/>
        <w:rPr>
          <w:sz w:val="20"/>
          <w:szCs w:val="20"/>
          <w:color w:val="auto"/>
        </w:rPr>
      </w:pPr>
    </w:p>
    <w:p>
      <w:pPr>
        <w:ind w:left="1260" w:right="439"/>
        <w:spacing w:after="0" w:line="272" w:lineRule="auto"/>
        <w:rPr>
          <w:sz w:val="20"/>
          <w:szCs w:val="20"/>
          <w:color w:val="auto"/>
        </w:rPr>
      </w:pPr>
      <w:r>
        <w:rPr>
          <w:rFonts w:ascii="Arial" w:cs="Arial" w:eastAsia="Arial" w:hAnsi="Arial"/>
          <w:sz w:val="17"/>
          <w:szCs w:val="17"/>
          <w:color w:val="auto"/>
        </w:rPr>
        <w:t>The sale of a substantial number of our ADSs or other equity-related securities in the public markets, or the perception that such sales could occur, could depress the market price of our ADSs and impair our ability to raise capital through the sale of additional equity securities. Sales in the United States of our ADSs held by our directors, executive officers and affiliated shareholders are subject to restrictions. If these shareholders sell substantial amounts of ADSs in the public market, or the market perceives that such sales may occur, the market price of our ADSs and our ability to raise capital through an issue of equity securities in the future could be adversely affected.</w:t>
      </w:r>
    </w:p>
    <w:p>
      <w:pPr>
        <w:sectPr>
          <w:pgSz w:w="11900" w:h="16838" w:orient="portrait"/>
          <w:cols w:equalWidth="0" w:num="1">
            <w:col w:w="9879"/>
          </w:cols>
          <w:pgMar w:left="580" w:top="114" w:right="1440" w:bottom="1440" w:gutter="0" w:footer="0" w:header="0"/>
        </w:sectPr>
      </w:pPr>
    </w:p>
    <w:p>
      <w:pPr>
        <w:spacing w:after="0" w:line="390"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USE OF PROCEEDS</w:t>
      </w:r>
    </w:p>
    <w:p>
      <w:pPr>
        <w:spacing w:after="0" w:line="357" w:lineRule="exact"/>
        <w:rPr>
          <w:sz w:val="20"/>
          <w:szCs w:val="20"/>
          <w:color w:val="auto"/>
        </w:rPr>
      </w:pPr>
    </w:p>
    <w:p>
      <w:pPr>
        <w:ind w:left="1260" w:right="879"/>
        <w:spacing w:after="0" w:line="286" w:lineRule="auto"/>
        <w:rPr>
          <w:sz w:val="20"/>
          <w:szCs w:val="20"/>
          <w:color w:val="auto"/>
        </w:rPr>
      </w:pPr>
      <w:r>
        <w:rPr>
          <w:rFonts w:ascii="Arial" w:cs="Arial" w:eastAsia="Arial" w:hAnsi="Arial"/>
          <w:sz w:val="17"/>
          <w:szCs w:val="17"/>
          <w:color w:val="auto"/>
        </w:rPr>
        <w:t>We estimate that the net proceeds from this offering, after deducting underwriting discounts and commissions and estimated offering expenses payable by us, will be approximately $            million (or $            million if the underwriters exercise in full their option to purchase additional ADSs).</w:t>
      </w:r>
    </w:p>
    <w:p>
      <w:pPr>
        <w:spacing w:after="0" w:line="84" w:lineRule="exact"/>
        <w:rPr>
          <w:sz w:val="20"/>
          <w:szCs w:val="20"/>
          <w:color w:val="auto"/>
        </w:rPr>
      </w:pPr>
    </w:p>
    <w:p>
      <w:pPr>
        <w:ind w:left="1260" w:right="619"/>
        <w:spacing w:after="0" w:line="286" w:lineRule="auto"/>
        <w:rPr>
          <w:sz w:val="20"/>
          <w:szCs w:val="20"/>
          <w:color w:val="auto"/>
        </w:rPr>
      </w:pPr>
      <w:r>
        <w:rPr>
          <w:rFonts w:ascii="Arial" w:cs="Arial" w:eastAsia="Arial" w:hAnsi="Arial"/>
          <w:sz w:val="17"/>
          <w:szCs w:val="17"/>
          <w:color w:val="auto"/>
        </w:rPr>
        <w:t>We intend to use the net proceeds of this offering to advance the development of ensifentrine, commercial preparation activities and, if approved, the commercial launch of ensifentrine, other research and development activities, and for working capital and other general corporate purposes.</w:t>
      </w:r>
    </w:p>
    <w:p>
      <w:pPr>
        <w:spacing w:after="0" w:line="98" w:lineRule="exact"/>
        <w:rPr>
          <w:sz w:val="20"/>
          <w:szCs w:val="20"/>
          <w:color w:val="auto"/>
        </w:rPr>
      </w:pPr>
    </w:p>
    <w:p>
      <w:pPr>
        <w:ind w:left="1260" w:right="479"/>
        <w:spacing w:after="0" w:line="271" w:lineRule="auto"/>
        <w:rPr>
          <w:sz w:val="20"/>
          <w:szCs w:val="20"/>
          <w:color w:val="auto"/>
        </w:rPr>
      </w:pPr>
      <w:r>
        <w:rPr>
          <w:rFonts w:ascii="Arial" w:cs="Arial" w:eastAsia="Arial" w:hAnsi="Arial"/>
          <w:sz w:val="17"/>
          <w:szCs w:val="17"/>
          <w:color w:val="auto"/>
        </w:rPr>
        <w:t>The amounts and timing of our actual expenditures will depend on numerous factors, including the progress of our clinical trials and other development efforts and other factors described under “Risk Factors” in this prospectus supplement, the accompanying prospectus and the documents incorporated by reference herein and therein,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this offering in short-and intermediate-term, interest-bearing obligations, investment-grade instruments, certificates of deposit or direct or guaranteed obligations of the U.S. government.</w:t>
      </w:r>
    </w:p>
    <w:p>
      <w:pPr>
        <w:spacing w:after="0" w:line="111" w:lineRule="exact"/>
        <w:rPr>
          <w:sz w:val="20"/>
          <w:szCs w:val="20"/>
          <w:color w:val="auto"/>
        </w:rPr>
      </w:pPr>
    </w:p>
    <w:p>
      <w:pPr>
        <w:ind w:left="1260" w:right="479"/>
        <w:spacing w:after="0" w:line="271" w:lineRule="auto"/>
        <w:rPr>
          <w:sz w:val="20"/>
          <w:szCs w:val="20"/>
          <w:color w:val="auto"/>
        </w:rPr>
      </w:pPr>
      <w:r>
        <w:rPr>
          <w:rFonts w:ascii="Arial" w:cs="Arial" w:eastAsia="Arial" w:hAnsi="Arial"/>
          <w:sz w:val="17"/>
          <w:szCs w:val="17"/>
          <w:color w:val="auto"/>
        </w:rPr>
        <w:t>Based on the planned use of proceeds described above, we believe that the net proceeds from this offering, together with our existing cash and cash equivalents, expected cash receipts from the U.K. tax credit program and funding expected to become available under our debt facility with Silicon Valley Bank, will be</w:t>
      </w:r>
    </w:p>
    <w:p>
      <w:pPr>
        <w:spacing w:after="0" w:line="1" w:lineRule="exact"/>
        <w:rPr>
          <w:sz w:val="20"/>
          <w:szCs w:val="20"/>
          <w:color w:val="auto"/>
        </w:rPr>
      </w:pPr>
    </w:p>
    <w:p>
      <w:pPr>
        <w:ind w:left="1260" w:right="459"/>
        <w:spacing w:after="0" w:line="268" w:lineRule="auto"/>
        <w:rPr>
          <w:sz w:val="20"/>
          <w:szCs w:val="20"/>
          <w:color w:val="auto"/>
        </w:rPr>
      </w:pPr>
      <w:r>
        <w:rPr>
          <w:rFonts w:ascii="Arial" w:cs="Arial" w:eastAsia="Arial" w:hAnsi="Arial"/>
          <w:sz w:val="17"/>
          <w:szCs w:val="17"/>
          <w:color w:val="auto"/>
        </w:rPr>
        <w:t>sufficient to enable us to fund our operating expenses and capital expenditure requirements . We have based this estimate on assumptions that may prove to be incorrect, including our assumptions regarding the amount and timing of cash receipts from U.K. tax credits, which may be subject to changes in U.K. tax law, and our ability to achieve certain milestones that will enable us to access additional funding under our debt facility. We could use our available capital resources sooner than we currently expect. We may satisfy our future cash needs through the sale of equity securities, debt financings, working capital lines of credit, corporate collaborations or license agreements, grant funding, interest income earned on invested cash balances or a combination of one or more of these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DIVIDEND POLICY</w:t>
      </w:r>
    </w:p>
    <w:p>
      <w:pPr>
        <w:spacing w:after="0" w:line="357" w:lineRule="exact"/>
        <w:rPr>
          <w:sz w:val="20"/>
          <w:szCs w:val="20"/>
          <w:color w:val="auto"/>
        </w:rPr>
      </w:pPr>
    </w:p>
    <w:p>
      <w:pPr>
        <w:ind w:left="1260" w:right="459"/>
        <w:spacing w:after="0" w:line="271" w:lineRule="auto"/>
        <w:rPr>
          <w:sz w:val="20"/>
          <w:szCs w:val="20"/>
          <w:color w:val="auto"/>
        </w:rPr>
      </w:pPr>
      <w:r>
        <w:rPr>
          <w:rFonts w:ascii="Arial" w:cs="Arial" w:eastAsia="Arial" w:hAnsi="Arial"/>
          <w:sz w:val="17"/>
          <w:szCs w:val="17"/>
          <w:color w:val="auto"/>
        </w:rPr>
        <w:t>We have never paid or declared any cash dividends on our ordinary shares or ADSs, and we do not anticipate paying any cash dividends on our ordinary shares or ADSs in the foreseeable future. We intend to retain all available funds and any future earnings to fund the development and expansion of our business. Under English law, among other things, we may only pay dividends if we have sufficient distributable reserves (on a non-consolidated basis), which are our accumulated realized profits that have not been previously distributed or capitalized less our accumulated realized losses, so far as such losses have not been previously written off in a reduction or reorganization of capital. See “Description of Share Capital and Articles of Association” of the accompanying prospectus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12" w:name="page13"/>
    <w:bookmarkEnd w:id="1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DILUTION</w:t>
      </w:r>
    </w:p>
    <w:p>
      <w:pPr>
        <w:spacing w:after="0" w:line="357" w:lineRule="exact"/>
        <w:rPr>
          <w:sz w:val="20"/>
          <w:szCs w:val="20"/>
          <w:color w:val="auto"/>
        </w:rPr>
      </w:pPr>
    </w:p>
    <w:p>
      <w:pPr>
        <w:ind w:left="1260" w:right="459"/>
        <w:spacing w:after="0" w:line="273" w:lineRule="auto"/>
        <w:rPr>
          <w:sz w:val="20"/>
          <w:szCs w:val="20"/>
          <w:color w:val="auto"/>
        </w:rPr>
      </w:pPr>
      <w:r>
        <w:rPr>
          <w:rFonts w:ascii="Arial" w:cs="Arial" w:eastAsia="Arial" w:hAnsi="Arial"/>
          <w:sz w:val="17"/>
          <w:szCs w:val="17"/>
          <w:color w:val="auto"/>
        </w:rPr>
        <w:t>If you invest in our ADSs, your interest will be diluted to the extent of the difference between the price per ADS you pay in this offering and the net tangible book value per ADS immediately after this offering. Our net tangible book value as of June 30, 2022 was $110.3 million, or approximately $1.82 per ADS. Net tangible book value per ADS is equal to our total tangible assets, less our total liabilities, divided by the total number of our ordinary shares outstanding as of June 30, 2022, multiplied by eight, which is the number of ordinary shares represented by one ADS.</w:t>
      </w:r>
    </w:p>
    <w:p>
      <w:pPr>
        <w:spacing w:after="0" w:line="97" w:lineRule="exact"/>
        <w:rPr>
          <w:sz w:val="20"/>
          <w:szCs w:val="20"/>
          <w:color w:val="auto"/>
        </w:rPr>
      </w:pPr>
    </w:p>
    <w:p>
      <w:pPr>
        <w:ind w:left="1260" w:right="579"/>
        <w:spacing w:after="0" w:line="273" w:lineRule="auto"/>
        <w:rPr>
          <w:sz w:val="20"/>
          <w:szCs w:val="20"/>
          <w:color w:val="auto"/>
        </w:rPr>
      </w:pPr>
      <w:r>
        <w:rPr>
          <w:rFonts w:ascii="Arial" w:cs="Arial" w:eastAsia="Arial" w:hAnsi="Arial"/>
          <w:sz w:val="17"/>
          <w:szCs w:val="17"/>
          <w:color w:val="auto"/>
        </w:rPr>
        <w:t>After giving effect to the sale of             ADSs at the public offering price of  $          per ADS, and after deducting underwriting discounts and commissions and estimated offering expenses payable by us, our as adjusted net tangible book value as of June 30, 2022 would have been $          million, or $          per ADS. This represents an immediate increase in net tangible book value of  $          per ADS to our existing shareholders and an immediate dilution in net tangible book value of  $          per ADS to new investors in this offering.</w:t>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following table illustrates this calculation on a per ADS basis.</w:t>
      </w:r>
    </w:p>
    <w:p>
      <w:pPr>
        <w:spacing w:after="0" w:line="204" w:lineRule="exact"/>
        <w:rPr>
          <w:sz w:val="20"/>
          <w:szCs w:val="20"/>
          <w:color w:val="auto"/>
        </w:rPr>
      </w:pPr>
    </w:p>
    <w:tbl>
      <w:tblPr>
        <w:tblLayout w:type="fixed"/>
        <w:tblInd w:w="1260" w:type="dxa"/>
        <w:tblCellMar>
          <w:top w:w="0" w:type="dxa"/>
          <w:left w:w="0" w:type="dxa"/>
          <w:bottom w:w="0" w:type="dxa"/>
          <w:right w:w="0" w:type="dxa"/>
        </w:tblCellMar>
      </w:tblPr>
      <w:tr>
        <w:trPr>
          <w:trHeight w:val="392"/>
        </w:trPr>
        <w:tc>
          <w:tcPr>
            <w:tcW w:w="64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​Public offering price per ADS</w:t>
            </w:r>
          </w:p>
        </w:tc>
        <w:tc>
          <w:tcPr>
            <w:tcW w:w="32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4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 xml:space="preserve">     </w:t>
            </w:r>
          </w:p>
        </w:tc>
        <w:tc>
          <w:tcPr>
            <w:tcW w:w="1000" w:type="dxa"/>
            <w:vAlign w:val="bottom"/>
            <w:tcBorders>
              <w:top w:val="single" w:sz="8" w:color="auto"/>
            </w:tcBorders>
            <w:gridSpan w:val="3"/>
            <w:shd w:val="clear" w:color="auto" w:fill="CCEEFF"/>
          </w:tcPr>
          <w:p>
            <w:pPr>
              <w:ind w:left="40"/>
              <w:spacing w:after="0"/>
              <w:rPr>
                <w:sz w:val="20"/>
                <w:szCs w:val="20"/>
                <w:color w:val="auto"/>
              </w:rPr>
            </w:pPr>
            <w:r>
              <w:rPr>
                <w:rFonts w:ascii="Arial" w:cs="Arial" w:eastAsia="Arial" w:hAnsi="Arial"/>
                <w:sz w:val="17"/>
                <w:szCs w:val="17"/>
                <w:color w:val="auto"/>
              </w:rPr>
              <w:t xml:space="preserve">​ ​​$             </w:t>
            </w:r>
          </w:p>
        </w:tc>
        <w:tc>
          <w:tcPr>
            <w:tcW w:w="6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0"/>
                <w:szCs w:val="20"/>
                <w:color w:val="auto"/>
              </w:rPr>
            </w:pPr>
            <w:r>
              <w:rPr>
                <w:rFonts w:ascii="Arial" w:cs="Arial" w:eastAsia="Arial" w:hAnsi="Arial"/>
                <w:sz w:val="17"/>
                <w:szCs w:val="17"/>
                <w:color w:val="auto"/>
              </w:rPr>
              <w:t>​</w:t>
            </w:r>
          </w:p>
        </w:tc>
        <w:tc>
          <w:tcPr>
            <w:tcW w:w="6360" w:type="dxa"/>
            <w:vAlign w:val="bottom"/>
          </w:tcPr>
          <w:p>
            <w:pPr>
              <w:ind w:left="80"/>
              <w:spacing w:after="0"/>
              <w:rPr>
                <w:sz w:val="20"/>
                <w:szCs w:val="20"/>
                <w:color w:val="auto"/>
              </w:rPr>
            </w:pPr>
            <w:r>
              <w:rPr>
                <w:rFonts w:ascii="Arial" w:cs="Arial" w:eastAsia="Arial" w:hAnsi="Arial"/>
                <w:sz w:val="17"/>
                <w:szCs w:val="17"/>
                <w:color w:val="auto"/>
              </w:rPr>
              <w:t>Net tangible book value per ADS as of June 30, 2022</w:t>
            </w:r>
          </w:p>
        </w:tc>
        <w:tc>
          <w:tcPr>
            <w:tcW w:w="1740" w:type="dxa"/>
            <w:vAlign w:val="bottom"/>
            <w:gridSpan w:val="6"/>
          </w:tcPr>
          <w:p>
            <w:pPr>
              <w:ind w:left="60"/>
              <w:spacing w:after="0"/>
              <w:rPr>
                <w:sz w:val="20"/>
                <w:szCs w:val="20"/>
                <w:color w:val="auto"/>
              </w:rPr>
            </w:pPr>
            <w:r>
              <w:rPr>
                <w:rFonts w:ascii="Arial" w:cs="Arial" w:eastAsia="Arial" w:hAnsi="Arial"/>
                <w:sz w:val="17"/>
                <w:szCs w:val="17"/>
                <w:color w:val="auto"/>
              </w:rPr>
              <w:t>​ ​​$ 1.82​​ ​​ ​</w:t>
            </w:r>
          </w:p>
        </w:tc>
        <w:tc>
          <w:tcPr>
            <w:tcW w:w="6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1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36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Increase in net tangible book value per ADS attributable to the offering</w:t>
            </w:r>
          </w:p>
        </w:tc>
        <w:tc>
          <w:tcPr>
            <w:tcW w:w="740" w:type="dxa"/>
            <w:vAlign w:val="bottom"/>
            <w:gridSpan w:val="3"/>
            <w:shd w:val="clear" w:color="auto" w:fill="CCEEFF"/>
          </w:tcPr>
          <w:p>
            <w:pPr>
              <w:ind w:left="60"/>
              <w:spacing w:after="0" w:line="269"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1"/>
                <w:szCs w:val="31"/>
                <w:color w:val="auto"/>
                <w:vertAlign w:val="superscript"/>
              </w:rPr>
              <w:t>​</w:t>
            </w:r>
          </w:p>
        </w:tc>
        <w:tc>
          <w:tcPr>
            <w:tcW w:w="1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 ​​ ​</w:t>
            </w:r>
          </w:p>
        </w:tc>
        <w:tc>
          <w:tcPr>
            <w:tcW w:w="6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46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60" w:type="dxa"/>
            <w:vAlign w:val="bottom"/>
            <w:gridSpan w:val="2"/>
          </w:tcPr>
          <w:p>
            <w:pPr>
              <w:spacing w:after="0" w:line="169" w:lineRule="exact"/>
              <w:rPr>
                <w:sz w:val="20"/>
                <w:szCs w:val="20"/>
                <w:color w:val="auto"/>
              </w:rPr>
            </w:pPr>
            <w:r>
              <w:rPr>
                <w:rFonts w:ascii="Arial" w:cs="Arial" w:eastAsia="Arial" w:hAnsi="Arial"/>
                <w:sz w:val="17"/>
                <w:szCs w:val="17"/>
                <w:color w:val="auto"/>
              </w:rPr>
              <w:t>As adjusted net tangible book value per ADS after giving effect to the offering</w:t>
            </w:r>
          </w:p>
        </w:tc>
        <w:tc>
          <w:tcPr>
            <w:tcW w:w="320" w:type="dxa"/>
            <w:vAlign w:val="bottom"/>
            <w:gridSpan w:val="2"/>
            <w:vMerge w:val="restart"/>
          </w:tcPr>
          <w:p>
            <w:pPr>
              <w:ind w:left="60"/>
              <w:spacing w:after="0"/>
              <w:rPr>
                <w:sz w:val="20"/>
                <w:szCs w:val="20"/>
                <w:color w:val="auto"/>
              </w:rPr>
            </w:pPr>
            <w:r>
              <w:rPr>
                <w:rFonts w:ascii="Arial" w:cs="Arial" w:eastAsia="Arial" w:hAnsi="Arial"/>
                <w:sz w:val="17"/>
                <w:szCs w:val="17"/>
                <w:color w:val="auto"/>
              </w:rPr>
              <w:t>​ ​​</w:t>
            </w:r>
          </w:p>
        </w:tc>
        <w:tc>
          <w:tcPr>
            <w:tcW w:w="42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320" w:type="dxa"/>
            <w:vAlign w:val="bottom"/>
            <w:gridSpan w:val="2"/>
            <w:vMerge w:val="restart"/>
          </w:tcPr>
          <w:p>
            <w:pPr>
              <w:spacing w:after="0"/>
              <w:rPr>
                <w:sz w:val="20"/>
                <w:szCs w:val="20"/>
                <w:color w:val="auto"/>
              </w:rPr>
            </w:pPr>
            <w:r>
              <w:rPr>
                <w:rFonts w:ascii="Arial" w:cs="Arial" w:eastAsia="Arial" w:hAnsi="Arial"/>
                <w:sz w:val="17"/>
                <w:szCs w:val="17"/>
                <w:color w:val="auto"/>
              </w:rPr>
              <w:t>​​ ​​</w:t>
            </w:r>
          </w:p>
        </w:tc>
        <w:tc>
          <w:tcPr>
            <w:tcW w:w="680" w:type="dxa"/>
            <w:vAlign w:val="bottom"/>
          </w:tcPr>
          <w:p>
            <w:pPr>
              <w:spacing w:after="0" w:line="169" w:lineRule="exact"/>
              <w:rPr>
                <w:sz w:val="20"/>
                <w:szCs w:val="20"/>
                <w:color w:val="auto"/>
              </w:rPr>
            </w:pPr>
            <w:r>
              <w:rPr>
                <w:rFonts w:ascii="Arial" w:cs="Arial" w:eastAsia="Arial" w:hAnsi="Arial"/>
                <w:sz w:val="17"/>
                <w:szCs w:val="17"/>
                <w:color w:val="auto"/>
              </w:rPr>
              <w:t>​</w:t>
            </w:r>
          </w:p>
        </w:tc>
        <w:tc>
          <w:tcPr>
            <w:tcW w:w="60" w:type="dxa"/>
            <w:vAlign w:val="bottom"/>
            <w:vMerge w:val="restart"/>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81"/>
        </w:trPr>
        <w:tc>
          <w:tcPr>
            <w:tcW w:w="100" w:type="dxa"/>
            <w:vAlign w:val="bottom"/>
          </w:tcPr>
          <w:p>
            <w:pPr>
              <w:spacing w:after="0" w:line="81" w:lineRule="exact"/>
              <w:rPr>
                <w:sz w:val="20"/>
                <w:szCs w:val="20"/>
                <w:color w:val="auto"/>
              </w:rPr>
            </w:pPr>
            <w:r>
              <w:rPr>
                <w:rFonts w:ascii="Arial" w:cs="Arial" w:eastAsia="Arial" w:hAnsi="Arial"/>
                <w:sz w:val="9"/>
                <w:szCs w:val="9"/>
                <w:color w:val="auto"/>
              </w:rPr>
              <w:t>​</w:t>
            </w:r>
          </w:p>
        </w:tc>
        <w:tc>
          <w:tcPr>
            <w:tcW w:w="636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646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Dilution per ADS to new investors participating in the offering</w:t>
            </w:r>
          </w:p>
        </w:tc>
        <w:tc>
          <w:tcPr>
            <w:tcW w:w="320" w:type="dxa"/>
            <w:vAlign w:val="bottom"/>
            <w:tcBorders>
              <w:top w:val="single" w:sz="8" w:color="CCEEFF"/>
            </w:tcBorders>
            <w:gridSpan w:val="2"/>
            <w:vMerge w:val="restart"/>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420" w:type="dxa"/>
            <w:vAlign w:val="bottom"/>
            <w:tcBorders>
              <w:top w:val="single" w:sz="8" w:color="CCEEFF"/>
            </w:tcBorders>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Pr>
          <w:p>
            <w:pPr>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88"/>
        </w:trPr>
        <w:tc>
          <w:tcPr>
            <w:tcW w:w="10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6360" w:type="dxa"/>
            <w:vAlign w:val="bottom"/>
            <w:shd w:val="clear" w:color="auto" w:fill="CCEEFF"/>
          </w:tcPr>
          <w:p>
            <w:pPr>
              <w:spacing w:after="0"/>
              <w:rPr>
                <w:sz w:val="7"/>
                <w:szCs w:val="7"/>
                <w:color w:val="auto"/>
              </w:rPr>
            </w:pPr>
          </w:p>
        </w:tc>
        <w:tc>
          <w:tcPr>
            <w:tcW w:w="320" w:type="dxa"/>
            <w:vAlign w:val="bottom"/>
            <w:gridSpan w:val="2"/>
            <w:vMerge w:val="continue"/>
            <w:shd w:val="clear" w:color="auto" w:fill="CCEEFF"/>
          </w:tcPr>
          <w:p>
            <w:pPr>
              <w:spacing w:after="0"/>
              <w:rPr>
                <w:sz w:val="7"/>
                <w:szCs w:val="7"/>
                <w:color w:val="auto"/>
              </w:rPr>
            </w:pPr>
          </w:p>
        </w:tc>
        <w:tc>
          <w:tcPr>
            <w:tcW w:w="420" w:type="dxa"/>
            <w:vAlign w:val="bottom"/>
            <w:vMerge w:val="continue"/>
            <w:shd w:val="clear" w:color="auto" w:fill="CCEEFF"/>
          </w:tcPr>
          <w:p>
            <w:pPr>
              <w:spacing w:after="0"/>
              <w:rPr>
                <w:sz w:val="7"/>
                <w:szCs w:val="7"/>
                <w:color w:val="auto"/>
              </w:rPr>
            </w:pPr>
          </w:p>
        </w:tc>
        <w:tc>
          <w:tcPr>
            <w:tcW w:w="320" w:type="dxa"/>
            <w:vAlign w:val="bottom"/>
            <w:gridSpan w:val="2"/>
            <w:shd w:val="clear" w:color="auto" w:fill="CCEEFF"/>
          </w:tcPr>
          <w:p>
            <w:pPr>
              <w:spacing w:after="0" w:line="68" w:lineRule="exact"/>
              <w:rPr>
                <w:sz w:val="20"/>
                <w:szCs w:val="20"/>
                <w:color w:val="auto"/>
              </w:rPr>
            </w:pPr>
            <w:r>
              <w:rPr>
                <w:rFonts w:ascii="Arial" w:cs="Arial" w:eastAsia="Arial" w:hAnsi="Arial"/>
                <w:sz w:val="7"/>
                <w:szCs w:val="7"/>
                <w:b w:val="1"/>
                <w:bCs w:val="1"/>
                <w:color w:val="auto"/>
              </w:rPr>
              <w:t>​</w:t>
            </w:r>
            <w:r>
              <w:rPr>
                <w:rFonts w:ascii="Arial" w:cs="Arial" w:eastAsia="Arial" w:hAnsi="Arial"/>
                <w:sz w:val="7"/>
                <w:szCs w:val="7"/>
                <w:color w:val="auto"/>
              </w:rPr>
              <w:t>​ ​​</w:t>
            </w:r>
          </w:p>
        </w:tc>
        <w:tc>
          <w:tcPr>
            <w:tcW w:w="680" w:type="dxa"/>
            <w:vAlign w:val="bottom"/>
            <w:shd w:val="clear" w:color="auto" w:fill="CCEEFF"/>
          </w:tcPr>
          <w:p>
            <w:pPr>
              <w:spacing w:after="0"/>
              <w:rPr>
                <w:sz w:val="7"/>
                <w:szCs w:val="7"/>
                <w:color w:val="auto"/>
              </w:rPr>
            </w:pPr>
          </w:p>
        </w:tc>
        <w:tc>
          <w:tcPr>
            <w:tcW w:w="60" w:type="dxa"/>
            <w:vAlign w:val="bottom"/>
          </w:tcPr>
          <w:p>
            <w:pPr>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00" w:type="dxa"/>
            <w:vAlign w:val="bottom"/>
            <w:tcBorders>
              <w:bottom w:val="single" w:sz="8" w:color="auto"/>
            </w:tcBorders>
          </w:tcPr>
          <w:p>
            <w:pPr>
              <w:spacing w:after="0"/>
              <w:rPr>
                <w:sz w:val="7"/>
                <w:szCs w:val="7"/>
                <w:color w:val="auto"/>
              </w:rPr>
            </w:pPr>
          </w:p>
        </w:tc>
        <w:tc>
          <w:tcPr>
            <w:tcW w:w="63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-281940</wp:posOffset>
            </wp:positionV>
            <wp:extent cx="47059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100" w:lineRule="exact"/>
        <w:rPr>
          <w:sz w:val="20"/>
          <w:szCs w:val="20"/>
          <w:color w:val="auto"/>
        </w:rPr>
      </w:pPr>
    </w:p>
    <w:p>
      <w:pPr>
        <w:jc w:val="both"/>
        <w:ind w:left="1260" w:right="679"/>
        <w:spacing w:after="0" w:line="279" w:lineRule="auto"/>
        <w:rPr>
          <w:sz w:val="20"/>
          <w:szCs w:val="20"/>
          <w:color w:val="auto"/>
        </w:rPr>
      </w:pPr>
      <w:r>
        <w:rPr>
          <w:rFonts w:ascii="Arial" w:cs="Arial" w:eastAsia="Arial" w:hAnsi="Arial"/>
          <w:sz w:val="17"/>
          <w:szCs w:val="17"/>
          <w:color w:val="auto"/>
        </w:rPr>
        <w:t>If the underwriters exercise in full their option to purchase additional ADSs, and after deducting estimated underwriting discounts and commissions and estimated offering expenses payable by us, the as adjusted net tangible book value after giving effect to this offering would increase to $            per ADS, and dilution per ADS to new investors participating in this offering would increase to $            per ADS.</w:t>
      </w:r>
    </w:p>
    <w:p>
      <w:pPr>
        <w:spacing w:after="0" w:line="104" w:lineRule="exact"/>
        <w:rPr>
          <w:sz w:val="20"/>
          <w:szCs w:val="20"/>
          <w:color w:val="auto"/>
        </w:rPr>
      </w:pPr>
    </w:p>
    <w:p>
      <w:pPr>
        <w:ind w:left="1260" w:right="459"/>
        <w:spacing w:after="0" w:line="306" w:lineRule="auto"/>
        <w:rPr>
          <w:sz w:val="20"/>
          <w:szCs w:val="20"/>
          <w:color w:val="auto"/>
        </w:rPr>
      </w:pPr>
      <w:r>
        <w:rPr>
          <w:rFonts w:ascii="Arial" w:cs="Arial" w:eastAsia="Arial" w:hAnsi="Arial"/>
          <w:sz w:val="17"/>
          <w:szCs w:val="17"/>
          <w:color w:val="auto"/>
        </w:rPr>
        <w:t>The foregoing tables and calculations are based on 485,298,326 ordinary shares outstanding as of June 30, 2022, and excludes:</w:t>
      </w:r>
    </w:p>
    <w:p>
      <w:pPr>
        <w:spacing w:after="0" w:line="1" w:lineRule="exact"/>
        <w:rPr>
          <w:sz w:val="20"/>
          <w:szCs w:val="20"/>
          <w:color w:val="auto"/>
        </w:rPr>
      </w:pPr>
    </w:p>
    <w:p>
      <w:pPr>
        <w:ind w:left="1840" w:right="579" w:hanging="220"/>
        <w:spacing w:after="0" w:line="306" w:lineRule="auto"/>
        <w:tabs>
          <w:tab w:leader="none" w:pos="1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15,063,200 ordinary shares issuable upon the exercise of share options outstanding as of June 30, 2022, at a weighted average exercise price of  $1.24 per ordinary share;</w:t>
      </w:r>
    </w:p>
    <w:p>
      <w:pPr>
        <w:spacing w:after="0" w:line="1" w:lineRule="exact"/>
        <w:rPr>
          <w:rFonts w:ascii="Arial" w:cs="Arial" w:eastAsia="Arial" w:hAnsi="Arial"/>
          <w:sz w:val="17"/>
          <w:szCs w:val="17"/>
          <w:color w:val="auto"/>
        </w:rPr>
      </w:pPr>
    </w:p>
    <w:p>
      <w:pPr>
        <w:ind w:left="1840" w:right="1119" w:hanging="220"/>
        <w:spacing w:after="0" w:line="308" w:lineRule="auto"/>
        <w:tabs>
          <w:tab w:leader="none" w:pos="1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31,119,944 ordinary shares issuable upon vesting of restricted share units outstanding as of June 30, 2022; and</w:t>
      </w:r>
    </w:p>
    <w:p>
      <w:pPr>
        <w:spacing w:after="0" w:line="11" w:lineRule="exact"/>
        <w:rPr>
          <w:rFonts w:ascii="Arial" w:cs="Arial" w:eastAsia="Arial" w:hAnsi="Arial"/>
          <w:sz w:val="17"/>
          <w:szCs w:val="17"/>
          <w:color w:val="auto"/>
        </w:rPr>
      </w:pPr>
    </w:p>
    <w:p>
      <w:pPr>
        <w:ind w:left="1840" w:right="679" w:hanging="220"/>
        <w:spacing w:after="0" w:line="286" w:lineRule="auto"/>
        <w:tabs>
          <w:tab w:leader="none" w:pos="1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19,551,001 ordinary shares reserved for future issuance under the 2017 Plan as of June 30, 2022, and ordinary shares that may become available pursuant to provisions in the 2017 Plan that automatically increase the share reserve under the 2017 Plan.</w:t>
      </w:r>
    </w:p>
    <w:p>
      <w:pPr>
        <w:spacing w:after="0" w:line="84" w:lineRule="exact"/>
        <w:rPr>
          <w:sz w:val="20"/>
          <w:szCs w:val="20"/>
          <w:color w:val="auto"/>
        </w:rPr>
      </w:pPr>
    </w:p>
    <w:p>
      <w:pPr>
        <w:ind w:left="1260" w:right="419"/>
        <w:spacing w:after="0" w:line="286" w:lineRule="auto"/>
        <w:rPr>
          <w:sz w:val="20"/>
          <w:szCs w:val="20"/>
          <w:color w:val="auto"/>
        </w:rPr>
      </w:pPr>
      <w:r>
        <w:rPr>
          <w:rFonts w:ascii="Arial" w:cs="Arial" w:eastAsia="Arial" w:hAnsi="Arial"/>
          <w:sz w:val="17"/>
          <w:szCs w:val="17"/>
          <w:color w:val="auto"/>
        </w:rPr>
        <w:t>The foregoing table does not give effect to the exercise of any outstanding options or the vesting of any restricted share units. To the extent options are exercised, or restricted share units vest, there may be further dilution to new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MATERIAL TAX CONSIDERATIONS</w:t>
      </w:r>
    </w:p>
    <w:p>
      <w:pPr>
        <w:spacing w:after="0" w:line="35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Material U.S. Federal Income Tax Consequences to U.S. Holders</w:t>
      </w:r>
    </w:p>
    <w:p>
      <w:pPr>
        <w:spacing w:after="0" w:line="144" w:lineRule="exact"/>
        <w:rPr>
          <w:sz w:val="20"/>
          <w:szCs w:val="20"/>
          <w:color w:val="auto"/>
        </w:rPr>
      </w:pPr>
    </w:p>
    <w:p>
      <w:pPr>
        <w:ind w:left="1260" w:right="459"/>
        <w:spacing w:after="0" w:line="257" w:lineRule="auto"/>
        <w:rPr>
          <w:sz w:val="20"/>
          <w:szCs w:val="20"/>
          <w:color w:val="auto"/>
        </w:rPr>
      </w:pPr>
      <w:r>
        <w:rPr>
          <w:rFonts w:ascii="Arial" w:cs="Arial" w:eastAsia="Arial" w:hAnsi="Arial"/>
          <w:sz w:val="17"/>
          <w:szCs w:val="17"/>
          <w:color w:val="auto"/>
        </w:rPr>
        <w:t>The following discussion is a summary of the material U.S. federal income tax consequences to the U.S. Holders (as defined below) of the ownership and disposition of our ordinary shares or ADSs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U.S. Treasury regulations promulgated thereunder, the income tax treaty between the United Kingdom and the United States (the “Treaty”),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U.S. Holder. We have not sought and will not seek any rulings from the IRS regarding the matters discussed below. There can be no assurance the IRS or a court will not take a contrary position to that discussed below regarding the tax consequences of the ownership and disposition of our ordinary shares or ADSs.</w:t>
      </w:r>
    </w:p>
    <w:p>
      <w:pPr>
        <w:spacing w:after="0" w:line="114" w:lineRule="exact"/>
        <w:rPr>
          <w:sz w:val="20"/>
          <w:szCs w:val="20"/>
          <w:color w:val="auto"/>
        </w:rPr>
      </w:pPr>
    </w:p>
    <w:p>
      <w:pPr>
        <w:ind w:left="1260" w:right="499"/>
        <w:spacing w:after="0" w:line="263" w:lineRule="auto"/>
        <w:rPr>
          <w:sz w:val="20"/>
          <w:szCs w:val="20"/>
          <w:color w:val="auto"/>
        </w:rPr>
      </w:pPr>
      <w:r>
        <w:rPr>
          <w:rFonts w:ascii="Arial" w:cs="Arial" w:eastAsia="Arial" w:hAnsi="Arial"/>
          <w:sz w:val="17"/>
          <w:szCs w:val="17"/>
          <w:color w:val="auto"/>
        </w:rPr>
        <w:t>This discussion is limited to U.S. Holders that hold our ordinary shares or ADSs as a “capital asset” within the meaning of Section 1221 of the Code (generally, property held for investment). This discussion does not address all U.S. federal income tax consequences relevant to a U.S. Holder’s particular circumstances, including the impact of the Medicare contribution tax on net investment income and the alternative minimum tax. In addition, it does not address consequences relevant to U.S. Holders subject to special rules, including, without limitation:</w:t>
      </w:r>
    </w:p>
    <w:p>
      <w:pPr>
        <w:spacing w:after="0" w:line="38" w:lineRule="exact"/>
        <w:rPr>
          <w:sz w:val="20"/>
          <w:szCs w:val="20"/>
          <w:color w:val="auto"/>
        </w:rPr>
      </w:pPr>
    </w:p>
    <w:p>
      <w:pPr>
        <w:ind w:left="1840" w:hanging="220"/>
        <w:spacing w:after="0"/>
        <w:tabs>
          <w:tab w:leader="none" w:pos="1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banks, insurance companies, and other financial institutions;</w:t>
      </w:r>
    </w:p>
    <w:p>
      <w:pPr>
        <w:spacing w:after="0" w:line="88" w:lineRule="exact"/>
        <w:rPr>
          <w:rFonts w:ascii="Arial" w:cs="Arial" w:eastAsia="Arial" w:hAnsi="Arial"/>
          <w:sz w:val="17"/>
          <w:szCs w:val="17"/>
          <w:color w:val="auto"/>
        </w:rPr>
      </w:pPr>
    </w:p>
    <w:p>
      <w:pPr>
        <w:ind w:left="1840" w:hanging="220"/>
        <w:spacing w:after="0"/>
        <w:tabs>
          <w:tab w:leader="none" w:pos="1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U.S. expatriates and former citizens or long-term residents of the United States;</w:t>
      </w:r>
    </w:p>
    <w:p>
      <w:pPr>
        <w:spacing w:after="0" w:line="88" w:lineRule="exact"/>
        <w:rPr>
          <w:rFonts w:ascii="Arial" w:cs="Arial" w:eastAsia="Arial" w:hAnsi="Arial"/>
          <w:sz w:val="17"/>
          <w:szCs w:val="17"/>
          <w:color w:val="auto"/>
        </w:rPr>
      </w:pPr>
    </w:p>
    <w:p>
      <w:pPr>
        <w:ind w:left="1840" w:hanging="220"/>
        <w:spacing w:after="0"/>
        <w:tabs>
          <w:tab w:leader="none" w:pos="1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dealers or traders in securities who use a mark-to-market method of tax accounting;</w:t>
      </w:r>
    </w:p>
    <w:p>
      <w:pPr>
        <w:spacing w:after="0" w:line="88" w:lineRule="exact"/>
        <w:rPr>
          <w:rFonts w:ascii="Arial" w:cs="Arial" w:eastAsia="Arial" w:hAnsi="Arial"/>
          <w:sz w:val="17"/>
          <w:szCs w:val="17"/>
          <w:color w:val="auto"/>
        </w:rPr>
      </w:pPr>
    </w:p>
    <w:p>
      <w:pPr>
        <w:ind w:left="1840" w:right="479" w:hanging="220"/>
        <w:spacing w:after="0" w:line="286" w:lineRule="auto"/>
        <w:tabs>
          <w:tab w:leader="none" w:pos="1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persons holding our ordinary shares or ADSs as part of a hedging transaction, “straddle,” wash sale, conversion transaction, or integrated transaction, or persons entering into a constructive sale with respect to ordinary shares or ADSs;</w:t>
      </w:r>
    </w:p>
    <w:p>
      <w:pPr>
        <w:spacing w:after="0" w:line="30" w:lineRule="exact"/>
        <w:rPr>
          <w:rFonts w:ascii="Arial" w:cs="Arial" w:eastAsia="Arial" w:hAnsi="Arial"/>
          <w:sz w:val="17"/>
          <w:szCs w:val="17"/>
          <w:color w:val="auto"/>
        </w:rPr>
      </w:pPr>
    </w:p>
    <w:p>
      <w:pPr>
        <w:ind w:left="1840" w:hanging="220"/>
        <w:spacing w:after="0"/>
        <w:tabs>
          <w:tab w:leader="none" w:pos="1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persons whose “functional currency” for U.S. federal income tax purposes is not the U.S. dollar;</w:t>
      </w:r>
    </w:p>
    <w:p>
      <w:pPr>
        <w:spacing w:after="0" w:line="88" w:lineRule="exact"/>
        <w:rPr>
          <w:rFonts w:ascii="Arial" w:cs="Arial" w:eastAsia="Arial" w:hAnsi="Arial"/>
          <w:sz w:val="17"/>
          <w:szCs w:val="17"/>
          <w:color w:val="auto"/>
        </w:rPr>
      </w:pPr>
    </w:p>
    <w:p>
      <w:pPr>
        <w:ind w:left="1840" w:hanging="220"/>
        <w:spacing w:after="0"/>
        <w:tabs>
          <w:tab w:leader="none" w:pos="1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brokers, dealers or traders in securities, commodities, or currencies;</w:t>
      </w:r>
    </w:p>
    <w:p>
      <w:pPr>
        <w:spacing w:after="0" w:line="88" w:lineRule="exact"/>
        <w:rPr>
          <w:rFonts w:ascii="Arial" w:cs="Arial" w:eastAsia="Arial" w:hAnsi="Arial"/>
          <w:sz w:val="17"/>
          <w:szCs w:val="17"/>
          <w:color w:val="auto"/>
        </w:rPr>
      </w:pPr>
    </w:p>
    <w:p>
      <w:pPr>
        <w:ind w:left="1840" w:hanging="220"/>
        <w:spacing w:after="0"/>
        <w:tabs>
          <w:tab w:leader="none" w:pos="1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tax-exempt entities or government organizations;</w:t>
      </w:r>
    </w:p>
    <w:p>
      <w:pPr>
        <w:spacing w:after="0" w:line="88" w:lineRule="exact"/>
        <w:rPr>
          <w:rFonts w:ascii="Arial" w:cs="Arial" w:eastAsia="Arial" w:hAnsi="Arial"/>
          <w:sz w:val="17"/>
          <w:szCs w:val="17"/>
          <w:color w:val="auto"/>
        </w:rPr>
      </w:pPr>
    </w:p>
    <w:p>
      <w:pPr>
        <w:ind w:left="1840" w:hanging="220"/>
        <w:spacing w:after="0"/>
        <w:tabs>
          <w:tab w:leader="none" w:pos="1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persons deemed to sell ordinary shares or ADSs under the constructive sale provisions of the Code;</w:t>
      </w:r>
    </w:p>
    <w:p>
      <w:pPr>
        <w:spacing w:after="0" w:line="88" w:lineRule="exact"/>
        <w:rPr>
          <w:rFonts w:ascii="Arial" w:cs="Arial" w:eastAsia="Arial" w:hAnsi="Arial"/>
          <w:sz w:val="17"/>
          <w:szCs w:val="17"/>
          <w:color w:val="auto"/>
        </w:rPr>
      </w:pPr>
    </w:p>
    <w:p>
      <w:pPr>
        <w:ind w:left="1840" w:right="639" w:hanging="220"/>
        <w:spacing w:after="0" w:line="306" w:lineRule="auto"/>
        <w:tabs>
          <w:tab w:leader="none" w:pos="1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 corporations or partnerships or other entities or arrangements classified as partnerships for U.S. federal income tax purposes;</w:t>
      </w:r>
    </w:p>
    <w:p>
      <w:pPr>
        <w:spacing w:after="0" w:line="1" w:lineRule="exact"/>
        <w:rPr>
          <w:rFonts w:ascii="Arial" w:cs="Arial" w:eastAsia="Arial" w:hAnsi="Arial"/>
          <w:sz w:val="17"/>
          <w:szCs w:val="17"/>
          <w:color w:val="auto"/>
        </w:rPr>
      </w:pPr>
    </w:p>
    <w:p>
      <w:pPr>
        <w:ind w:left="1840" w:hanging="220"/>
        <w:spacing w:after="0"/>
        <w:tabs>
          <w:tab w:leader="none" w:pos="1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regulated investment companies or real estate investment trusts;</w:t>
      </w:r>
    </w:p>
    <w:p>
      <w:pPr>
        <w:spacing w:after="0" w:line="88" w:lineRule="exact"/>
        <w:rPr>
          <w:rFonts w:ascii="Arial" w:cs="Arial" w:eastAsia="Arial" w:hAnsi="Arial"/>
          <w:sz w:val="17"/>
          <w:szCs w:val="17"/>
          <w:color w:val="auto"/>
        </w:rPr>
      </w:pPr>
    </w:p>
    <w:p>
      <w:pPr>
        <w:ind w:left="1840" w:right="559" w:hanging="220"/>
        <w:spacing w:after="0" w:line="306" w:lineRule="auto"/>
        <w:tabs>
          <w:tab w:leader="none" w:pos="1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persons who acquired our ordinary shares or ADSs pursuant to the exercise of any employee stock option or otherwise as compensation;</w:t>
      </w:r>
    </w:p>
    <w:p>
      <w:pPr>
        <w:spacing w:after="0" w:line="1" w:lineRule="exact"/>
        <w:rPr>
          <w:rFonts w:ascii="Arial" w:cs="Arial" w:eastAsia="Arial" w:hAnsi="Arial"/>
          <w:sz w:val="17"/>
          <w:szCs w:val="17"/>
          <w:color w:val="auto"/>
        </w:rPr>
      </w:pPr>
    </w:p>
    <w:p>
      <w:pPr>
        <w:ind w:left="1840" w:right="579" w:hanging="220"/>
        <w:spacing w:after="0" w:line="306" w:lineRule="auto"/>
        <w:tabs>
          <w:tab w:leader="none" w:pos="1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persons subject to special tax accounting rules as a result of any item of gross income with respect to ordinary shares or ADSs being taken into account in an applicable financial statement;</w:t>
      </w:r>
    </w:p>
    <w:p>
      <w:pPr>
        <w:spacing w:after="0" w:line="1" w:lineRule="exact"/>
        <w:rPr>
          <w:rFonts w:ascii="Arial" w:cs="Arial" w:eastAsia="Arial" w:hAnsi="Arial"/>
          <w:sz w:val="17"/>
          <w:szCs w:val="17"/>
          <w:color w:val="auto"/>
        </w:rPr>
      </w:pPr>
    </w:p>
    <w:p>
      <w:pPr>
        <w:ind w:left="1840" w:right="499" w:hanging="220"/>
        <w:spacing w:after="0" w:line="306" w:lineRule="auto"/>
        <w:tabs>
          <w:tab w:leader="none" w:pos="1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persons that own or are deemed to own ten percent or more of our ordinary shares or ADSs by vote or value; and</w:t>
      </w:r>
    </w:p>
    <w:p>
      <w:pPr>
        <w:spacing w:after="0" w:line="1" w:lineRule="exact"/>
        <w:rPr>
          <w:rFonts w:ascii="Arial" w:cs="Arial" w:eastAsia="Arial" w:hAnsi="Arial"/>
          <w:sz w:val="17"/>
          <w:szCs w:val="17"/>
          <w:color w:val="auto"/>
        </w:rPr>
      </w:pPr>
    </w:p>
    <w:p>
      <w:pPr>
        <w:ind w:left="1840" w:right="819" w:hanging="220"/>
        <w:spacing w:after="0" w:line="308" w:lineRule="auto"/>
        <w:tabs>
          <w:tab w:leader="none" w:pos="1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persons holding our ordinary shares or ADSs in connection with a trade or business, permanent establishment, or fixed base outside the United States.</w:t>
      </w:r>
    </w:p>
    <w:p>
      <w:pPr>
        <w:spacing w:after="0" w:line="65" w:lineRule="exact"/>
        <w:rPr>
          <w:sz w:val="20"/>
          <w:szCs w:val="20"/>
          <w:color w:val="auto"/>
        </w:rPr>
      </w:pPr>
    </w:p>
    <w:p>
      <w:pPr>
        <w:ind w:left="1260" w:right="499"/>
        <w:spacing w:after="0" w:line="260" w:lineRule="auto"/>
        <w:rPr>
          <w:sz w:val="20"/>
          <w:szCs w:val="20"/>
          <w:color w:val="auto"/>
        </w:rPr>
      </w:pPr>
      <w:r>
        <w:rPr>
          <w:rFonts w:ascii="Arial" w:cs="Arial" w:eastAsia="Arial" w:hAnsi="Arial"/>
          <w:sz w:val="17"/>
          <w:szCs w:val="17"/>
          <w:color w:val="auto"/>
        </w:rPr>
        <w:t>If an entity that is classified as a partnership for U.S. federal income tax purposes holds our ordinary shares or ADSs, the U.S. federal income tax treatment of a partner in the partnership will depend on the status of the partner, the activities of the partnership, and certain determinations made at the partner level. Accordingly, partnerships holding our ordinary shares or ADSs and partners in such partnerships are encouraged to consult their tax advisers as to the U.S. federal income tax consequences of owning and disposing of our ordinary shares or ADSs.</w:t>
      </w:r>
    </w:p>
    <w:p>
      <w:pPr>
        <w:sectPr>
          <w:pgSz w:w="11900" w:h="16838" w:orient="portrait"/>
          <w:cols w:equalWidth="0" w:num="1">
            <w:col w:w="9879"/>
          </w:cols>
          <w:pgMar w:left="580" w:top="114"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579"/>
        <w:spacing w:after="0" w:line="275" w:lineRule="auto"/>
        <w:rPr>
          <w:sz w:val="20"/>
          <w:szCs w:val="20"/>
          <w:color w:val="auto"/>
        </w:rPr>
      </w:pPr>
      <w:r>
        <w:rPr>
          <w:rFonts w:ascii="Arial" w:cs="Arial" w:eastAsia="Arial" w:hAnsi="Arial"/>
          <w:sz w:val="16"/>
          <w:szCs w:val="16"/>
          <w:color w:val="auto"/>
        </w:rPr>
        <w:t>THIS DISCUSSION IS FOR INFORMATIONAL PURPOSES ONLY AND IS NOT TAX ADVICE. INVESTORS SHOULD CONSULT THEIR TAX ADVISORS WITH RESPECT TO THE APPLICATION OF THE U.S. FEDERAL INCOME TAX LAWS TO THEIR PARTICULAR SITUATIONS AS WELL AS ANY TAX CONSEQUENCES OF THE OWNERSHIP AND DISPOSITION OF OUR ORDINARY SHARES OR ADSs ARISING UNDER THE U.S.</w:t>
      </w:r>
    </w:p>
    <w:p>
      <w:pPr>
        <w:spacing w:after="0" w:line="2" w:lineRule="exact"/>
        <w:rPr>
          <w:sz w:val="20"/>
          <w:szCs w:val="20"/>
          <w:color w:val="auto"/>
        </w:rPr>
      </w:pPr>
    </w:p>
    <w:p>
      <w:pPr>
        <w:ind w:left="1260" w:right="459"/>
        <w:spacing w:after="0" w:line="281" w:lineRule="auto"/>
        <w:rPr>
          <w:sz w:val="20"/>
          <w:szCs w:val="20"/>
          <w:color w:val="auto"/>
        </w:rPr>
      </w:pPr>
      <w:r>
        <w:rPr>
          <w:rFonts w:ascii="Arial" w:cs="Arial" w:eastAsia="Arial" w:hAnsi="Arial"/>
          <w:sz w:val="17"/>
          <w:szCs w:val="17"/>
          <w:color w:val="auto"/>
        </w:rPr>
        <w:t>FEDERAL ESTATE OR GIFT TAX LAWS OR UNDER THE LAWS OF ANY STATE, LOCAL, OR NON-U.S. TAXING JURISDICTION OR UNDER ANY APPLICABLE INCOME TAX TREATY.</w:t>
      </w:r>
    </w:p>
    <w:p>
      <w:pPr>
        <w:spacing w:after="0" w:line="87" w:lineRule="exact"/>
        <w:rPr>
          <w:sz w:val="20"/>
          <w:szCs w:val="20"/>
          <w:color w:val="auto"/>
        </w:rPr>
      </w:pPr>
    </w:p>
    <w:p>
      <w:pPr>
        <w:ind w:left="1260" w:right="599"/>
        <w:spacing w:after="0" w:line="270" w:lineRule="auto"/>
        <w:rPr>
          <w:sz w:val="20"/>
          <w:szCs w:val="20"/>
          <w:color w:val="auto"/>
        </w:rPr>
      </w:pPr>
      <w:r>
        <w:rPr>
          <w:rFonts w:ascii="Arial" w:cs="Arial" w:eastAsia="Arial" w:hAnsi="Arial"/>
          <w:sz w:val="17"/>
          <w:szCs w:val="17"/>
          <w:color w:val="auto"/>
        </w:rPr>
        <w:t>For purposes of this discussion, a “U.S. Holder” is a holder who, for U.S. federal income tax purposes, is a beneficial owner of our ordinary shares or ADSs who is eligible for the benefits of the Treaty and is or is treated as any of the following:</w:t>
      </w:r>
    </w:p>
    <w:p>
      <w:pPr>
        <w:spacing w:after="0" w:line="42" w:lineRule="exact"/>
        <w:rPr>
          <w:sz w:val="20"/>
          <w:szCs w:val="20"/>
          <w:color w:val="auto"/>
        </w:rPr>
      </w:pPr>
    </w:p>
    <w:p>
      <w:pPr>
        <w:ind w:left="1840" w:hanging="220"/>
        <w:spacing w:after="0"/>
        <w:tabs>
          <w:tab w:leader="none" w:pos="1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74" w:lineRule="exact"/>
        <w:rPr>
          <w:rFonts w:ascii="Arial" w:cs="Arial" w:eastAsia="Arial" w:hAnsi="Arial"/>
          <w:sz w:val="17"/>
          <w:szCs w:val="17"/>
          <w:color w:val="auto"/>
        </w:rPr>
      </w:pPr>
    </w:p>
    <w:p>
      <w:pPr>
        <w:ind w:left="1840" w:right="639" w:hanging="220"/>
        <w:spacing w:after="0" w:line="306" w:lineRule="auto"/>
        <w:tabs>
          <w:tab w:leader="none" w:pos="1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created or organized in or under the laws of the United States, any state therein, or the District of Columbia;</w:t>
      </w:r>
    </w:p>
    <w:p>
      <w:pPr>
        <w:spacing w:after="0" w:line="1" w:lineRule="exact"/>
        <w:rPr>
          <w:rFonts w:ascii="Arial" w:cs="Arial" w:eastAsia="Arial" w:hAnsi="Arial"/>
          <w:sz w:val="17"/>
          <w:szCs w:val="17"/>
          <w:color w:val="auto"/>
        </w:rPr>
      </w:pPr>
    </w:p>
    <w:p>
      <w:pPr>
        <w:ind w:left="1840" w:hanging="220"/>
        <w:spacing w:after="0"/>
        <w:tabs>
          <w:tab w:leader="none" w:pos="1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88" w:lineRule="exact"/>
        <w:rPr>
          <w:rFonts w:ascii="Arial" w:cs="Arial" w:eastAsia="Arial" w:hAnsi="Arial"/>
          <w:sz w:val="17"/>
          <w:szCs w:val="17"/>
          <w:color w:val="auto"/>
        </w:rPr>
      </w:pPr>
    </w:p>
    <w:p>
      <w:pPr>
        <w:ind w:left="1840" w:hanging="220"/>
        <w:spacing w:after="0"/>
        <w:tabs>
          <w:tab w:leader="none" w:pos="1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trust that (1) is subject to the primary supervision of a U.S. court and the control of one or more</w:t>
      </w:r>
    </w:p>
    <w:p>
      <w:pPr>
        <w:spacing w:after="0" w:line="35" w:lineRule="exact"/>
        <w:rPr>
          <w:rFonts w:ascii="Arial" w:cs="Arial" w:eastAsia="Arial" w:hAnsi="Arial"/>
          <w:sz w:val="17"/>
          <w:szCs w:val="17"/>
          <w:color w:val="auto"/>
        </w:rPr>
      </w:pPr>
    </w:p>
    <w:p>
      <w:pPr>
        <w:ind w:left="1840" w:right="619"/>
        <w:spacing w:after="0" w:line="290" w:lineRule="auto"/>
        <w:rPr>
          <w:rFonts w:ascii="Arial" w:cs="Arial" w:eastAsia="Arial" w:hAnsi="Arial"/>
          <w:sz w:val="17"/>
          <w:szCs w:val="17"/>
          <w:color w:val="auto"/>
        </w:rPr>
      </w:pPr>
      <w:r>
        <w:rPr>
          <w:rFonts w:ascii="Arial" w:cs="Arial" w:eastAsia="Arial" w:hAnsi="Arial"/>
          <w:sz w:val="17"/>
          <w:szCs w:val="17"/>
          <w:color w:val="auto"/>
        </w:rPr>
        <w:t>“United States persons” (within​ the meaning of Section 7701(a)(30) of the Code), or (2) has a valid election in effect to be treated as a United States person for U.S. federal income tax purposes.</w:t>
      </w:r>
    </w:p>
    <w:p>
      <w:pPr>
        <w:spacing w:after="0" w:line="80" w:lineRule="exact"/>
        <w:rPr>
          <w:sz w:val="20"/>
          <w:szCs w:val="20"/>
          <w:color w:val="auto"/>
        </w:rPr>
      </w:pPr>
    </w:p>
    <w:p>
      <w:pPr>
        <w:ind w:left="1260" w:right="439"/>
        <w:spacing w:after="0" w:line="257" w:lineRule="auto"/>
        <w:rPr>
          <w:sz w:val="20"/>
          <w:szCs w:val="20"/>
          <w:color w:val="auto"/>
        </w:rPr>
      </w:pPr>
      <w:r>
        <w:rPr>
          <w:rFonts w:ascii="Arial" w:cs="Arial" w:eastAsia="Arial" w:hAnsi="Arial"/>
          <w:sz w:val="17"/>
          <w:szCs w:val="17"/>
          <w:color w:val="auto"/>
        </w:rPr>
        <w:t>The discussion below assumes that the representations contained in the deposit agreement with respect to our ADSs are true and that the obligations in the deposit agreement and any related agreement will be complied with in accordance with their terms. Generally, a holder of an ADS should be treated for U.S. federal income tax purposes as holding the ordinary shares represented by the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creditability of foreign taxes, if any, as described below, could be affected by actions taken by intermediaries in the chain of ownership between the holders of our ADSs and our company if as a result of such actions the holders of our ADSs are not properly treated as beneficial owners of the underlying ordinary shares.</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Passive Foreign Investment Company Rules</w:t>
      </w:r>
    </w:p>
    <w:p>
      <w:pPr>
        <w:spacing w:after="0" w:line="46" w:lineRule="exact"/>
        <w:rPr>
          <w:sz w:val="20"/>
          <w:szCs w:val="20"/>
          <w:color w:val="auto"/>
        </w:rPr>
      </w:pPr>
    </w:p>
    <w:p>
      <w:pPr>
        <w:ind w:left="1260" w:right="459"/>
        <w:spacing w:after="0" w:line="268" w:lineRule="auto"/>
        <w:rPr>
          <w:sz w:val="20"/>
          <w:szCs w:val="20"/>
          <w:color w:val="auto"/>
        </w:rPr>
      </w:pPr>
      <w:r>
        <w:rPr>
          <w:rFonts w:ascii="Arial" w:cs="Arial" w:eastAsia="Arial" w:hAnsi="Arial"/>
          <w:sz w:val="17"/>
          <w:szCs w:val="17"/>
          <w:color w:val="auto"/>
        </w:rPr>
        <w:t>We believe we may be classified as a passive foreign investment company (a “PFIC”) for the current taxable year ending December 31, 2022. We plan to perform an analysis after the close of the current taxable year to determine whether we are treated as a PFIC for such taxable year. A non-U.S. corporation will be classified as a PFIC for any taxable year in which, after applying certain look-through rules, either:</w:t>
      </w:r>
    </w:p>
    <w:p>
      <w:pPr>
        <w:spacing w:after="0" w:line="31" w:lineRule="exact"/>
        <w:rPr>
          <w:sz w:val="20"/>
          <w:szCs w:val="20"/>
          <w:color w:val="auto"/>
        </w:rPr>
      </w:pPr>
    </w:p>
    <w:p>
      <w:pPr>
        <w:ind w:left="1840" w:hanging="220"/>
        <w:spacing w:after="0"/>
        <w:tabs>
          <w:tab w:leader="none" w:pos="1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at least 75% of its gross income is passive income (such as interest income); or</w:t>
      </w:r>
    </w:p>
    <w:p>
      <w:pPr>
        <w:spacing w:after="0" w:line="88" w:lineRule="exact"/>
        <w:rPr>
          <w:rFonts w:ascii="Arial" w:cs="Arial" w:eastAsia="Arial" w:hAnsi="Arial"/>
          <w:sz w:val="17"/>
          <w:szCs w:val="17"/>
          <w:color w:val="auto"/>
        </w:rPr>
      </w:pPr>
    </w:p>
    <w:p>
      <w:pPr>
        <w:jc w:val="both"/>
        <w:ind w:left="1840" w:right="539" w:hanging="220"/>
        <w:spacing w:after="0" w:line="308" w:lineRule="auto"/>
        <w:tabs>
          <w:tab w:leader="none" w:pos="1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at least 50% of the value of its assets (generally determined on the basis of a quarterly average) is attributable to assets that produce passive income or are held for the production of passive income.</w:t>
      </w:r>
    </w:p>
    <w:p>
      <w:pPr>
        <w:spacing w:after="0" w:line="65" w:lineRule="exact"/>
        <w:rPr>
          <w:sz w:val="20"/>
          <w:szCs w:val="20"/>
          <w:color w:val="auto"/>
        </w:rPr>
      </w:pPr>
    </w:p>
    <w:p>
      <w:pPr>
        <w:ind w:left="1260" w:right="619"/>
        <w:spacing w:after="0" w:line="270" w:lineRule="auto"/>
        <w:rPr>
          <w:sz w:val="20"/>
          <w:szCs w:val="20"/>
          <w:color w:val="auto"/>
        </w:rPr>
      </w:pPr>
      <w:r>
        <w:rPr>
          <w:rFonts w:ascii="Arial" w:cs="Arial" w:eastAsia="Arial" w:hAnsi="Arial"/>
          <w:sz w:val="17"/>
          <w:szCs w:val="17"/>
          <w:color w:val="auto"/>
        </w:rPr>
        <w:t>For purposes of the above calculations, we will be treated as owning our proportionate share of the assets and earning our proportionate share of the income of any other corporation of which we own, directly or indirectly, 25% or more (by value) of the equity.</w:t>
      </w:r>
    </w:p>
    <w:p>
      <w:pPr>
        <w:spacing w:after="0" w:line="96" w:lineRule="exact"/>
        <w:rPr>
          <w:sz w:val="20"/>
          <w:szCs w:val="20"/>
          <w:color w:val="auto"/>
        </w:rPr>
      </w:pPr>
    </w:p>
    <w:p>
      <w:pPr>
        <w:ind w:left="1260" w:right="419"/>
        <w:spacing w:after="0" w:line="261" w:lineRule="auto"/>
        <w:rPr>
          <w:sz w:val="20"/>
          <w:szCs w:val="20"/>
          <w:color w:val="auto"/>
        </w:rPr>
      </w:pPr>
      <w:r>
        <w:rPr>
          <w:rFonts w:ascii="Arial" w:cs="Arial" w:eastAsia="Arial" w:hAnsi="Arial"/>
          <w:sz w:val="17"/>
          <w:szCs w:val="17"/>
          <w:color w:val="auto"/>
        </w:rPr>
        <w:t>A separate determination must be made after the close of each taxable year as to whether we were a PFIC for that year. As a result, our PFIC status may change. This analysis is factual, and it is possible that we may be treated as a PFIC even if we start generating substantial revenue from our business operations. In addition, the total value of our assets for purposes of the asset test generally will be calculated using the aggregate value of our outstanding equity, which may fluctuate considerably. Fluctuations in the market price of our ordinary shares or ADSs may result in our being a PFIC for any taxable year. In addition, our PFIC status may be affected by changes in the composition of our income or assets, including by how, and how quickly, we spend the cash we raise in any offering, including this offering.</w:t>
      </w:r>
    </w:p>
    <w:p>
      <w:pPr>
        <w:spacing w:after="0" w:line="108" w:lineRule="exact"/>
        <w:rPr>
          <w:sz w:val="20"/>
          <w:szCs w:val="20"/>
          <w:color w:val="auto"/>
        </w:rPr>
      </w:pPr>
    </w:p>
    <w:p>
      <w:pPr>
        <w:ind w:left="1260" w:right="439"/>
        <w:spacing w:after="0" w:line="263" w:lineRule="auto"/>
        <w:rPr>
          <w:sz w:val="20"/>
          <w:szCs w:val="20"/>
          <w:color w:val="auto"/>
        </w:rPr>
      </w:pPr>
      <w:r>
        <w:rPr>
          <w:rFonts w:ascii="Arial" w:cs="Arial" w:eastAsia="Arial" w:hAnsi="Arial"/>
          <w:sz w:val="17"/>
          <w:szCs w:val="17"/>
          <w:color w:val="auto"/>
        </w:rPr>
        <w:t>If we are classified as a PFIC in any year with respect to which a U.S. Holder owns our ordinary shares or ADSs, we will continue to be treated as a PFIC with respect to such U.S. Holder in all succeeding years during which the U.S. Holder owns our ordinary shares or ADSs, regardless of whether we continue to meet the tests described above, unless (1) we cease to be a PFIC and the U.S. Holder has made a “deemed sale” election</w:t>
      </w:r>
    </w:p>
    <w:p>
      <w:pPr>
        <w:sectPr>
          <w:pgSz w:w="11900" w:h="16838" w:orient="portrait"/>
          <w:cols w:equalWidth="0" w:num="1">
            <w:col w:w="9879"/>
          </w:cols>
          <w:pgMar w:left="580" w:top="114" w:right="1440" w:bottom="1440" w:gutter="0" w:footer="0" w:header="0"/>
        </w:sectPr>
      </w:pPr>
    </w:p>
    <w:p>
      <w:pPr>
        <w:spacing w:after="0" w:line="397"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479"/>
        <w:spacing w:after="0" w:line="258" w:lineRule="auto"/>
        <w:rPr>
          <w:sz w:val="20"/>
          <w:szCs w:val="20"/>
          <w:color w:val="auto"/>
        </w:rPr>
      </w:pPr>
      <w:r>
        <w:rPr>
          <w:rFonts w:ascii="Arial" w:cs="Arial" w:eastAsia="Arial" w:hAnsi="Arial"/>
          <w:sz w:val="17"/>
          <w:szCs w:val="17"/>
          <w:color w:val="auto"/>
        </w:rPr>
        <w:t>under the PFIC rules, or (2) the U.S. Holder makes a QEF Election (defined below) with respect to all taxable years in which we are a PFIC during the U.S. Holder’s holding period or makes a purging election to cause a deemed sale of the ordinary shares or ADSs at their fair market value in conjunction with a QEF Election. If any such election is made, the U.S. Holder will be deemed to have sold our ordinary shares or ADSs it holds at their fair market value and any gain from such deemed sale would be subject to the rules described below. After the deemed sale election, so long as we do not become a PFIC in a subsequent taxable year, the ordinary shares or ADSs with respect to which such election was made will not be treated as shares in a PFIC and the U.S. Holder will not be subject to the rules described below with respect to any “excess distribution” it receives from us or any gain from an actual sale or other disposition of our ordinary shares or ADSs. If we are treated as a PFIC with respect to a U.S. Holder, and subsequently cease to be a PFIC, such U.S. Holders should consult their tax advisors as to the possibility and consequences of making a deemed sale election.</w:t>
      </w:r>
    </w:p>
    <w:p>
      <w:pPr>
        <w:spacing w:after="0" w:line="111" w:lineRule="exact"/>
        <w:rPr>
          <w:sz w:val="20"/>
          <w:szCs w:val="20"/>
          <w:color w:val="auto"/>
        </w:rPr>
      </w:pPr>
    </w:p>
    <w:p>
      <w:pPr>
        <w:ind w:left="1260" w:right="439"/>
        <w:spacing w:after="0" w:line="261" w:lineRule="auto"/>
        <w:rPr>
          <w:sz w:val="20"/>
          <w:szCs w:val="20"/>
          <w:color w:val="auto"/>
        </w:rPr>
      </w:pPr>
      <w:r>
        <w:rPr>
          <w:rFonts w:ascii="Arial" w:cs="Arial" w:eastAsia="Arial" w:hAnsi="Arial"/>
          <w:sz w:val="17"/>
          <w:szCs w:val="17"/>
          <w:color w:val="auto"/>
        </w:rPr>
        <w:t>If we are treated as a PFIC with respect to a U.S. Holder, such holder will be subject to special tax rules with respect to any “excess distribution” it receives and any gain it recognizes from a sale or other disposition (including a pledge) of our ordinary shares or ADSs, unless such holder makes a QEF Election or a mark-to-market election as discussed below. Distributions that a U.S. Holder receives in a taxable year that are greater than 125% of the average annual distributions received during the shorter of the three preceding taxable years or such holder’s holding period for our ordinary shares or ADSs will be treated as an excess distribution. Under these special tax rules:</w:t>
      </w:r>
    </w:p>
    <w:p>
      <w:pPr>
        <w:spacing w:after="0" w:line="37" w:lineRule="exact"/>
        <w:rPr>
          <w:sz w:val="20"/>
          <w:szCs w:val="20"/>
          <w:color w:val="auto"/>
        </w:rPr>
      </w:pPr>
    </w:p>
    <w:p>
      <w:pPr>
        <w:ind w:left="1840" w:right="859" w:hanging="220"/>
        <w:spacing w:after="0" w:line="306" w:lineRule="auto"/>
        <w:tabs>
          <w:tab w:leader="none" w:pos="1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excess distribution or gain will be allocated ratably over such holder’s holding period for our ordinary shares or ADSs;</w:t>
      </w:r>
    </w:p>
    <w:p>
      <w:pPr>
        <w:spacing w:after="0" w:line="1" w:lineRule="exact"/>
        <w:rPr>
          <w:rFonts w:ascii="Arial" w:cs="Arial" w:eastAsia="Arial" w:hAnsi="Arial"/>
          <w:sz w:val="17"/>
          <w:szCs w:val="17"/>
          <w:color w:val="auto"/>
        </w:rPr>
      </w:pPr>
    </w:p>
    <w:p>
      <w:pPr>
        <w:ind w:left="1840" w:right="579" w:hanging="220"/>
        <w:spacing w:after="0" w:line="306" w:lineRule="auto"/>
        <w:tabs>
          <w:tab w:leader="none" w:pos="1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amount allocated to the current taxable year, and any taxable year prior to the first taxable year in which we became a PFIC, will be treated as ordinary income; and</w:t>
      </w:r>
    </w:p>
    <w:p>
      <w:pPr>
        <w:spacing w:after="0" w:line="1" w:lineRule="exact"/>
        <w:rPr>
          <w:rFonts w:ascii="Arial" w:cs="Arial" w:eastAsia="Arial" w:hAnsi="Arial"/>
          <w:sz w:val="17"/>
          <w:szCs w:val="17"/>
          <w:color w:val="auto"/>
        </w:rPr>
      </w:pPr>
    </w:p>
    <w:p>
      <w:pPr>
        <w:ind w:left="1840" w:right="419" w:hanging="220"/>
        <w:spacing w:after="0" w:line="286" w:lineRule="auto"/>
        <w:tabs>
          <w:tab w:leader="none" w:pos="1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84" w:lineRule="exact"/>
        <w:rPr>
          <w:sz w:val="20"/>
          <w:szCs w:val="20"/>
          <w:color w:val="auto"/>
        </w:rPr>
      </w:pPr>
    </w:p>
    <w:p>
      <w:pPr>
        <w:ind w:left="1260" w:right="499"/>
        <w:spacing w:after="0" w:line="268" w:lineRule="auto"/>
        <w:rPr>
          <w:sz w:val="20"/>
          <w:szCs w:val="20"/>
          <w:color w:val="auto"/>
        </w:rPr>
      </w:pPr>
      <w:r>
        <w:rPr>
          <w:rFonts w:ascii="Arial" w:cs="Arial" w:eastAsia="Arial" w:hAnsi="Arial"/>
          <w:sz w:val="17"/>
          <w:szCs w:val="17"/>
          <w:color w:val="auto"/>
        </w:rPr>
        <w:t>The tax liability for amounts allocated to years prior to the year of disposition or “excess distribution” cannot be offset by any net operating losses for such years, and gains (but not losses) realized on the sale or other disposition of our ordinary shares or ADSs cannot be treated as capital, even if the U.S. Holder holds our ordinary shares or ADSs as capital assets.</w:t>
      </w:r>
    </w:p>
    <w:p>
      <w:pPr>
        <w:spacing w:after="0" w:line="99" w:lineRule="exact"/>
        <w:rPr>
          <w:sz w:val="20"/>
          <w:szCs w:val="20"/>
          <w:color w:val="auto"/>
        </w:rPr>
      </w:pPr>
    </w:p>
    <w:p>
      <w:pPr>
        <w:ind w:left="1260" w:right="539"/>
        <w:spacing w:after="0" w:line="263" w:lineRule="auto"/>
        <w:rPr>
          <w:sz w:val="20"/>
          <w:szCs w:val="20"/>
          <w:color w:val="auto"/>
        </w:rPr>
      </w:pPr>
      <w:r>
        <w:rPr>
          <w:rFonts w:ascii="Arial" w:cs="Arial" w:eastAsia="Arial" w:hAnsi="Arial"/>
          <w:sz w:val="17"/>
          <w:szCs w:val="17"/>
          <w:color w:val="auto"/>
        </w:rPr>
        <w:t>If we are a PFIC, a U.S. Holder will generally be subject to similar rules with respect to distributions we receive from, and our dispositions of the stock of, any of our direct or indirect subsidiaries that also are PFICs, as if such distributions were indirectly received by, and/or dispositions were indirectly carried out by, such U.S. Holder. U.S. Holders should consult their tax advisors regarding the application of the PFIC rules to our subsidiaries.</w:t>
      </w:r>
    </w:p>
    <w:p>
      <w:pPr>
        <w:spacing w:after="0" w:line="103" w:lineRule="exact"/>
        <w:rPr>
          <w:sz w:val="20"/>
          <w:szCs w:val="20"/>
          <w:color w:val="auto"/>
        </w:rPr>
      </w:pPr>
    </w:p>
    <w:p>
      <w:pPr>
        <w:ind w:left="1260" w:right="459"/>
        <w:spacing w:after="0" w:line="258" w:lineRule="auto"/>
        <w:rPr>
          <w:sz w:val="20"/>
          <w:szCs w:val="20"/>
          <w:color w:val="auto"/>
        </w:rPr>
      </w:pPr>
      <w:r>
        <w:rPr>
          <w:rFonts w:ascii="Arial" w:cs="Arial" w:eastAsia="Arial" w:hAnsi="Arial"/>
          <w:sz w:val="17"/>
          <w:szCs w:val="17"/>
          <w:color w:val="auto"/>
        </w:rPr>
        <w:t>U.S. Holders can avoid the interest charge on excess distributions or gain relating to our ordinary shares or ADSs by making a mark-to-market election with respect to our ordinary shares or ADSs, provided that our ordinary shares or ADSs are treated as “marketable stock”. Our ordinary shares or ADSs will be treated as “marketable stock” if they are “regularly traded” on a qualified exchange or other market, as defined in applicable U.S. Treasury regulations. For these purposes, our ordinary shares or ADSs will be considered “regularly traded” during any calendar year during which they are traded, other than in de minimis quantities, on at least 15 days during such calendar quarter. Any trades that have as their principal purpose meeting this requirement will be disregarded. Our ADSs are listed on The Nasdaq Global Market, which is a qualified exchange for these purposes. Consequently, if our ADSs remain listed on The Nasdaq Global Market and are regularly traded, we expect the mark-to-market election would be available to U.S. Holders of such ADSs if we are a PFIC. If we are a PFIC, each U.S. Holder should consult its tax advisor as to whether a mark-to-market election is available or advisable with respect to our ordinary shares or ADSs.</w:t>
      </w:r>
    </w:p>
    <w:p>
      <w:pPr>
        <w:spacing w:after="0" w:line="111" w:lineRule="exact"/>
        <w:rPr>
          <w:sz w:val="20"/>
          <w:szCs w:val="20"/>
          <w:color w:val="auto"/>
        </w:rPr>
      </w:pPr>
    </w:p>
    <w:p>
      <w:pPr>
        <w:ind w:left="1260" w:right="419"/>
        <w:spacing w:after="0" w:line="260" w:lineRule="auto"/>
        <w:rPr>
          <w:sz w:val="20"/>
          <w:szCs w:val="20"/>
          <w:color w:val="auto"/>
        </w:rPr>
      </w:pPr>
      <w:r>
        <w:rPr>
          <w:rFonts w:ascii="Arial" w:cs="Arial" w:eastAsia="Arial" w:hAnsi="Arial"/>
          <w:sz w:val="17"/>
          <w:szCs w:val="17"/>
          <w:color w:val="auto"/>
        </w:rPr>
        <w:t>A U.S. Holder that makes a mark-to-market election must include in ordinary income for each year an amount equal to the excess, if any, of the fair market value of our ordinary shares or ADSs at the close of the taxable year over the U.S. Holder’s adjusted tax basis in our ordinary shares or ADSs. Accordingly, a mark-to-market election may accelerate the recognition of income without a corresponding receipt of cash. An electing holder may also claim an ordinary loss deduction for the excess, if any, of the U.S. Holder’s adjusted basis in</w:t>
      </w:r>
    </w:p>
    <w:p>
      <w:pPr>
        <w:sectPr>
          <w:pgSz w:w="11900" w:h="16838" w:orient="portrait"/>
          <w:cols w:equalWidth="0" w:num="1">
            <w:col w:w="9879"/>
          </w:cols>
          <w:pgMar w:left="580" w:top="114"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60" w:right="699"/>
        <w:spacing w:after="0" w:line="274" w:lineRule="auto"/>
        <w:rPr>
          <w:sz w:val="20"/>
          <w:szCs w:val="20"/>
          <w:color w:val="auto"/>
        </w:rPr>
      </w:pPr>
      <w:r>
        <w:rPr>
          <w:rFonts w:ascii="Arial" w:cs="Arial" w:eastAsia="Arial" w:hAnsi="Arial"/>
          <w:sz w:val="17"/>
          <w:szCs w:val="17"/>
          <w:color w:val="auto"/>
        </w:rPr>
        <w:t>our ordinary shares or ADSs over the fair market value of our ordinary shares or ADSs at the close of the taxable year, but this deduction is allowable only to the extent of any net mark-to-market gains for</w:t>
      </w:r>
    </w:p>
    <w:p>
      <w:pPr>
        <w:ind w:left="1260" w:right="419"/>
        <w:spacing w:after="0" w:line="267" w:lineRule="auto"/>
        <w:rPr>
          <w:sz w:val="20"/>
          <w:szCs w:val="20"/>
          <w:color w:val="auto"/>
        </w:rPr>
      </w:pPr>
      <w:r>
        <w:rPr>
          <w:rFonts w:ascii="Arial" w:cs="Arial" w:eastAsia="Arial" w:hAnsi="Arial"/>
          <w:sz w:val="17"/>
          <w:szCs w:val="17"/>
          <w:color w:val="auto"/>
        </w:rPr>
        <w:t>prior years. Amounts included in a U.S. Holder’s income under a mark-to-market election, as well as any gain from an actual sale or other disposition of our ordinary shares or ADSs will be treated as ordinary income, and any losses incurred on a sale or other disposition of our ordinary shares or ADSs will be treated as an ordinary loss (to the extent of any net mark-to-market gains for prior years). A U.S. Holder’s basis in our ordinary shares or ADSs will be adjusted to reflect any such income or loss amounts. If a U.S. Holder makes a valid mark-to-market election, the tax rules that apply to distributions by corporations which are not PFICs would apply to distributions by us, except the lower applicable tax rates for qualified dividend income would not apply. If we cease to be a PFIC when a U.S. Holder has a mark-to-market election in effect, gain or loss realized by such holder on the subsequent sale of our ordinary shares or ADSs will be a capital gain or loss and taxed in the manner described below under “—Sale or Other Taxable Disposition of Our Ordinary Shares or ADSs.” Once made, the election cannot be revoked without the consent of the IRS, unless our ordinary shares or ADSs cease to be marketable.</w:t>
      </w:r>
    </w:p>
    <w:p>
      <w:pPr>
        <w:spacing w:after="0" w:line="116" w:lineRule="exact"/>
        <w:rPr>
          <w:sz w:val="20"/>
          <w:szCs w:val="20"/>
          <w:color w:val="auto"/>
        </w:rPr>
      </w:pPr>
    </w:p>
    <w:p>
      <w:pPr>
        <w:ind w:left="1260" w:right="439"/>
        <w:spacing w:after="0" w:line="272" w:lineRule="auto"/>
        <w:rPr>
          <w:sz w:val="20"/>
          <w:szCs w:val="20"/>
          <w:color w:val="auto"/>
        </w:rPr>
      </w:pPr>
      <w:r>
        <w:rPr>
          <w:rFonts w:ascii="Arial" w:cs="Arial" w:eastAsia="Arial" w:hAnsi="Arial"/>
          <w:sz w:val="17"/>
          <w:szCs w:val="17"/>
          <w:color w:val="auto"/>
        </w:rPr>
        <w:t>However, a mark-to-market election generally cannot be made for equity interests in any lower-tier PFICs that we own, unless shares of such lower-tier PFIC are themselves “marketable.” As a result, even if a U.S. Holder validly makes a mark-to-market election with respect to our ordinary shares or ADSs, the U.S. Holder may continue to be subject to the PFIC rules (described above) with respect to its indirect interest in any of our investments that are treated as an equity interest in a PFIC for U.S. federal income tax purposes. U.S. Holders should consult their tax advisors as to the availability and desirability of a mark-to-market election, as well as the impact of such election on interests in any lower-tier PFICs.</w:t>
      </w:r>
    </w:p>
    <w:p>
      <w:pPr>
        <w:spacing w:after="0" w:line="96" w:lineRule="exact"/>
        <w:rPr>
          <w:sz w:val="20"/>
          <w:szCs w:val="20"/>
          <w:color w:val="auto"/>
        </w:rPr>
      </w:pPr>
    </w:p>
    <w:p>
      <w:pPr>
        <w:ind w:left="1260" w:right="419"/>
        <w:spacing w:after="0" w:line="270" w:lineRule="auto"/>
        <w:rPr>
          <w:sz w:val="20"/>
          <w:szCs w:val="20"/>
          <w:color w:val="auto"/>
        </w:rPr>
      </w:pPr>
      <w:r>
        <w:rPr>
          <w:rFonts w:ascii="Arial" w:cs="Arial" w:eastAsia="Arial" w:hAnsi="Arial"/>
          <w:sz w:val="17"/>
          <w:szCs w:val="17"/>
          <w:color w:val="auto"/>
        </w:rPr>
        <w:t>Alternatively, a U.S. Holder can make an election, if we provide the necessary information, to treat us and each lower-tier PFIC as a qualified electing fund (a “QEF Election”) in the first taxable year we (and our relevant subsidiaries) are treated as a PFIC with respect to the holder. If such election remains in place while we and any lower-tier PFIC subsidiaries are PFICs, we and our subsidiaries will not be treated as PFICs with respect to such U.S. Holder when we cease to be a PFIC. A U.S. Holder must make the QEF Election for each PFIC by attaching a separate properly completed IRS Form 8621 for each PFIC to the holder’s timely filed U.S. federal income tax return. We will provide the information necessary for a U.S. Holder to make a QEF Election with respect to us and will cause each lower-tier PFIC which we control to provide such information with respect to such lower-tier PFIC.</w:t>
      </w:r>
    </w:p>
    <w:p>
      <w:pPr>
        <w:spacing w:after="0" w:line="113" w:lineRule="exact"/>
        <w:rPr>
          <w:sz w:val="20"/>
          <w:szCs w:val="20"/>
          <w:color w:val="auto"/>
        </w:rPr>
      </w:pPr>
    </w:p>
    <w:p>
      <w:pPr>
        <w:ind w:left="1260" w:right="439"/>
        <w:spacing w:after="0" w:line="268" w:lineRule="auto"/>
        <w:rPr>
          <w:sz w:val="20"/>
          <w:szCs w:val="20"/>
          <w:color w:val="auto"/>
        </w:rPr>
      </w:pPr>
      <w:r>
        <w:rPr>
          <w:rFonts w:ascii="Arial" w:cs="Arial" w:eastAsia="Arial" w:hAnsi="Arial"/>
          <w:sz w:val="17"/>
          <w:szCs w:val="17"/>
          <w:color w:val="auto"/>
        </w:rPr>
        <w:t>If a U.S. Holder makes a QEF Election with respect to a PFIC, the holder will be currently taxable on its pro rata share of the PFIC’s ordinary earnings and net capital gain (at ordinary income and capital gain rates, respectively) for each taxable year that the entity is classified as a PFIC. Accordingly, a QEF Election may accelerate the recognition of income or gain without a corresponding receipt of cash. If a U.S. Holder makes a QEF Election with respect to us, any distributions paid by us out of our earnings and profits that were previously included in the holder’s income under the QEF Election would not be taxable to the holder. A U.S. Holder will increase its tax basis in our ordinary shares or ADSs by an amount equal to any income included under the QEF Election and will decrease its tax basis by any amount distributed on our ordinary shares or ADSs that is not included in the holder’s income. In addition, a U.S. Holder will recognize capital gain or loss on the disposition of our ordinary shares or ADSs in an amount equal to the difference between the amount realized and the holder’s adjusted tax basis in our ordinary shares or ADSs. U.S. Holders should note that if they make QEF Elections with respect to us and lower-tier PFICs, they may be required to pay U.S. federal income tax with respect to our ordinary shares or ADSs for any taxable year significantly in excess of any cash distributions received on our ordinary shares or ADSs for such taxable year. U.S. Holders should consult their tax advisors regarding making QEF Elections in their particular circumstances.</w:t>
      </w:r>
    </w:p>
    <w:p>
      <w:pPr>
        <w:spacing w:after="0" w:line="114" w:lineRule="exact"/>
        <w:rPr>
          <w:sz w:val="20"/>
          <w:szCs w:val="20"/>
          <w:color w:val="auto"/>
        </w:rPr>
      </w:pPr>
    </w:p>
    <w:p>
      <w:pPr>
        <w:ind w:left="1260" w:right="439"/>
        <w:spacing w:after="0" w:line="271" w:lineRule="auto"/>
        <w:rPr>
          <w:sz w:val="20"/>
          <w:szCs w:val="20"/>
          <w:color w:val="auto"/>
        </w:rPr>
      </w:pPr>
      <w:r>
        <w:rPr>
          <w:rFonts w:ascii="Arial" w:cs="Arial" w:eastAsia="Arial" w:hAnsi="Arial"/>
          <w:sz w:val="17"/>
          <w:szCs w:val="17"/>
          <w:color w:val="auto"/>
        </w:rPr>
        <w:t>Unless otherwise provided by the U.S. Treasury, each U.S. 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w:t>
      </w:r>
    </w:p>
    <w:p>
      <w:pPr>
        <w:sectPr>
          <w:pgSz w:w="11900" w:h="16838" w:orient="portrait"/>
          <w:cols w:equalWidth="0" w:num="1">
            <w:col w:w="9879"/>
          </w:cols>
          <w:pgMar w:left="580" w:top="114" w:right="1440" w:bottom="1440" w:gutter="0" w:footer="0" w:header="0"/>
        </w:sectPr>
      </w:pPr>
    </w:p>
    <w:p>
      <w:pPr>
        <w:spacing w:after="0" w:line="391"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Taxation of Distributions</w:t>
      </w:r>
    </w:p>
    <w:p>
      <w:pPr>
        <w:spacing w:after="0" w:line="59" w:lineRule="exact"/>
        <w:rPr>
          <w:sz w:val="20"/>
          <w:szCs w:val="20"/>
          <w:color w:val="auto"/>
        </w:rPr>
      </w:pPr>
    </w:p>
    <w:p>
      <w:pPr>
        <w:ind w:left="1260" w:right="419"/>
        <w:spacing w:after="0" w:line="267" w:lineRule="auto"/>
        <w:rPr>
          <w:sz w:val="20"/>
          <w:szCs w:val="20"/>
          <w:color w:val="auto"/>
        </w:rPr>
      </w:pPr>
      <w:r>
        <w:rPr>
          <w:rFonts w:ascii="Arial" w:cs="Arial" w:eastAsia="Arial" w:hAnsi="Arial"/>
          <w:sz w:val="17"/>
          <w:szCs w:val="17"/>
          <w:color w:val="auto"/>
        </w:rPr>
        <w:t>As discussed above under “Dividend Policy,” we do not anticipate paying any cash dividends on our ordinary shares or ADSs in the foreseeable future. In the event we do pay any distributions, subject to the discussion above under “Passive Foreign Investment Company Rules,” distributions paid on our ordinary shares or ADSs, other than certain pro rata distributions of ordinary shares or ADSs, will generally be treated as dividends to the extent paid out of our current or accumulated earnings and profits (as determined under U.S. federal income tax principles). Because we do not calculate our earnings and profits under U.S. federal income tax principles, we expect that distributions generally will be reported to U.S. Holders as dividends. Subject to applicable limitations, dividends paid to certain non-corporate U.S. Holders may be taxable at preferential rates applicable to “qualified dividend income.” However, the qualified dividend income treatment may not apply if we are treated as a PFIC with respect to the U.S. Holder. The amount of a dividend will include any amounts withheld by us in respect of United Kingdom income taxes. The amount of the dividend will be treated as foreign-source dividend income to U.S. Holders and will not be eligible for the dividends received deduction generally available to U.S. corporations under the Code. 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ordinary shares or ADSs or rights to acquire ordinary shares or ADSs) will be the fair market value of such property on the date of distribution.</w:t>
      </w:r>
    </w:p>
    <w:p>
      <w:pPr>
        <w:spacing w:after="0" w:line="115" w:lineRule="exact"/>
        <w:rPr>
          <w:sz w:val="20"/>
          <w:szCs w:val="20"/>
          <w:color w:val="auto"/>
        </w:rPr>
      </w:pPr>
    </w:p>
    <w:p>
      <w:pPr>
        <w:ind w:left="1260" w:right="419"/>
        <w:spacing w:after="0" w:line="270" w:lineRule="auto"/>
        <w:rPr>
          <w:sz w:val="20"/>
          <w:szCs w:val="20"/>
          <w:color w:val="auto"/>
        </w:rPr>
      </w:pPr>
      <w:r>
        <w:rPr>
          <w:rFonts w:ascii="Arial" w:cs="Arial" w:eastAsia="Arial" w:hAnsi="Arial"/>
          <w:sz w:val="17"/>
          <w:szCs w:val="17"/>
          <w:color w:val="auto"/>
        </w:rPr>
        <w:t>For foreign tax credit purposes, our dividends will generally be treated as passive category income. Subject to applicable limitations, some of which vary depending upon the U.S. Holder’s particular circumstances, any United Kingdom income taxes withheld from dividends on our ordinary shares or ADSs at a rate not exceeding the rate provided by the Treaty may be creditable against the U.S. Holder’s U.S. federal income tax liability. The rules governing foreign tax credits are complex, there are significant and complex limits on a U.S. Holder’s ability to claim foreign tax credits, and recently issued U.S. Treasury regulations that apply to foreign income taxes paid or accrued in taxable years beginning on or after December 28, 2021 further restrict the availability of any such credit based on the nature of the withholding tax imposed by the foreign jurisdiction. U.S. Holders should consult their tax advisers regarding the creditability of foreign taxes in their particular circumstances.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Sale or Other Taxable Disposition of Our Ordinary Shares or ADSs</w:t>
      </w:r>
    </w:p>
    <w:p>
      <w:pPr>
        <w:spacing w:after="0" w:line="59" w:lineRule="exact"/>
        <w:rPr>
          <w:sz w:val="20"/>
          <w:szCs w:val="20"/>
          <w:color w:val="auto"/>
        </w:rPr>
      </w:pPr>
    </w:p>
    <w:p>
      <w:pPr>
        <w:ind w:left="1260" w:right="419"/>
        <w:spacing w:after="0" w:line="272" w:lineRule="auto"/>
        <w:rPr>
          <w:sz w:val="20"/>
          <w:szCs w:val="20"/>
          <w:color w:val="auto"/>
        </w:rPr>
      </w:pPr>
      <w:r>
        <w:rPr>
          <w:rFonts w:ascii="Arial" w:cs="Arial" w:eastAsia="Arial" w:hAnsi="Arial"/>
          <w:sz w:val="17"/>
          <w:szCs w:val="17"/>
          <w:color w:val="auto"/>
        </w:rPr>
        <w:t>Subject to the discussion above under “Passive Foreign Investment Company Rules,” gain or loss realized on the sale or other taxable disposition of our ordinary shares or ADSs will be capital gain or loss, and will be long-term capital gain or loss if the U.S. Holder held our ordinary shares or ADSs for more than one year. The amount of the gain or loss will equal the difference between the U.S. Holder’s tax basis in our ordinary shares or ADSs disposed of and the amount realized on the disposition, in each case as determined in U.S. dollars. This gain or loss will generally be U.S.-source gain or loss for foreign tax credit purposes. The deductibility of capital losses is subject to limitations.</w:t>
      </w:r>
    </w:p>
    <w:p>
      <w:pPr>
        <w:spacing w:after="0" w:line="96" w:lineRule="exact"/>
        <w:rPr>
          <w:sz w:val="20"/>
          <w:szCs w:val="20"/>
          <w:color w:val="auto"/>
        </w:rPr>
      </w:pPr>
    </w:p>
    <w:p>
      <w:pPr>
        <w:ind w:left="1260" w:right="439"/>
        <w:spacing w:after="0" w:line="269" w:lineRule="auto"/>
        <w:rPr>
          <w:sz w:val="20"/>
          <w:szCs w:val="20"/>
          <w:color w:val="auto"/>
        </w:rPr>
      </w:pPr>
      <w:r>
        <w:rPr>
          <w:rFonts w:ascii="Arial" w:cs="Arial" w:eastAsia="Arial" w:hAnsi="Arial"/>
          <w:sz w:val="17"/>
          <w:szCs w:val="17"/>
          <w:color w:val="auto"/>
        </w:rPr>
        <w:t>If the consideration received by a U.S. Holder is not paid in U.S. dollars, the amount realized will be the U.S. dollar value of the payment received determined by reference to the spot rate of exchange on the date of the sale or other disposition. However, if our ordinary shares or ADSs are treated as traded on an “established securities market” and the U.S. Holder is either a cash basis taxpayer or an accrual basis taxpayer that has made a special election (which must be applied consistently from year to year and cannot be changed without the consent of the IRS), such holder will determine the U.S. dollar value of the amount realized in a non-U.S. dollar currency by translating the amount received at the spot rate of exchange on the settlement date of the sale. If a U.S. Holder is an accrual basis taxpayer that is not eligible to or does not elect to determine the amount realized using the spot rate on the settlement date, such holder will recognize foreign currency gain or loss to the extent of any difference between the U.S. dollar amount realized on the date of sale or other disposition and the U.S. dollar value of the currency received at the spot rate on the settlement date.</w:t>
      </w:r>
    </w:p>
    <w:p>
      <w:pPr>
        <w:sectPr>
          <w:pgSz w:w="11900" w:h="16838" w:orient="portrait"/>
          <w:cols w:equalWidth="0" w:num="1">
            <w:col w:w="9879"/>
          </w:cols>
          <w:pgMar w:left="580" w:top="114" w:right="1440" w:bottom="1440" w:gutter="0" w:footer="0" w:header="0"/>
        </w:sectPr>
      </w:pPr>
    </w:p>
    <w:p>
      <w:pPr>
        <w:spacing w:after="0" w:line="391"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60" w:right="779"/>
        <w:spacing w:after="0" w:line="273" w:lineRule="auto"/>
        <w:rPr>
          <w:sz w:val="20"/>
          <w:szCs w:val="20"/>
          <w:color w:val="auto"/>
        </w:rPr>
      </w:pPr>
      <w:r>
        <w:rPr>
          <w:rFonts w:ascii="Arial" w:cs="Arial" w:eastAsia="Arial" w:hAnsi="Arial"/>
          <w:sz w:val="17"/>
          <w:szCs w:val="17"/>
          <w:b w:val="1"/>
          <w:bCs w:val="1"/>
          <w:color w:val="auto"/>
        </w:rPr>
        <w:t>WE STRONGLY URGE INVESTORS IN OUR ORDINARY SHARES OR ADSs TO CONSULT THEIR TAX ADVISORS REGARDING THE IMPACT OF OUR PFIC STATUS ON THEIR INVESTMENT IN OUR ORDINARY SHARES OR ADSs AS WELL AS THE APPLICATION OF THE PFIC RULES TO SUCH INVESTMENT IN OUR ORDINARY SHARES OR ADSs.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46" w:lineRule="exact"/>
        <w:rPr>
          <w:sz w:val="20"/>
          <w:szCs w:val="20"/>
          <w:color w:val="auto"/>
        </w:rPr>
      </w:pPr>
    </w:p>
    <w:p>
      <w:pPr>
        <w:ind w:left="1260" w:right="499"/>
        <w:spacing w:after="0" w:line="267" w:lineRule="auto"/>
        <w:rPr>
          <w:sz w:val="20"/>
          <w:szCs w:val="20"/>
          <w:color w:val="auto"/>
        </w:rPr>
      </w:pPr>
      <w:r>
        <w:rPr>
          <w:rFonts w:ascii="Arial" w:cs="Arial" w:eastAsia="Arial" w:hAnsi="Arial"/>
          <w:sz w:val="17"/>
          <w:szCs w:val="17"/>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01" w:lineRule="exact"/>
        <w:rPr>
          <w:sz w:val="20"/>
          <w:szCs w:val="20"/>
          <w:color w:val="auto"/>
        </w:rPr>
      </w:pPr>
    </w:p>
    <w:p>
      <w:pPr>
        <w:jc w:val="both"/>
        <w:ind w:left="1260" w:right="439"/>
        <w:spacing w:after="0" w:line="270" w:lineRule="auto"/>
        <w:rPr>
          <w:sz w:val="20"/>
          <w:szCs w:val="20"/>
          <w:color w:val="auto"/>
        </w:rPr>
      </w:pPr>
      <w:r>
        <w:rPr>
          <w:rFonts w:ascii="Arial" w:cs="Arial" w:eastAsia="Arial" w:hAnsi="Arial"/>
          <w:sz w:val="17"/>
          <w:szCs w:val="17"/>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Information with Respect to Foreign Financial Assets</w:t>
      </w:r>
    </w:p>
    <w:p>
      <w:pPr>
        <w:spacing w:after="0" w:line="46" w:lineRule="exact"/>
        <w:rPr>
          <w:sz w:val="20"/>
          <w:szCs w:val="20"/>
          <w:color w:val="auto"/>
        </w:rPr>
      </w:pPr>
    </w:p>
    <w:p>
      <w:pPr>
        <w:ind w:left="1260" w:right="459"/>
        <w:spacing w:after="0" w:line="263" w:lineRule="auto"/>
        <w:rPr>
          <w:sz w:val="20"/>
          <w:szCs w:val="20"/>
          <w:color w:val="auto"/>
        </w:rPr>
      </w:pPr>
      <w:r>
        <w:rPr>
          <w:rFonts w:ascii="Arial" w:cs="Arial" w:eastAsia="Arial" w:hAnsi="Arial"/>
          <w:sz w:val="17"/>
          <w:szCs w:val="17"/>
          <w:color w:val="auto"/>
        </w:rPr>
        <w:t>Certain U.S. Holders who are individuals (and, under proposed regulations, certain entities) may be required to report information relating to our ordinary shares or ADSs, subject to certain exceptions (including an exception for ordinary shares or ADSs held in accounts maintained by certain U.S. financial institutions). U.S. Holders should consult their tax advisers regarding their reporting obligations with respect to their ownership and disposition of our ordinary shares or ADSs.</w:t>
      </w:r>
    </w:p>
    <w:p>
      <w:pPr>
        <w:spacing w:after="0" w:line="11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Certain Material Tax Considerations for U.K. Holders</w:t>
      </w:r>
    </w:p>
    <w:p>
      <w:pPr>
        <w:spacing w:after="0" w:line="158" w:lineRule="exact"/>
        <w:rPr>
          <w:sz w:val="20"/>
          <w:szCs w:val="20"/>
          <w:color w:val="auto"/>
        </w:rPr>
      </w:pPr>
    </w:p>
    <w:p>
      <w:pPr>
        <w:ind w:left="1260" w:right="439"/>
        <w:spacing w:after="0" w:line="259" w:lineRule="auto"/>
        <w:rPr>
          <w:sz w:val="20"/>
          <w:szCs w:val="20"/>
          <w:color w:val="auto"/>
        </w:rPr>
      </w:pPr>
      <w:r>
        <w:rPr>
          <w:rFonts w:ascii="Arial" w:cs="Arial" w:eastAsia="Arial" w:hAnsi="Arial"/>
          <w:sz w:val="17"/>
          <w:szCs w:val="17"/>
          <w:color w:val="auto"/>
        </w:rPr>
        <w:t>The following paragraphs are intended as a general guide to current U.K. tax law and HM Revenue &amp; Customs published practice applying as at the date of this prospectus supplement (both of which are subject to change at any time, possibly with retrospective effect) relating to the holding of ADSs. They do not constitute legal or tax advice and do not purport to be a complete analysis of all U.K. tax considerations relating to the holding of ADSs. They relate only to persons who are absolute beneficial owners of ADSs (and where the ADSs are not held through an Individual Savings Account or a Self-Invested Personal Pension) and who are resident for tax purposes in (and only in) the U.K. (“U.K. Holders”) (except to the extent that the position of non-U.K. resident persons is expressly referred to).</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These paragraphs may not relate to certain classes of U.K. Holders, such as (but not limited to):</w:t>
      </w:r>
    </w:p>
    <w:p>
      <w:pPr>
        <w:spacing w:after="0" w:line="75" w:lineRule="exact"/>
        <w:rPr>
          <w:sz w:val="20"/>
          <w:szCs w:val="20"/>
          <w:color w:val="auto"/>
        </w:rPr>
      </w:pPr>
    </w:p>
    <w:p>
      <w:pPr>
        <w:ind w:left="1840" w:hanging="220"/>
        <w:spacing w:after="0"/>
        <w:tabs>
          <w:tab w:leader="none" w:pos="1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persons who are connected with the Company;</w:t>
      </w:r>
    </w:p>
    <w:p>
      <w:pPr>
        <w:spacing w:after="0" w:line="74" w:lineRule="exact"/>
        <w:rPr>
          <w:rFonts w:ascii="Arial" w:cs="Arial" w:eastAsia="Arial" w:hAnsi="Arial"/>
          <w:sz w:val="17"/>
          <w:szCs w:val="17"/>
          <w:color w:val="auto"/>
        </w:rPr>
      </w:pPr>
    </w:p>
    <w:p>
      <w:pPr>
        <w:ind w:left="1840" w:hanging="220"/>
        <w:spacing w:after="0"/>
        <w:tabs>
          <w:tab w:leader="none" w:pos="1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insurance companies;</w:t>
      </w:r>
    </w:p>
    <w:p>
      <w:pPr>
        <w:spacing w:after="0" w:line="61" w:lineRule="exact"/>
        <w:rPr>
          <w:rFonts w:ascii="Arial" w:cs="Arial" w:eastAsia="Arial" w:hAnsi="Arial"/>
          <w:sz w:val="17"/>
          <w:szCs w:val="17"/>
          <w:color w:val="auto"/>
        </w:rPr>
      </w:pPr>
    </w:p>
    <w:p>
      <w:pPr>
        <w:ind w:left="1840" w:hanging="220"/>
        <w:spacing w:after="0"/>
        <w:tabs>
          <w:tab w:leader="none" w:pos="1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charities;</w:t>
      </w:r>
    </w:p>
    <w:p>
      <w:pPr>
        <w:spacing w:after="0" w:line="61" w:lineRule="exact"/>
        <w:rPr>
          <w:rFonts w:ascii="Arial" w:cs="Arial" w:eastAsia="Arial" w:hAnsi="Arial"/>
          <w:sz w:val="17"/>
          <w:szCs w:val="17"/>
          <w:color w:val="auto"/>
        </w:rPr>
      </w:pPr>
    </w:p>
    <w:p>
      <w:pPr>
        <w:ind w:left="1840" w:hanging="220"/>
        <w:spacing w:after="0"/>
        <w:tabs>
          <w:tab w:leader="none" w:pos="1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collective investment schemes;</w:t>
      </w:r>
    </w:p>
    <w:p>
      <w:pPr>
        <w:spacing w:after="0" w:line="74" w:lineRule="exact"/>
        <w:rPr>
          <w:rFonts w:ascii="Arial" w:cs="Arial" w:eastAsia="Arial" w:hAnsi="Arial"/>
          <w:sz w:val="17"/>
          <w:szCs w:val="17"/>
          <w:color w:val="auto"/>
        </w:rPr>
      </w:pPr>
    </w:p>
    <w:p>
      <w:pPr>
        <w:ind w:left="1840" w:hanging="220"/>
        <w:spacing w:after="0"/>
        <w:tabs>
          <w:tab w:leader="none" w:pos="1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pension schemes;</w:t>
      </w:r>
    </w:p>
    <w:p>
      <w:pPr>
        <w:spacing w:after="0" w:line="61" w:lineRule="exact"/>
        <w:rPr>
          <w:rFonts w:ascii="Arial" w:cs="Arial" w:eastAsia="Arial" w:hAnsi="Arial"/>
          <w:sz w:val="17"/>
          <w:szCs w:val="17"/>
          <w:color w:val="auto"/>
        </w:rPr>
      </w:pPr>
    </w:p>
    <w:p>
      <w:pPr>
        <w:ind w:left="1840" w:hanging="220"/>
        <w:spacing w:after="0"/>
        <w:tabs>
          <w:tab w:leader="none" w:pos="1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brokers or dealers in securities or persons who hold ADSs otherwise than as an investment;</w:t>
      </w:r>
    </w:p>
    <w:p>
      <w:pPr>
        <w:spacing w:after="0" w:line="74" w:lineRule="exact"/>
        <w:rPr>
          <w:rFonts w:ascii="Arial" w:cs="Arial" w:eastAsia="Arial" w:hAnsi="Arial"/>
          <w:sz w:val="17"/>
          <w:szCs w:val="17"/>
          <w:color w:val="auto"/>
        </w:rPr>
      </w:pPr>
    </w:p>
    <w:p>
      <w:pPr>
        <w:jc w:val="both"/>
        <w:ind w:left="1840" w:right="439" w:hanging="220"/>
        <w:spacing w:after="0" w:line="286" w:lineRule="auto"/>
        <w:tabs>
          <w:tab w:leader="none" w:pos="1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persons who have (or are deemed to have) acquired their ADSs by virtue of an office or employment or who are or have been officers or employees of the Company or any of its affiliates; and individuals who are subject to U.K. taxation on a remittance basis.</w:t>
      </w:r>
    </w:p>
    <w:p>
      <w:pPr>
        <w:spacing w:after="0" w:line="71" w:lineRule="exact"/>
        <w:rPr>
          <w:sz w:val="20"/>
          <w:szCs w:val="20"/>
          <w:color w:val="auto"/>
        </w:rPr>
      </w:pPr>
    </w:p>
    <w:p>
      <w:pPr>
        <w:ind w:left="1260" w:right="559"/>
        <w:spacing w:after="0" w:line="268" w:lineRule="auto"/>
        <w:rPr>
          <w:sz w:val="20"/>
          <w:szCs w:val="20"/>
          <w:color w:val="auto"/>
        </w:rPr>
      </w:pPr>
      <w:r>
        <w:rPr>
          <w:rFonts w:ascii="Arial" w:cs="Arial" w:eastAsia="Arial" w:hAnsi="Arial"/>
          <w:sz w:val="17"/>
          <w:szCs w:val="17"/>
          <w:color w:val="auto"/>
        </w:rPr>
        <w:t>These paragraphs do not describe all of the circumstances in which holders of ADSs may benefit from an exemption or relief from U.K. taxation. It is recommended that all holders of ADSs obtain their own tax advice. In particular, non-U.K. resident or domiciled persons are advised to consider the potential impact of any relevant double tax agreements.</w:t>
      </w:r>
    </w:p>
    <w:p>
      <w:pPr>
        <w:spacing w:after="0" w:line="99" w:lineRule="exact"/>
        <w:rPr>
          <w:sz w:val="20"/>
          <w:szCs w:val="20"/>
          <w:color w:val="auto"/>
        </w:rPr>
      </w:pPr>
    </w:p>
    <w:p>
      <w:pPr>
        <w:jc w:val="both"/>
        <w:ind w:left="1260" w:right="639"/>
        <w:spacing w:after="0" w:line="278" w:lineRule="auto"/>
        <w:rPr>
          <w:sz w:val="20"/>
          <w:szCs w:val="20"/>
          <w:color w:val="auto"/>
        </w:rPr>
      </w:pPr>
      <w:r>
        <w:rPr>
          <w:rFonts w:ascii="Arial" w:cs="Arial" w:eastAsia="Arial" w:hAnsi="Arial"/>
          <w:sz w:val="17"/>
          <w:szCs w:val="17"/>
          <w:color w:val="auto"/>
        </w:rPr>
        <w:t>These paragraphs assume that a holder of ADSs is the beneficial owner of the underlying ordinary shares and any dividends paid in respect of the underlying ordinary shares (where the dividends are regarded for U.K. purposes as that person’s own income) for U.K. direct tax purposes.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Dividends</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Withholding Tax</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Dividends paid by the Company will not be subject to any withholding or deduction for or on account of U.K.</w:t>
      </w:r>
    </w:p>
    <w:p>
      <w:pPr>
        <w:spacing w:after="0" w:line="2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tax, irrespective of the residence or particular circumstances of the holders of ordinary shares or ADSs.</w:t>
      </w:r>
    </w:p>
    <w:p>
      <w:pPr>
        <w:sectPr>
          <w:pgSz w:w="11900" w:h="16838" w:orient="portrait"/>
          <w:cols w:equalWidth="0" w:num="1">
            <w:col w:w="9879"/>
          </w:cols>
          <w:pgMar w:left="580" w:top="114"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Income Tax</w:t>
      </w:r>
    </w:p>
    <w:p>
      <w:pPr>
        <w:spacing w:after="0" w:line="59" w:lineRule="exact"/>
        <w:rPr>
          <w:sz w:val="20"/>
          <w:szCs w:val="20"/>
          <w:color w:val="auto"/>
        </w:rPr>
      </w:pPr>
    </w:p>
    <w:p>
      <w:pPr>
        <w:ind w:left="1260" w:right="459"/>
        <w:spacing w:after="0" w:line="273" w:lineRule="auto"/>
        <w:rPr>
          <w:sz w:val="20"/>
          <w:szCs w:val="20"/>
          <w:color w:val="auto"/>
        </w:rPr>
      </w:pPr>
      <w:r>
        <w:rPr>
          <w:rFonts w:ascii="Arial" w:cs="Arial" w:eastAsia="Arial" w:hAnsi="Arial"/>
          <w:sz w:val="17"/>
          <w:szCs w:val="17"/>
          <w:color w:val="auto"/>
        </w:rPr>
        <w:t>An individual U.K. Holder may, depending on his or her particular circumstances, be subject to U.K. tax on dividends received from the Company. An individual holder of ADSs who is not resident for tax purposes in the U.K. should not be chargeable to U.K. income tax on dividends received from the Company unless he or she carries on (whether solely or in partnership) any trade, profession or vocation in the U.K. through a branch or agency to which the ADSs are attributable (subject to certain exceptions for trading through independent agents, such as some brokers and investment managers).</w:t>
      </w:r>
    </w:p>
    <w:p>
      <w:pPr>
        <w:spacing w:after="0" w:line="110" w:lineRule="exact"/>
        <w:rPr>
          <w:sz w:val="20"/>
          <w:szCs w:val="20"/>
          <w:color w:val="auto"/>
        </w:rPr>
      </w:pPr>
    </w:p>
    <w:p>
      <w:pPr>
        <w:ind w:left="1260" w:right="659"/>
        <w:spacing w:after="0" w:line="274" w:lineRule="auto"/>
        <w:rPr>
          <w:sz w:val="20"/>
          <w:szCs w:val="20"/>
          <w:color w:val="auto"/>
        </w:rPr>
      </w:pPr>
      <w:r>
        <w:rPr>
          <w:rFonts w:ascii="Arial" w:cs="Arial" w:eastAsia="Arial" w:hAnsi="Arial"/>
          <w:sz w:val="17"/>
          <w:szCs w:val="17"/>
          <w:color w:val="auto"/>
        </w:rPr>
        <w:t>All individual U.K. Holders will receive a tax-free allowance of £2,000 per annum (for tax year 2022/2023). Dividend income in excess of this tax-free allowance will be charged at 8.75% for basic rate taxpayers,</w:t>
      </w:r>
    </w:p>
    <w:p>
      <w:pPr>
        <w:ind w:left="1260" w:right="419"/>
        <w:spacing w:after="0" w:line="290" w:lineRule="auto"/>
        <w:rPr>
          <w:sz w:val="20"/>
          <w:szCs w:val="20"/>
          <w:color w:val="auto"/>
        </w:rPr>
      </w:pPr>
      <w:r>
        <w:rPr>
          <w:rFonts w:ascii="Arial" w:cs="Arial" w:eastAsia="Arial" w:hAnsi="Arial"/>
          <w:sz w:val="17"/>
          <w:szCs w:val="17"/>
          <w:color w:val="auto"/>
        </w:rPr>
        <w:t>33.75% for higher rate taxpayers, and 39.35% for additional rate taxpayers (for tax year 2022/2023). Dividend income is treated as the top slice of the total income chargeable to U.K. income tax.</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Corporation Tax</w:t>
      </w:r>
    </w:p>
    <w:p>
      <w:pPr>
        <w:spacing w:after="0" w:line="59" w:lineRule="exact"/>
        <w:rPr>
          <w:sz w:val="20"/>
          <w:szCs w:val="20"/>
          <w:color w:val="auto"/>
        </w:rPr>
      </w:pPr>
    </w:p>
    <w:p>
      <w:pPr>
        <w:ind w:left="1260" w:right="819"/>
        <w:spacing w:after="0" w:line="286" w:lineRule="auto"/>
        <w:rPr>
          <w:sz w:val="20"/>
          <w:szCs w:val="20"/>
          <w:color w:val="auto"/>
        </w:rPr>
      </w:pPr>
      <w:r>
        <w:rPr>
          <w:rFonts w:ascii="Arial" w:cs="Arial" w:eastAsia="Arial" w:hAnsi="Arial"/>
          <w:sz w:val="17"/>
          <w:szCs w:val="17"/>
          <w:color w:val="auto"/>
        </w:rPr>
        <w:t>Corporate U.K. Holders should not be subject to U.K. corporation tax on any dividend received from the Company so long as the dividends qualify for exemption, which should be the case, although certain conditions are met (including anti-avoidance conditions).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Chargeable Gains</w:t>
      </w:r>
    </w:p>
    <w:p>
      <w:pPr>
        <w:spacing w:after="0" w:line="59" w:lineRule="exact"/>
        <w:rPr>
          <w:sz w:val="20"/>
          <w:szCs w:val="20"/>
          <w:color w:val="auto"/>
        </w:rPr>
      </w:pPr>
    </w:p>
    <w:p>
      <w:pPr>
        <w:ind w:left="1260" w:right="459"/>
        <w:spacing w:after="0" w:line="286" w:lineRule="auto"/>
        <w:rPr>
          <w:sz w:val="20"/>
          <w:szCs w:val="20"/>
          <w:color w:val="auto"/>
        </w:rPr>
      </w:pPr>
      <w:r>
        <w:rPr>
          <w:rFonts w:ascii="Arial" w:cs="Arial" w:eastAsia="Arial" w:hAnsi="Arial"/>
          <w:sz w:val="17"/>
          <w:szCs w:val="17"/>
          <w:color w:val="auto"/>
        </w:rPr>
        <w:t>A disposal of ADSs by a U.K. Holder may, depending on the U.K. Holder’s circumstances and subject to any available exemptions or reliefs, give rise to a chargeable gain or an allowable loss for the purposes of U.K. capital gains tax and corporation tax on chargeable gains.</w:t>
      </w:r>
    </w:p>
    <w:p>
      <w:pPr>
        <w:spacing w:after="0" w:line="98" w:lineRule="exact"/>
        <w:rPr>
          <w:sz w:val="20"/>
          <w:szCs w:val="20"/>
          <w:color w:val="auto"/>
        </w:rPr>
      </w:pPr>
    </w:p>
    <w:p>
      <w:pPr>
        <w:ind w:left="1260" w:right="519"/>
        <w:spacing w:after="0" w:line="273" w:lineRule="auto"/>
        <w:rPr>
          <w:sz w:val="20"/>
          <w:szCs w:val="20"/>
          <w:color w:val="auto"/>
        </w:rPr>
      </w:pPr>
      <w:r>
        <w:rPr>
          <w:rFonts w:ascii="Arial" w:cs="Arial" w:eastAsia="Arial" w:hAnsi="Arial"/>
          <w:sz w:val="17"/>
          <w:szCs w:val="17"/>
          <w:color w:val="auto"/>
        </w:rPr>
        <w:t>If an individual U.K. Holder who is subject to U.K. income tax at either the higher or the additional rate becomes liable to U.K. capital gains tax on the disposal of ADSs, the current applicable rate would be 20%. For an individual U.K. Holder who is subject to U.K. income tax at the basic rate and liable to U.K. capital gains tax on such disposal, the current applicable rate would be 10%, save to the extent that any capital gains exceed the unused basic rate tax band. In that case, the current rate applicable to the excess would be 20%.</w:t>
      </w:r>
    </w:p>
    <w:p>
      <w:pPr>
        <w:spacing w:after="0" w:line="97" w:lineRule="exact"/>
        <w:rPr>
          <w:sz w:val="20"/>
          <w:szCs w:val="20"/>
          <w:color w:val="auto"/>
        </w:rPr>
      </w:pPr>
    </w:p>
    <w:p>
      <w:pPr>
        <w:ind w:left="1260" w:right="599"/>
        <w:spacing w:after="0" w:line="308" w:lineRule="auto"/>
        <w:rPr>
          <w:sz w:val="20"/>
          <w:szCs w:val="20"/>
          <w:color w:val="auto"/>
        </w:rPr>
      </w:pPr>
      <w:r>
        <w:rPr>
          <w:rFonts w:ascii="Arial" w:cs="Arial" w:eastAsia="Arial" w:hAnsi="Arial"/>
          <w:sz w:val="17"/>
          <w:szCs w:val="17"/>
          <w:color w:val="auto"/>
        </w:rPr>
        <w:t>If a corporate U.K. Holder becomes liable to U.K. corporation tax on the disposal of ADSs, the main rate of U.K. corporation tax (19% for tax year 2022/2023) would apply.</w:t>
      </w:r>
    </w:p>
    <w:p>
      <w:pPr>
        <w:spacing w:after="0" w:line="79" w:lineRule="exact"/>
        <w:rPr>
          <w:sz w:val="20"/>
          <w:szCs w:val="20"/>
          <w:color w:val="auto"/>
        </w:rPr>
      </w:pPr>
    </w:p>
    <w:p>
      <w:pPr>
        <w:jc w:val="both"/>
        <w:ind w:left="1260" w:right="819"/>
        <w:spacing w:after="0" w:line="271" w:lineRule="auto"/>
        <w:rPr>
          <w:sz w:val="20"/>
          <w:szCs w:val="20"/>
          <w:color w:val="auto"/>
        </w:rPr>
      </w:pPr>
      <w:r>
        <w:rPr>
          <w:rFonts w:ascii="Arial" w:cs="Arial" w:eastAsia="Arial" w:hAnsi="Arial"/>
          <w:sz w:val="17"/>
          <w:szCs w:val="17"/>
          <w:color w:val="auto"/>
        </w:rPr>
        <w:t>A holder of ADSs which is not resident for tax purposes in the U.K. should not normally be liable to U.K. capital gains tax or corporation tax on chargeable gains on a disposal of ADSs. However, an individual holder of ADSs who has ceased to be resident for tax purposes in the U.K. for a period of less than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five years and who disposes of ADSs during that period may be liable on his or her return to the U.K. to U.K.</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tax on any capital gain realized (subject to any available exemption or relief).</w:t>
      </w:r>
    </w:p>
    <w:p>
      <w:pPr>
        <w:spacing w:after="0" w:line="154" w:lineRule="exact"/>
        <w:rPr>
          <w:sz w:val="20"/>
          <w:szCs w:val="20"/>
          <w:color w:val="auto"/>
        </w:rPr>
      </w:pPr>
    </w:p>
    <w:p>
      <w:pPr>
        <w:ind w:left="1260" w:right="419"/>
        <w:spacing w:after="0" w:line="308" w:lineRule="auto"/>
        <w:rPr>
          <w:sz w:val="20"/>
          <w:szCs w:val="20"/>
          <w:color w:val="auto"/>
        </w:rPr>
      </w:pPr>
      <w:r>
        <w:rPr>
          <w:rFonts w:ascii="Arial" w:cs="Arial" w:eastAsia="Arial" w:hAnsi="Arial"/>
          <w:sz w:val="17"/>
          <w:szCs w:val="17"/>
          <w:color w:val="auto"/>
        </w:rPr>
        <w:t>Any gains or losses in respect of currency fluctuations relating to the ADSs would be brought into account on the disposal.</w:t>
      </w:r>
    </w:p>
    <w:p>
      <w:pPr>
        <w:spacing w:after="0" w:line="135"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Stamp Duty and Stamp Duty Reserve Tax (“SDRT”)</w:t>
      </w:r>
    </w:p>
    <w:p>
      <w:pPr>
        <w:spacing w:after="0" w:line="59" w:lineRule="exact"/>
        <w:rPr>
          <w:sz w:val="20"/>
          <w:szCs w:val="20"/>
          <w:color w:val="auto"/>
        </w:rPr>
      </w:pPr>
    </w:p>
    <w:p>
      <w:pPr>
        <w:ind w:left="1260" w:right="439"/>
        <w:spacing w:after="0" w:line="308" w:lineRule="auto"/>
        <w:rPr>
          <w:sz w:val="20"/>
          <w:szCs w:val="20"/>
          <w:color w:val="auto"/>
        </w:rPr>
      </w:pPr>
      <w:r>
        <w:rPr>
          <w:rFonts w:ascii="Arial" w:cs="Arial" w:eastAsia="Arial" w:hAnsi="Arial"/>
          <w:sz w:val="17"/>
          <w:szCs w:val="17"/>
          <w:color w:val="auto"/>
        </w:rPr>
        <w:t>The discussion below is intended as a general guide to the current position relating to stamp duty and SDRT and applies to holders of ADSs wherever resident.</w:t>
      </w:r>
    </w:p>
    <w:p>
      <w:pPr>
        <w:spacing w:after="0" w:line="65" w:lineRule="exact"/>
        <w:rPr>
          <w:sz w:val="20"/>
          <w:szCs w:val="20"/>
          <w:color w:val="auto"/>
        </w:rPr>
      </w:pPr>
    </w:p>
    <w:p>
      <w:pPr>
        <w:ind w:left="1260" w:right="559"/>
        <w:spacing w:after="0" w:line="276" w:lineRule="auto"/>
        <w:rPr>
          <w:sz w:val="20"/>
          <w:szCs w:val="20"/>
          <w:color w:val="auto"/>
        </w:rPr>
      </w:pPr>
      <w:r>
        <w:rPr>
          <w:rFonts w:ascii="Arial" w:cs="Arial" w:eastAsia="Arial" w:hAnsi="Arial"/>
          <w:sz w:val="17"/>
          <w:szCs w:val="17"/>
          <w:color w:val="auto"/>
        </w:rPr>
        <w:t>No U.K. stamp duty will in practice be payable on a written instrument transferring an ADS or on a written agreement to transfer an ADS, provided that the instrument of transfer or the agreement to transfer is executed and remains at all times outside the U.K. Where these conditions are not met, the transfer of, or agreement to transfer, an ADS could, depending on the circumstances, attract a charge to U.K. stamp duty at the rate of 0.5% of the value of the consideration.</w:t>
      </w:r>
    </w:p>
    <w:p>
      <w:pPr>
        <w:spacing w:after="0" w:line="10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 SDRT will be payable in respect of agreement to transfer an ADS.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UNDERWRITING</w:t>
      </w:r>
    </w:p>
    <w:p>
      <w:pPr>
        <w:spacing w:after="0" w:line="357" w:lineRule="exact"/>
        <w:rPr>
          <w:sz w:val="20"/>
          <w:szCs w:val="20"/>
          <w:color w:val="auto"/>
        </w:rPr>
      </w:pPr>
    </w:p>
    <w:p>
      <w:pPr>
        <w:ind w:left="1260" w:right="419"/>
        <w:spacing w:after="0" w:line="284" w:lineRule="auto"/>
        <w:rPr>
          <w:sz w:val="20"/>
          <w:szCs w:val="20"/>
          <w:color w:val="auto"/>
        </w:rPr>
      </w:pPr>
      <w:r>
        <w:rPr>
          <w:rFonts w:ascii="Arial" w:cs="Arial" w:eastAsia="Arial" w:hAnsi="Arial"/>
          <w:sz w:val="17"/>
          <w:szCs w:val="17"/>
          <w:color w:val="auto"/>
        </w:rPr>
        <w:t>Subject to the terms and conditions set forth in the underwriting agreement, dated            , 2022, between us and Jefferies LLC, Piper Sandler &amp; Co., and Truist Securities, Inc., as the representatives of the underwriters named below and the joint book-running managers of this offering, we have agreed to sell to the underwriters, and each of the underwriters has agreed, severally and not jointly, to purchase from us, the respective number of ADSs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106680</wp:posOffset>
            </wp:positionV>
            <wp:extent cx="52120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373"/>
        </w:trPr>
        <w:tc>
          <w:tcPr>
            <w:tcW w:w="6580" w:type="dxa"/>
            <w:vAlign w:val="bottom"/>
          </w:tcPr>
          <w:p>
            <w:pPr>
              <w:spacing w:after="0"/>
              <w:rPr>
                <w:sz w:val="20"/>
                <w:szCs w:val="20"/>
                <w:color w:val="auto"/>
              </w:rPr>
            </w:pPr>
            <w:r>
              <w:rPr>
                <w:rFonts w:ascii="Arial" w:cs="Arial" w:eastAsia="Arial" w:hAnsi="Arial"/>
                <w:sz w:val="14"/>
                <w:szCs w:val="14"/>
                <w:b w:val="1"/>
                <w:bCs w:val="1"/>
                <w:color w:val="auto"/>
              </w:rPr>
              <w:t>UNDERWRITER</w:t>
            </w:r>
          </w:p>
        </w:tc>
        <w:tc>
          <w:tcPr>
            <w:tcW w:w="1680" w:type="dxa"/>
            <w:vAlign w:val="bottom"/>
            <w:gridSpan w:val="6"/>
          </w:tcPr>
          <w:p>
            <w:pPr>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NUMBER OF ADSs</w:t>
            </w:r>
            <w:r>
              <w:rPr>
                <w:rFonts w:ascii="Arial" w:cs="Arial" w:eastAsia="Arial" w:hAnsi="Arial"/>
                <w:sz w:val="28"/>
                <w:szCs w:val="28"/>
                <w:b w:val="1"/>
                <w:bCs w:val="1"/>
                <w:color w:val="auto"/>
                <w:vertAlign w:val="subscript"/>
              </w:rPr>
              <w:t>​</w:t>
            </w:r>
          </w:p>
        </w:tc>
      </w:tr>
      <w:tr>
        <w:trPr>
          <w:trHeight w:val="20"/>
        </w:trPr>
        <w:tc>
          <w:tcPr>
            <w:tcW w:w="6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Jefferies LLC</w:t>
            </w:r>
          </w:p>
        </w:tc>
        <w:tc>
          <w:tcPr>
            <w:tcW w:w="52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b w:val="1"/>
                <w:bCs w:val="1"/>
                <w:color w:val="auto"/>
              </w:rPr>
              <w:t>​</w:t>
            </w: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6580" w:type="dxa"/>
            <w:vAlign w:val="bottom"/>
          </w:tcPr>
          <w:p>
            <w:pPr>
              <w:spacing w:after="0"/>
              <w:rPr>
                <w:sz w:val="20"/>
                <w:szCs w:val="20"/>
                <w:color w:val="auto"/>
              </w:rPr>
            </w:pPr>
            <w:r>
              <w:rPr>
                <w:rFonts w:ascii="Arial" w:cs="Arial" w:eastAsia="Arial" w:hAnsi="Arial"/>
                <w:sz w:val="17"/>
                <w:szCs w:val="17"/>
                <w:color w:val="auto"/>
              </w:rPr>
              <w:t>Piper Sandler &amp; Co.</w:t>
            </w:r>
          </w:p>
        </w:tc>
        <w:tc>
          <w:tcPr>
            <w:tcW w:w="520" w:type="dxa"/>
            <w:vAlign w:val="bottom"/>
            <w:gridSpan w:val="3"/>
          </w:tcPr>
          <w:p>
            <w:pPr>
              <w:ind w:left="6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b w:val="1"/>
                <w:bCs w:val="1"/>
                <w:color w:val="auto"/>
              </w:rPr>
              <w:t>​</w:t>
            </w:r>
          </w:p>
        </w:tc>
        <w:tc>
          <w:tcPr>
            <w:tcW w:w="102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 ​</w:t>
            </w:r>
          </w:p>
        </w:tc>
      </w:tr>
      <w:tr>
        <w:trPr>
          <w:trHeight w:val="257"/>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Truist Securities, Inc.</w:t>
            </w:r>
          </w:p>
        </w:tc>
        <w:tc>
          <w:tcPr>
            <w:tcW w:w="52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b w:val="1"/>
                <w:bCs w:val="1"/>
                <w:color w:val="auto"/>
              </w:rPr>
              <w:t>​</w:t>
            </w: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0"/>
        </w:trPr>
        <w:tc>
          <w:tcPr>
            <w:tcW w:w="6580" w:type="dxa"/>
            <w:vAlign w:val="bottom"/>
          </w:tcPr>
          <w:p>
            <w:pPr>
              <w:ind w:left="180"/>
              <w:spacing w:after="0"/>
              <w:rPr>
                <w:sz w:val="20"/>
                <w:szCs w:val="20"/>
                <w:color w:val="auto"/>
              </w:rPr>
            </w:pPr>
            <w:r>
              <w:rPr>
                <w:rFonts w:ascii="Arial" w:cs="Arial" w:eastAsia="Arial" w:hAnsi="Arial"/>
                <w:sz w:val="17"/>
                <w:szCs w:val="17"/>
                <w:color w:val="auto"/>
              </w:rPr>
              <w:t>Total</w:t>
            </w:r>
          </w:p>
        </w:tc>
        <w:tc>
          <w:tcPr>
            <w:tcW w:w="520" w:type="dxa"/>
            <w:vAlign w:val="bottom"/>
            <w:gridSpan w:val="3"/>
          </w:tcPr>
          <w:p>
            <w:pPr>
              <w:ind w:left="60"/>
              <w:spacing w:after="0" w:line="269" w:lineRule="exact"/>
              <w:rPr>
                <w:sz w:val="20"/>
                <w:szCs w:val="20"/>
                <w:color w:val="auto"/>
              </w:rPr>
            </w:pPr>
            <w:r>
              <w:rPr>
                <w:rFonts w:ascii="Arial" w:cs="Arial" w:eastAsia="Arial" w:hAnsi="Arial"/>
                <w:sz w:val="16"/>
                <w:szCs w:val="16"/>
                <w:color w:val="auto"/>
              </w:rPr>
              <w:t>​ ​ ​</w:t>
            </w:r>
            <w:r>
              <w:rPr>
                <w:rFonts w:ascii="Arial" w:cs="Arial" w:eastAsia="Arial" w:hAnsi="Arial"/>
                <w:sz w:val="31"/>
                <w:szCs w:val="31"/>
                <w:color w:val="auto"/>
                <w:vertAlign w:val="superscript"/>
              </w:rPr>
              <w:t>​</w:t>
            </w:r>
          </w:p>
        </w:tc>
        <w:tc>
          <w:tcPr>
            <w:tcW w:w="1160" w:type="dxa"/>
            <w:vAlign w:val="bottom"/>
            <w:gridSpan w:val="3"/>
          </w:tcPr>
          <w:p>
            <w:pPr>
              <w:jc w:val="right"/>
              <w:spacing w:after="0" w:line="269" w:lineRule="exact"/>
              <w:rPr>
                <w:sz w:val="20"/>
                <w:szCs w:val="20"/>
                <w:color w:val="auto"/>
              </w:rPr>
            </w:pPr>
            <w:r>
              <w:rPr>
                <w:rFonts w:ascii="Arial" w:cs="Arial" w:eastAsia="Arial" w:hAnsi="Arial"/>
                <w:sz w:val="16"/>
                <w:szCs w:val="16"/>
                <w:color w:val="auto"/>
              </w:rPr>
              <w:t xml:space="preserve">                  </w:t>
            </w:r>
            <w:r>
              <w:rPr>
                <w:rFonts w:ascii="Arial" w:cs="Arial" w:eastAsia="Arial" w:hAnsi="Arial"/>
                <w:sz w:val="31"/>
                <w:szCs w:val="31"/>
                <w:color w:val="auto"/>
                <w:vertAlign w:val="subscript"/>
              </w:rPr>
              <w:t>​</w:t>
            </w:r>
          </w:p>
        </w:tc>
      </w:tr>
      <w:tr>
        <w:trPr>
          <w:trHeight w:val="20"/>
        </w:trPr>
        <w:tc>
          <w:tcPr>
            <w:tcW w:w="6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6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4983480</wp:posOffset>
            </wp:positionH>
            <wp:positionV relativeFrom="paragraph">
              <wp:posOffset>-770890</wp:posOffset>
            </wp:positionV>
            <wp:extent cx="137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27" w:lineRule="exact"/>
        <w:rPr>
          <w:sz w:val="20"/>
          <w:szCs w:val="20"/>
          <w:color w:val="auto"/>
        </w:rPr>
      </w:pPr>
    </w:p>
    <w:p>
      <w:pPr>
        <w:ind w:left="1260" w:right="499"/>
        <w:spacing w:after="0" w:line="280"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If an underwriter defaults, the underwriting agreement provides that the purchase commitments of the nondefaulting underwriters may be increased or the underwriting agreement may be terminated. The underwriting agreement provides that the underwriters will purchase all of the ADSs if any of them are purchased.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06" w:lineRule="exact"/>
        <w:rPr>
          <w:sz w:val="20"/>
          <w:szCs w:val="20"/>
          <w:color w:val="auto"/>
        </w:rPr>
      </w:pPr>
    </w:p>
    <w:p>
      <w:pPr>
        <w:ind w:left="1260" w:right="519"/>
        <w:spacing w:after="0" w:line="287"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ADSs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ADSs, that you will be able to sell any of the ADSs held by you at a particular time or that the prices that you receive when you sell will be favorable.</w:t>
      </w:r>
    </w:p>
    <w:p>
      <w:pPr>
        <w:spacing w:after="0" w:line="96" w:lineRule="exact"/>
        <w:rPr>
          <w:sz w:val="20"/>
          <w:szCs w:val="20"/>
          <w:color w:val="auto"/>
        </w:rPr>
      </w:pPr>
    </w:p>
    <w:p>
      <w:pPr>
        <w:jc w:val="both"/>
        <w:ind w:left="1260" w:right="439"/>
        <w:spacing w:after="0" w:line="295" w:lineRule="auto"/>
        <w:rPr>
          <w:sz w:val="20"/>
          <w:szCs w:val="20"/>
          <w:color w:val="auto"/>
        </w:rPr>
      </w:pPr>
      <w:r>
        <w:rPr>
          <w:rFonts w:ascii="Arial" w:cs="Arial" w:eastAsia="Arial" w:hAnsi="Arial"/>
          <w:sz w:val="17"/>
          <w:szCs w:val="17"/>
          <w:color w:val="auto"/>
        </w:rPr>
        <w:t>The underwriters are offering the ADSs subject to their acceptance of the ADSs from us and subject to prior sale. The underwriters reserve the right to withdraw, cancel or modify offers to the public and to reject orders in whole or in part.</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Commission and Expenses</w:t>
      </w:r>
    </w:p>
    <w:p>
      <w:pPr>
        <w:spacing w:after="0" w:line="59" w:lineRule="exact"/>
        <w:rPr>
          <w:sz w:val="20"/>
          <w:szCs w:val="20"/>
          <w:color w:val="auto"/>
        </w:rPr>
      </w:pPr>
    </w:p>
    <w:p>
      <w:pPr>
        <w:ind w:left="1260" w:right="419"/>
        <w:spacing w:after="0" w:line="283" w:lineRule="auto"/>
        <w:rPr>
          <w:sz w:val="20"/>
          <w:szCs w:val="20"/>
          <w:color w:val="auto"/>
        </w:rPr>
      </w:pPr>
      <w:r>
        <w:rPr>
          <w:rFonts w:ascii="Arial" w:cs="Arial" w:eastAsia="Arial" w:hAnsi="Arial"/>
          <w:sz w:val="17"/>
          <w:szCs w:val="17"/>
          <w:color w:val="auto"/>
        </w:rPr>
        <w:t>The underwriters have advised us that they propose to offer the ADSs to the public at the public offering price set forth on the cover page of this prospectus supplement and to certain dealers, which may include the underwriters, at that price less a concession not in excess of  $            per ADS. The underwriters may allow, and certain dealers may reallow, a discount from the concession not in excess of  $            per ADS to certain brokers and dealers. After the offering, the public offering price, concession and reallowance to dealers may be reduced by the representatives. No such reduction will change the amount of proceeds to be received by us as set forth on the cover page of this prospectus supplement.</w:t>
      </w:r>
    </w:p>
    <w:p>
      <w:pPr>
        <w:spacing w:after="0" w:line="101" w:lineRule="exact"/>
        <w:rPr>
          <w:sz w:val="20"/>
          <w:szCs w:val="20"/>
          <w:color w:val="auto"/>
        </w:rPr>
      </w:pPr>
    </w:p>
    <w:p>
      <w:pPr>
        <w:ind w:left="1260" w:right="519"/>
        <w:spacing w:after="0" w:line="290"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ADSs.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531495</wp:posOffset>
            </wp:positionV>
            <wp:extent cx="52120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1260" w:type="dxa"/>
        <w:tblCellMar>
          <w:top w:w="0" w:type="dxa"/>
          <w:left w:w="0" w:type="dxa"/>
          <w:bottom w:w="0" w:type="dxa"/>
          <w:right w:w="0" w:type="dxa"/>
        </w:tblCellMar>
      </w:tblPr>
      <w:tr>
        <w:trPr>
          <w:trHeight w:val="218"/>
        </w:trPr>
        <w:tc>
          <w:tcPr>
            <w:tcW w:w="4140" w:type="dxa"/>
            <w:vAlign w:val="bottom"/>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ind w:left="200"/>
              <w:spacing w:after="0"/>
              <w:rPr>
                <w:sz w:val="20"/>
                <w:szCs w:val="20"/>
                <w:color w:val="auto"/>
              </w:rPr>
            </w:pPr>
            <w:r>
              <w:rPr>
                <w:rFonts w:ascii="Arial" w:cs="Arial" w:eastAsia="Arial" w:hAnsi="Arial"/>
                <w:sz w:val="14"/>
                <w:szCs w:val="14"/>
                <w:b w:val="1"/>
                <w:bCs w:val="1"/>
                <w:color w:val="auto"/>
              </w:rPr>
              <w:t>​​​ ​</w:t>
            </w:r>
          </w:p>
        </w:tc>
        <w:tc>
          <w:tcPr>
            <w:tcW w:w="500" w:type="dxa"/>
            <w:vAlign w:val="bottom"/>
          </w:tcPr>
          <w:p>
            <w:pPr>
              <w:spacing w:after="0"/>
              <w:rPr>
                <w:sz w:val="18"/>
                <w:szCs w:val="18"/>
                <w:color w:val="auto"/>
              </w:rPr>
            </w:pPr>
          </w:p>
        </w:tc>
        <w:tc>
          <w:tcPr>
            <w:tcW w:w="26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4"/>
        </w:trPr>
        <w:tc>
          <w:tcPr>
            <w:tcW w:w="4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WITHOUT</w:t>
            </w: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WITH</w:t>
            </w:r>
          </w:p>
        </w:tc>
        <w:tc>
          <w:tcPr>
            <w:tcW w:w="3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OPTION TO</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OPTION TO</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PURCHASE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PURCHASE</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140" w:type="dxa"/>
            <w:vAlign w:val="bottom"/>
          </w:tcPr>
          <w:p>
            <w:pPr>
              <w:spacing w:after="0"/>
              <w:rPr>
                <w:sz w:val="20"/>
                <w:szCs w:val="20"/>
                <w:color w:val="auto"/>
              </w:rPr>
            </w:pPr>
            <w:r>
              <w:rPr>
                <w:rFonts w:ascii="Arial" w:cs="Arial" w:eastAsia="Arial" w:hAnsi="Arial"/>
                <w:sz w:val="14"/>
                <w:szCs w:val="14"/>
                <w:b w:val="1"/>
                <w:bCs w:val="1"/>
                <w:color w:val="auto"/>
              </w:rPr>
              <w:t>​</w:t>
            </w:r>
          </w:p>
        </w:tc>
        <w:tc>
          <w:tcPr>
            <w:tcW w:w="4120" w:type="dxa"/>
            <w:vAlign w:val="bottom"/>
            <w:gridSpan w:val="14"/>
          </w:tcPr>
          <w:p>
            <w:pPr>
              <w:ind w:left="200"/>
              <w:spacing w:after="0" w:line="217"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PER ADS </w:t>
            </w: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ADDITIONAL ADSs </w:t>
            </w: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ADDITIONAL ADSs</w:t>
            </w:r>
            <w:r>
              <w:rPr>
                <w:rFonts w:ascii="Arial" w:cs="Arial" w:eastAsia="Arial" w:hAnsi="Arial"/>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7"/>
                <w:szCs w:val="17"/>
                <w:color w:val="auto"/>
              </w:rPr>
              <w:t>Public offering price</w:t>
            </w: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40" w:type="dxa"/>
            <w:vAlign w:val="bottom"/>
            <w:vMerge w:val="continue"/>
          </w:tcPr>
          <w:p>
            <w:pPr>
              <w:spacing w:after="0"/>
              <w:rPr>
                <w:sz w:val="20"/>
                <w:szCs w:val="20"/>
                <w:color w:val="auto"/>
              </w:rPr>
            </w:pPr>
          </w:p>
        </w:tc>
        <w:tc>
          <w:tcPr>
            <w:tcW w:w="4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500" w:type="dxa"/>
            <w:vAlign w:val="bottom"/>
          </w:tcPr>
          <w:p>
            <w:pPr>
              <w:ind w:left="40"/>
              <w:spacing w:after="0"/>
              <w:rPr>
                <w:sz w:val="20"/>
                <w:szCs w:val="20"/>
                <w:color w:val="auto"/>
              </w:rPr>
            </w:pPr>
            <w:r>
              <w:rPr>
                <w:rFonts w:ascii="Arial" w:cs="Arial" w:eastAsia="Arial" w:hAnsi="Arial"/>
                <w:sz w:val="17"/>
                <w:szCs w:val="17"/>
                <w:color w:val="auto"/>
              </w:rPr>
              <w:t xml:space="preserve">         </w:t>
            </w:r>
          </w:p>
        </w:tc>
        <w:tc>
          <w:tcPr>
            <w:tcW w:w="1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jc w:val="right"/>
              <w:ind w:right="20"/>
              <w:spacing w:after="0"/>
              <w:rPr>
                <w:sz w:val="20"/>
                <w:szCs w:val="20"/>
                <w:color w:val="auto"/>
              </w:rPr>
            </w:pPr>
            <w:r>
              <w:rPr>
                <w:rFonts w:ascii="Arial" w:cs="Arial" w:eastAsia="Arial" w:hAnsi="Arial"/>
                <w:sz w:val="17"/>
                <w:szCs w:val="17"/>
                <w:color w:val="auto"/>
              </w:rPr>
              <w:t>​ $</w:t>
            </w:r>
          </w:p>
        </w:tc>
        <w:tc>
          <w:tcPr>
            <w:tcW w:w="640" w:type="dxa"/>
            <w:vAlign w:val="bottom"/>
          </w:tcPr>
          <w:p>
            <w:pPr>
              <w:ind w:left="100"/>
              <w:spacing w:after="0"/>
              <w:rPr>
                <w:sz w:val="20"/>
                <w:szCs w:val="20"/>
                <w:color w:val="auto"/>
              </w:rPr>
            </w:pPr>
            <w:r>
              <w:rPr>
                <w:rFonts w:ascii="Arial" w:cs="Arial" w:eastAsia="Arial" w:hAnsi="Arial"/>
                <w:sz w:val="17"/>
                <w:szCs w:val="17"/>
                <w:color w:val="auto"/>
              </w:rPr>
              <w:t xml:space="preserve">         </w:t>
            </w:r>
          </w:p>
        </w:tc>
        <w:tc>
          <w:tcPr>
            <w:tcW w:w="580" w:type="dxa"/>
            <w:vAlign w:val="bottom"/>
            <w:gridSpan w:val="3"/>
          </w:tcPr>
          <w:p>
            <w:pPr>
              <w:jc w:val="center"/>
              <w:spacing w:after="0"/>
              <w:rPr>
                <w:sz w:val="20"/>
                <w:szCs w:val="20"/>
                <w:color w:val="auto"/>
              </w:rPr>
            </w:pPr>
            <w:r>
              <w:rPr>
                <w:rFonts w:ascii="Arial" w:cs="Arial" w:eastAsia="Arial" w:hAnsi="Arial"/>
                <w:sz w:val="17"/>
                <w:szCs w:val="17"/>
                <w:color w:val="auto"/>
              </w:rPr>
              <w:t>​ ​​</w:t>
            </w:r>
          </w:p>
        </w:tc>
        <w:tc>
          <w:tcPr>
            <w:tcW w:w="240" w:type="dxa"/>
            <w:vAlign w:val="bottom"/>
          </w:tcPr>
          <w:p>
            <w:pPr>
              <w:jc w:val="right"/>
              <w:spacing w:after="0"/>
              <w:rPr>
                <w:sz w:val="20"/>
                <w:szCs w:val="20"/>
                <w:color w:val="auto"/>
              </w:rPr>
            </w:pPr>
            <w:r>
              <w:rPr>
                <w:rFonts w:ascii="Arial" w:cs="Arial" w:eastAsia="Arial" w:hAnsi="Arial"/>
                <w:sz w:val="17"/>
                <w:szCs w:val="17"/>
                <w:color w:val="auto"/>
              </w:rPr>
              <w:t>​ $</w:t>
            </w:r>
          </w:p>
        </w:tc>
        <w:tc>
          <w:tcPr>
            <w:tcW w:w="660" w:type="dxa"/>
            <w:vAlign w:val="bottom"/>
          </w:tcPr>
          <w:p>
            <w:pPr>
              <w:ind w:left="180"/>
              <w:spacing w:after="0"/>
              <w:rPr>
                <w:sz w:val="20"/>
                <w:szCs w:val="20"/>
                <w:color w:val="auto"/>
              </w:rPr>
            </w:pPr>
            <w:r>
              <w:rPr>
                <w:rFonts w:ascii="Arial" w:cs="Arial" w:eastAsia="Arial" w:hAnsi="Arial"/>
                <w:sz w:val="17"/>
                <w:szCs w:val="17"/>
                <w:color w:val="auto"/>
              </w:rPr>
              <w:t xml:space="preserve">         </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6"/>
        </w:trPr>
        <w:tc>
          <w:tcPr>
            <w:tcW w:w="4140" w:type="dxa"/>
            <w:vAlign w:val="bottom"/>
          </w:tcPr>
          <w:p>
            <w:pPr>
              <w:spacing w:after="0"/>
              <w:rPr>
                <w:sz w:val="20"/>
                <w:szCs w:val="20"/>
                <w:color w:val="auto"/>
              </w:rPr>
            </w:pPr>
            <w:r>
              <w:rPr>
                <w:rFonts w:ascii="Arial" w:cs="Arial" w:eastAsia="Arial" w:hAnsi="Arial"/>
                <w:sz w:val="17"/>
                <w:szCs w:val="17"/>
                <w:color w:val="auto"/>
              </w:rPr>
              <w:t>Underwriting discounts and commissions paid by us</w:t>
            </w:r>
          </w:p>
        </w:tc>
        <w:tc>
          <w:tcPr>
            <w:tcW w:w="4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2"/>
                <w:szCs w:val="22"/>
                <w:color w:val="auto"/>
              </w:rPr>
            </w:pPr>
          </w:p>
        </w:tc>
        <w:tc>
          <w:tcPr>
            <w:tcW w:w="2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20"/>
              <w:spacing w:after="0"/>
              <w:rPr>
                <w:sz w:val="20"/>
                <w:szCs w:val="20"/>
                <w:color w:val="auto"/>
              </w:rPr>
            </w:pPr>
            <w:r>
              <w:rPr>
                <w:rFonts w:ascii="Arial" w:cs="Arial" w:eastAsia="Arial" w:hAnsi="Arial"/>
                <w:sz w:val="17"/>
                <w:szCs w:val="17"/>
                <w:color w:val="auto"/>
              </w:rPr>
              <w:t>​ $</w:t>
            </w:r>
          </w:p>
        </w:tc>
        <w:tc>
          <w:tcPr>
            <w:tcW w:w="640" w:type="dxa"/>
            <w:vAlign w:val="bottom"/>
          </w:tcPr>
          <w:p>
            <w:pPr>
              <w:spacing w:after="0"/>
              <w:rPr>
                <w:sz w:val="22"/>
                <w:szCs w:val="22"/>
                <w:color w:val="auto"/>
              </w:rPr>
            </w:pPr>
          </w:p>
        </w:tc>
        <w:tc>
          <w:tcPr>
            <w:tcW w:w="580" w:type="dxa"/>
            <w:vAlign w:val="bottom"/>
            <w:gridSpan w:val="3"/>
          </w:tcPr>
          <w:p>
            <w:pPr>
              <w:jc w:val="center"/>
              <w:spacing w:after="0"/>
              <w:rPr>
                <w:sz w:val="20"/>
                <w:szCs w:val="20"/>
                <w:color w:val="auto"/>
              </w:rPr>
            </w:pPr>
            <w:r>
              <w:rPr>
                <w:rFonts w:ascii="Arial" w:cs="Arial" w:eastAsia="Arial" w:hAnsi="Arial"/>
                <w:sz w:val="17"/>
                <w:szCs w:val="17"/>
                <w:color w:val="auto"/>
              </w:rPr>
              <w:t>​ ​​</w:t>
            </w:r>
          </w:p>
        </w:tc>
        <w:tc>
          <w:tcPr>
            <w:tcW w:w="240" w:type="dxa"/>
            <w:vAlign w:val="bottom"/>
          </w:tcPr>
          <w:p>
            <w:pPr>
              <w:jc w:val="right"/>
              <w:spacing w:after="0"/>
              <w:rPr>
                <w:sz w:val="20"/>
                <w:szCs w:val="20"/>
                <w:color w:val="auto"/>
              </w:rPr>
            </w:pPr>
            <w:r>
              <w:rPr>
                <w:rFonts w:ascii="Arial" w:cs="Arial" w:eastAsia="Arial" w:hAnsi="Arial"/>
                <w:sz w:val="17"/>
                <w:szCs w:val="17"/>
                <w:color w:val="auto"/>
              </w:rPr>
              <w:t>​ $</w:t>
            </w:r>
          </w:p>
        </w:tc>
        <w:tc>
          <w:tcPr>
            <w:tcW w:w="66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7"/>
                <w:szCs w:val="17"/>
                <w:color w:val="auto"/>
              </w:rPr>
              <w:t>Proceeds to us, before expenses</w:t>
            </w:r>
          </w:p>
        </w:tc>
        <w:tc>
          <w:tcPr>
            <w:tcW w:w="48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140" w:type="dxa"/>
            <w:vAlign w:val="bottom"/>
          </w:tcPr>
          <w:p>
            <w:pPr>
              <w:spacing w:after="0"/>
              <w:rPr>
                <w:sz w:val="18"/>
                <w:szCs w:val="18"/>
                <w:color w:val="auto"/>
              </w:rPr>
            </w:pPr>
          </w:p>
        </w:tc>
        <w:tc>
          <w:tcPr>
            <w:tcW w:w="4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2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400" w:type="dxa"/>
            <w:vAlign w:val="bottom"/>
          </w:tcPr>
          <w:p>
            <w:pPr>
              <w:ind w:left="12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580" w:type="dxa"/>
            <w:vAlign w:val="bottom"/>
            <w:gridSpan w:val="3"/>
          </w:tcPr>
          <w:p>
            <w:pPr>
              <w:jc w:val="center"/>
              <w:spacing w:after="0"/>
              <w:rPr>
                <w:sz w:val="20"/>
                <w:szCs w:val="20"/>
                <w:color w:val="auto"/>
              </w:rPr>
            </w:pPr>
            <w:r>
              <w:rPr>
                <w:rFonts w:ascii="Arial" w:cs="Arial" w:eastAsia="Arial" w:hAnsi="Arial"/>
                <w:sz w:val="17"/>
                <w:szCs w:val="17"/>
                <w:color w:val="auto"/>
              </w:rPr>
              <w:t>​ ​​</w:t>
            </w:r>
          </w:p>
        </w:tc>
        <w:tc>
          <w:tcPr>
            <w:tcW w:w="240" w:type="dxa"/>
            <w:vAlign w:val="bottom"/>
          </w:tcPr>
          <w:p>
            <w:pPr>
              <w:ind w:left="4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-290830</wp:posOffset>
            </wp:positionV>
            <wp:extent cx="5212080" cy="2832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2080" cy="2832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-616585</wp:posOffset>
            </wp:positionV>
            <wp:extent cx="521208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87" w:lineRule="exact"/>
        <w:rPr>
          <w:sz w:val="20"/>
          <w:szCs w:val="20"/>
          <w:color w:val="auto"/>
        </w:rPr>
      </w:pPr>
    </w:p>
    <w:p>
      <w:pPr>
        <w:ind w:left="1260" w:right="419"/>
        <w:spacing w:after="0" w:line="263" w:lineRule="auto"/>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 approximately $380,000. We have also agreed to reimburse the underwriters for up to $35,000 for their Financial Industry Regulatory Authority, Inc. (“FINRA”) counsel fee. In accordance with FINRA Rule 5110, this reimbursed fee is deemed underwriting compensation for this offering.</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Listing</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ADSs are listed on The Nasdaq Global Market under the symbol “VRNA.”</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Stamp Taxes</w:t>
      </w:r>
    </w:p>
    <w:p>
      <w:pPr>
        <w:spacing w:after="0" w:line="46" w:lineRule="exact"/>
        <w:rPr>
          <w:sz w:val="20"/>
          <w:szCs w:val="20"/>
          <w:color w:val="auto"/>
        </w:rPr>
      </w:pPr>
    </w:p>
    <w:p>
      <w:pPr>
        <w:jc w:val="both"/>
        <w:ind w:left="1260" w:right="499"/>
        <w:spacing w:after="0" w:line="278" w:lineRule="auto"/>
        <w:rPr>
          <w:sz w:val="20"/>
          <w:szCs w:val="20"/>
          <w:color w:val="auto"/>
        </w:rPr>
      </w:pPr>
      <w:r>
        <w:rPr>
          <w:rFonts w:ascii="Arial" w:cs="Arial" w:eastAsia="Arial" w:hAnsi="Arial"/>
          <w:sz w:val="17"/>
          <w:szCs w:val="17"/>
          <w:color w:val="auto"/>
        </w:rPr>
        <w:t>If you purchase ADSs offered in this prospectus supplement, you may be required to pay stamp taxes and other charges under the laws and practices of the country of purchase, in addition to the offering price listed on the cover page of this prospectus supplement.</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Option to Purchase Additional ADSs</w:t>
      </w:r>
    </w:p>
    <w:p>
      <w:pPr>
        <w:spacing w:after="0" w:line="46" w:lineRule="exact"/>
        <w:rPr>
          <w:sz w:val="20"/>
          <w:szCs w:val="20"/>
          <w:color w:val="auto"/>
        </w:rPr>
      </w:pPr>
    </w:p>
    <w:p>
      <w:pPr>
        <w:ind w:left="1260" w:right="459"/>
        <w:spacing w:after="0" w:line="263"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supplement, to purchase, from time to time, in whole or in part, up to an aggregate of                     ADSs from us at the public offering price set forth on the cover page of this prospectus supplement, less underwriting discounts and commissions. If the underwriters exercise this option, each underwriter will be obligated, subject to specified conditions, to purchase a number of additional ADSs proportionate to that underwriter’s initial purchase commitment as indicated in the table above.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No Sales of Similar Securities</w:t>
      </w:r>
    </w:p>
    <w:p>
      <w:pPr>
        <w:spacing w:after="0" w:line="59" w:lineRule="exact"/>
        <w:rPr>
          <w:sz w:val="20"/>
          <w:szCs w:val="20"/>
          <w:color w:val="auto"/>
        </w:rPr>
      </w:pPr>
    </w:p>
    <w:p>
      <w:pPr>
        <w:ind w:left="1260" w:right="419"/>
        <w:spacing w:after="0" w:line="267" w:lineRule="auto"/>
        <w:rPr>
          <w:sz w:val="20"/>
          <w:szCs w:val="20"/>
          <w:color w:val="auto"/>
        </w:rPr>
      </w:pPr>
      <w:r>
        <w:rPr>
          <w:rFonts w:ascii="Arial" w:cs="Arial" w:eastAsia="Arial" w:hAnsi="Arial"/>
          <w:sz w:val="17"/>
          <w:szCs w:val="17"/>
          <w:color w:val="auto"/>
        </w:rPr>
        <w:t>We have agreed, subject to specified exceptions, not to directly or indirectly (i) sell, offer to sell, contract to sell or lend any ADSs, ordinary shares or related securities; (ii) effect any short sale, or establish or increase any “put equivalent position” (as​ defined in Rule 16a-1(h) under the Exchange Act) or liquidate or decrease any “call equivalent position” (as​ defined in Rule 16a-1(b) under the Exchange Act) of any ADSs, ordinary shares or related securities; (iii) pledge, hypothecate or grant any security interest in any ADSs, ordinary shares or related securities; (iv) in any other way transfer or dispose of any ADSs, ordinary shares or related securities; (v) enter into any swap, hedge or similar arrangement or agreement that transfers, in whole or in part, the economic risk of ownership of any ADSs, ordinary shares or related securities, regardless of whether any such transaction is to be settled in securities, in cash or otherwise; (vi) announce the offering of any ADSs, ordinary shares or related securities; (vii) file any registration statement under the Securities Act in respect of any ADSs, ordinary shares or related securities (other than as contemplated by the underwriting agreement with respect to the securities offered hereby); or (viii) publicly announce the intention to do any of the foregoing, for a period of 90 days after the date of this prospectus supplement without the prior written consent of Jefferies LLC and Piper Sandler &amp; Co. Notwithstanding the foregoing, we may offer and sell our ADSs under our “at the market offering” program pursuant to the Open Market Sale Agreement</w:t>
      </w:r>
      <w:r>
        <w:rPr>
          <w:rFonts w:ascii="Arial" w:cs="Arial" w:eastAsia="Arial" w:hAnsi="Arial"/>
          <w:sz w:val="25"/>
          <w:szCs w:val="25"/>
          <w:color w:val="auto"/>
          <w:vertAlign w:val="superscript"/>
        </w:rPr>
        <w:t>SM</w:t>
      </w:r>
      <w:r>
        <w:rPr>
          <w:rFonts w:ascii="Arial" w:cs="Arial" w:eastAsia="Arial" w:hAnsi="Arial"/>
          <w:sz w:val="17"/>
          <w:szCs w:val="17"/>
          <w:color w:val="auto"/>
        </w:rPr>
        <w:t>, dated March 19, 2021, by and between the Company and Jefferies LLC.</w:t>
      </w:r>
    </w:p>
    <w:p>
      <w:pPr>
        <w:spacing w:after="0" w:line="36" w:lineRule="exact"/>
        <w:rPr>
          <w:sz w:val="20"/>
          <w:szCs w:val="20"/>
          <w:color w:val="auto"/>
        </w:rPr>
      </w:pPr>
    </w:p>
    <w:p>
      <w:pPr>
        <w:ind w:left="1260" w:right="419"/>
        <w:spacing w:after="0" w:line="273" w:lineRule="auto"/>
        <w:rPr>
          <w:sz w:val="20"/>
          <w:szCs w:val="20"/>
          <w:color w:val="auto"/>
        </w:rPr>
      </w:pPr>
      <w:r>
        <w:rPr>
          <w:rFonts w:ascii="Arial" w:cs="Arial" w:eastAsia="Arial" w:hAnsi="Arial"/>
          <w:sz w:val="17"/>
          <w:szCs w:val="17"/>
          <w:color w:val="auto"/>
        </w:rPr>
        <w:t>Our executive officers and directors have agreed, subject to specified exceptions, not to (i) sell or offer to sell any ADSs, ordinary shares or related securities currently or hereafter owned either of record or beneficially (as defined in Rule 13d-3 under the Exchange Act) by the securityholder or such securityholder’s family member; (ii) enter into any swap, hedge or similar arrangement or agreement that transfers, in whole or in part, the economic risk of ownership of ADSs, ordinary shares or related securities, regardless of whether any such</w:t>
      </w:r>
    </w:p>
    <w:p>
      <w:pPr>
        <w:sectPr>
          <w:pgSz w:w="11900" w:h="16838" w:orient="portrait"/>
          <w:cols w:equalWidth="0" w:num="1">
            <w:col w:w="9879"/>
          </w:cols>
          <w:pgMar w:left="580" w:top="114" w:right="1440" w:bottom="1440" w:gutter="0" w:footer="0" w:header="0"/>
        </w:sectPr>
      </w:pPr>
    </w:p>
    <w:p>
      <w:pPr>
        <w:spacing w:after="0" w:line="390"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419"/>
        <w:spacing w:after="0" w:line="258" w:lineRule="auto"/>
        <w:rPr>
          <w:sz w:val="20"/>
          <w:szCs w:val="20"/>
          <w:color w:val="auto"/>
        </w:rPr>
      </w:pPr>
      <w:r>
        <w:rPr>
          <w:rFonts w:ascii="Arial" w:cs="Arial" w:eastAsia="Arial" w:hAnsi="Arial"/>
          <w:sz w:val="17"/>
          <w:szCs w:val="17"/>
          <w:color w:val="auto"/>
        </w:rPr>
        <w:t>transaction is to be settled in securities, in cash or otherwise; (iii) make any demand for, or exercise any right with respect to, the registration under the Securities Act of the offer and sale of any of our ordinary shares or related securities, or cause to be filed a registration statement, prospectus or prospectus supplement (or an amendment or supplement thereto) with respect to any such registration; or (iv) publicly announce any intention to do any of the foregoing, for a period of 90 days after the date of this prospectus supplement without the prior written consent of Jefferies LLC and Piper Sandler &amp; Co. Notwithstanding the foregoing, Jefferies LLC has agreed that one of our executive officers may transfer, sell, tender or otherwise dispose of up to an aggregate of 20,000 ADSs held by such person or a trust for the benefit of such person’s family members; provided that no such transfer, sale, tender or disposal shall be made at a price that is less than $12.00 per ADS.</w:t>
      </w:r>
    </w:p>
    <w:p>
      <w:pPr>
        <w:spacing w:after="0" w:line="92" w:lineRule="exact"/>
        <w:rPr>
          <w:sz w:val="20"/>
          <w:szCs w:val="20"/>
          <w:color w:val="auto"/>
        </w:rPr>
      </w:pPr>
    </w:p>
    <w:p>
      <w:pPr>
        <w:ind w:left="1260" w:right="759"/>
        <w:spacing w:after="0" w:line="232" w:lineRule="auto"/>
        <w:rPr>
          <w:sz w:val="20"/>
          <w:szCs w:val="20"/>
          <w:color w:val="auto"/>
        </w:rPr>
      </w:pPr>
      <w:r>
        <w:rPr>
          <w:rFonts w:ascii="Arial" w:cs="Arial" w:eastAsia="Arial" w:hAnsi="Arial"/>
          <w:sz w:val="17"/>
          <w:szCs w:val="17"/>
          <w:color w:val="auto"/>
        </w:rPr>
        <w:t>These restrictions terminate after the close of trading of the ADSs on and including the 90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after the date of this prospectus supplement.</w:t>
      </w:r>
    </w:p>
    <w:p>
      <w:pPr>
        <w:spacing w:after="0" w:line="121" w:lineRule="exact"/>
        <w:rPr>
          <w:sz w:val="20"/>
          <w:szCs w:val="20"/>
          <w:color w:val="auto"/>
        </w:rPr>
      </w:pPr>
    </w:p>
    <w:p>
      <w:pPr>
        <w:ind w:left="1260" w:right="419"/>
        <w:spacing w:after="0" w:line="267" w:lineRule="auto"/>
        <w:rPr>
          <w:sz w:val="20"/>
          <w:szCs w:val="20"/>
          <w:color w:val="auto"/>
        </w:rPr>
      </w:pPr>
      <w:r>
        <w:rPr>
          <w:rFonts w:ascii="Arial" w:cs="Arial" w:eastAsia="Arial" w:hAnsi="Arial"/>
          <w:sz w:val="17"/>
          <w:szCs w:val="17"/>
          <w:color w:val="auto"/>
        </w:rPr>
        <w:t>Jefferies LLC and Piper Sandler &amp; Co. may, in their sole discretion and at any time or from time to time before the termination of the 90-day period release all or any portion of the securities subject to lock-up agreements. Other than as disclosed above, there are no existing agreements between the underwriters and any of our shareholders who will execute a lock-up agreement, providing consent to the sale of ADSs or ordinary shares prior to the expiration of the lock-up period.</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Stabilization</w:t>
      </w:r>
    </w:p>
    <w:p>
      <w:pPr>
        <w:spacing w:after="0" w:line="46" w:lineRule="exact"/>
        <w:rPr>
          <w:sz w:val="20"/>
          <w:szCs w:val="20"/>
          <w:color w:val="auto"/>
        </w:rPr>
      </w:pPr>
    </w:p>
    <w:p>
      <w:pPr>
        <w:ind w:left="1260" w:right="579"/>
        <w:spacing w:after="0" w:line="263" w:lineRule="auto"/>
        <w:rPr>
          <w:sz w:val="20"/>
          <w:szCs w:val="20"/>
          <w:color w:val="auto"/>
        </w:rPr>
      </w:pPr>
      <w:r>
        <w:rPr>
          <w:rFonts w:ascii="Arial" w:cs="Arial" w:eastAsia="Arial" w:hAnsi="Arial"/>
          <w:sz w:val="17"/>
          <w:szCs w:val="17"/>
          <w:color w:val="auto"/>
        </w:rPr>
        <w:t>The underwriters have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ADSs at a level above that which might otherwise prevail in the open market. Establishing short sales positions may involve either “covered” short sales or “naked” short sales.</w:t>
      </w:r>
    </w:p>
    <w:p>
      <w:pPr>
        <w:spacing w:after="0" w:line="92" w:lineRule="exact"/>
        <w:rPr>
          <w:sz w:val="20"/>
          <w:szCs w:val="20"/>
          <w:color w:val="auto"/>
        </w:rPr>
      </w:pPr>
    </w:p>
    <w:p>
      <w:pPr>
        <w:ind w:left="1260" w:right="439"/>
        <w:spacing w:after="0" w:line="263"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ADSs in this offering. The underwriters may close out any covered short position by either exercising their option to purchase additional ADSs or purchasing our ADSs in the open market. In determining the source of ADSs to close out the covered short position, the underwriters will consider, among other things, the price of ADSs available for purchase in the open market as compared to the price at which they may purchase ADSs through the option to purchase additional ADSs.</w:t>
      </w:r>
    </w:p>
    <w:p>
      <w:pPr>
        <w:spacing w:after="0" w:line="105" w:lineRule="exact"/>
        <w:rPr>
          <w:sz w:val="20"/>
          <w:szCs w:val="20"/>
          <w:color w:val="auto"/>
        </w:rPr>
      </w:pPr>
    </w:p>
    <w:p>
      <w:pPr>
        <w:ind w:left="1260" w:right="459"/>
        <w:spacing w:after="0" w:line="268" w:lineRule="auto"/>
        <w:rPr>
          <w:sz w:val="20"/>
          <w:szCs w:val="20"/>
          <w:color w:val="auto"/>
        </w:rPr>
      </w:pPr>
      <w:r>
        <w:rPr>
          <w:rFonts w:ascii="Arial" w:cs="Arial" w:eastAsia="Arial" w:hAnsi="Arial"/>
          <w:sz w:val="17"/>
          <w:szCs w:val="17"/>
          <w:color w:val="auto"/>
        </w:rPr>
        <w:t>“Naked” short sales are sales in excess of the option to purchase additional ADSs. The underwriters must close out any naked short position by purchasing ADSs in the open market. A naked short position is more likely to be created if the underwriters are concerned that there may be downward pressure on the price of our ADSs in the open market after pricing that could adversely affect investors who purchase in this offering.</w:t>
      </w:r>
    </w:p>
    <w:p>
      <w:pPr>
        <w:spacing w:after="0" w:line="112" w:lineRule="exact"/>
        <w:rPr>
          <w:sz w:val="20"/>
          <w:szCs w:val="20"/>
          <w:color w:val="auto"/>
        </w:rPr>
      </w:pPr>
    </w:p>
    <w:p>
      <w:pPr>
        <w:ind w:left="1260" w:right="479"/>
        <w:spacing w:after="0" w:line="270" w:lineRule="auto"/>
        <w:rPr>
          <w:sz w:val="20"/>
          <w:szCs w:val="20"/>
          <w:color w:val="auto"/>
        </w:rPr>
      </w:pPr>
      <w:r>
        <w:rPr>
          <w:rFonts w:ascii="Arial" w:cs="Arial" w:eastAsia="Arial" w:hAnsi="Arial"/>
          <w:sz w:val="17"/>
          <w:szCs w:val="17"/>
          <w:color w:val="auto"/>
        </w:rPr>
        <w:t>A stabilizing bid is a bid for the purchase of ADSs on behalf of the underwriters for the purpose of fixing or maintaining the price of the ADSs. A syndicate covering transaction is the bid for or the purchase of ADSs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ADSs or preventing or retarding a decline in the market price of our ADSs. As a result, the price of our ADSs may be higher than the price that might otherwise exist in the open market. A penalty bid is an arrangement permitting the underwriters to reclaim the selling concession otherwise accruing to a syndicate member in connection with the offering if the ADSs originally sold by such syndicate member are purchased in a syndicate covering transaction and therefore have not been effectively placed by such syndicate member.</w:t>
      </w:r>
    </w:p>
    <w:p>
      <w:pPr>
        <w:spacing w:after="0" w:line="109" w:lineRule="exact"/>
        <w:rPr>
          <w:sz w:val="20"/>
          <w:szCs w:val="20"/>
          <w:color w:val="auto"/>
        </w:rPr>
      </w:pPr>
    </w:p>
    <w:p>
      <w:pPr>
        <w:ind w:left="1260" w:right="559"/>
        <w:spacing w:after="0" w:line="279"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ADSs. The underwriters are not obligated to engage in these activities and, if commenced, any of the activities may be discontinued at any time.</w:t>
      </w:r>
    </w:p>
    <w:p>
      <w:pPr>
        <w:spacing w:after="0" w:line="90" w:lineRule="exact"/>
        <w:rPr>
          <w:sz w:val="20"/>
          <w:szCs w:val="20"/>
          <w:color w:val="auto"/>
        </w:rPr>
      </w:pPr>
    </w:p>
    <w:p>
      <w:pPr>
        <w:ind w:left="1260" w:right="659"/>
        <w:spacing w:after="0" w:line="279" w:lineRule="auto"/>
        <w:rPr>
          <w:sz w:val="20"/>
          <w:szCs w:val="20"/>
          <w:color w:val="auto"/>
        </w:rPr>
      </w:pPr>
      <w:r>
        <w:rPr>
          <w:rFonts w:ascii="Arial" w:cs="Arial" w:eastAsia="Arial" w:hAnsi="Arial"/>
          <w:sz w:val="17"/>
          <w:szCs w:val="17"/>
          <w:color w:val="auto"/>
        </w:rPr>
        <w:t>The underwriters may also engage in passive market making transactions in our ADSs on The Nasdaq Global Market in accordance with Rule 103 of Regulation M during a period before the commencement of offers or sales of our ADSs in this offering and extending through the completion of distribution. A passive market</w:t>
      </w:r>
    </w:p>
    <w:p>
      <w:pPr>
        <w:sectPr>
          <w:pgSz w:w="11900" w:h="16838" w:orient="portrait"/>
          <w:cols w:equalWidth="0" w:num="1">
            <w:col w:w="9879"/>
          </w:cols>
          <w:pgMar w:left="580" w:top="114" w:right="1440" w:bottom="1440" w:gutter="0" w:footer="0" w:header="0"/>
        </w:sectPr>
      </w:pPr>
    </w:p>
    <w:p>
      <w:pPr>
        <w:spacing w:after="0" w:line="384"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1260" w:right="439"/>
        <w:spacing w:after="0" w:line="261" w:lineRule="auto"/>
        <w:rPr>
          <w:sz w:val="20"/>
          <w:szCs w:val="20"/>
          <w:color w:val="auto"/>
        </w:rPr>
      </w:pPr>
      <w:r>
        <w:rPr>
          <w:rFonts w:ascii="Arial" w:cs="Arial" w:eastAsia="Arial" w:hAnsi="Arial"/>
          <w:sz w:val="17"/>
          <w:szCs w:val="17"/>
          <w:color w:val="auto"/>
        </w:rPr>
        <w:t>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Electronic Distribution</w:t>
      </w:r>
    </w:p>
    <w:p>
      <w:pPr>
        <w:spacing w:after="0" w:line="46" w:lineRule="exact"/>
        <w:rPr>
          <w:sz w:val="20"/>
          <w:szCs w:val="20"/>
          <w:color w:val="auto"/>
        </w:rPr>
      </w:pPr>
    </w:p>
    <w:p>
      <w:pPr>
        <w:ind w:left="1260" w:right="479"/>
        <w:spacing w:after="0" w:line="247" w:lineRule="auto"/>
        <w:rPr>
          <w:sz w:val="20"/>
          <w:szCs w:val="20"/>
          <w:color w:val="auto"/>
        </w:rPr>
      </w:pPr>
      <w:r>
        <w:rPr>
          <w:rFonts w:ascii="Arial" w:cs="Arial" w:eastAsia="Arial" w:hAnsi="Arial"/>
          <w:sz w:val="17"/>
          <w:szCs w:val="17"/>
          <w:color w:val="auto"/>
        </w:rPr>
        <w:t>A prospectus supplement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ADSs for sale to online brokerage account holders. Any such allocation for online distributions will be made by the underwriters on the same basis as other allocations. Other than the prospectus supplement in electronic format, the information on the underwriters’ websites and any information contained in any other web site maintained by any of the underwriters is not part of this prospectus supplement, has not been approved and/or endorsed by us or the underwriters and should not be relied upon by investors.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Other Activities and Relationships</w:t>
      </w:r>
    </w:p>
    <w:p>
      <w:pPr>
        <w:spacing w:after="0" w:line="46" w:lineRule="exact"/>
        <w:rPr>
          <w:sz w:val="20"/>
          <w:szCs w:val="20"/>
          <w:color w:val="auto"/>
        </w:rPr>
      </w:pPr>
    </w:p>
    <w:p>
      <w:pPr>
        <w:ind w:left="1260" w:right="419"/>
        <w:spacing w:after="0" w:line="245"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 For example, Jefferies LLC is the sales agent under an Open Market Sale Agreement</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dated as of March 19, 2021, with us. Under the Open Market Sale Agreement, we may offer and sell, from time to time, ADSs through Jefferies LLC through an “at the market offering” as defined in Rule 415(a)(4) promulgated under the Securities Act.</w:t>
      </w:r>
    </w:p>
    <w:p>
      <w:pPr>
        <w:spacing w:after="0" w:line="122" w:lineRule="exact"/>
        <w:rPr>
          <w:sz w:val="20"/>
          <w:szCs w:val="20"/>
          <w:color w:val="auto"/>
        </w:rPr>
      </w:pPr>
    </w:p>
    <w:p>
      <w:pPr>
        <w:ind w:left="1260" w:right="439"/>
        <w:spacing w:after="0" w:line="258"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investments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ADSs offered hereby. Any such short positions could adversely affect future trading prices of the ADSs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Disclaimers About Non-U.S. Jurisdictions</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Canada</w:t>
      </w:r>
    </w:p>
    <w:p>
      <w:pPr>
        <w:spacing w:after="0" w:line="46" w:lineRule="exact"/>
        <w:rPr>
          <w:sz w:val="20"/>
          <w:szCs w:val="20"/>
          <w:color w:val="auto"/>
        </w:rPr>
      </w:pPr>
    </w:p>
    <w:p>
      <w:pPr>
        <w:ind w:left="1980" w:hanging="360"/>
        <w:spacing w:after="0"/>
        <w:tabs>
          <w:tab w:leader="none" w:pos="1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Resale Restrictions</w:t>
      </w:r>
    </w:p>
    <w:p>
      <w:pPr>
        <w:spacing w:after="0" w:line="155" w:lineRule="exact"/>
        <w:rPr>
          <w:rFonts w:ascii="Arial" w:cs="Arial" w:eastAsia="Arial" w:hAnsi="Arial"/>
          <w:sz w:val="17"/>
          <w:szCs w:val="17"/>
          <w:color w:val="auto"/>
        </w:rPr>
      </w:pPr>
    </w:p>
    <w:p>
      <w:pPr>
        <w:ind w:left="1980" w:right="439"/>
        <w:spacing w:after="0" w:line="258" w:lineRule="auto"/>
        <w:rPr>
          <w:rFonts w:ascii="Arial" w:cs="Arial" w:eastAsia="Arial" w:hAnsi="Arial"/>
          <w:sz w:val="17"/>
          <w:szCs w:val="17"/>
          <w:color w:val="auto"/>
        </w:rPr>
      </w:pPr>
      <w:r>
        <w:rPr>
          <w:rFonts w:ascii="Arial" w:cs="Arial" w:eastAsia="Arial" w:hAnsi="Arial"/>
          <w:sz w:val="17"/>
          <w:szCs w:val="17"/>
          <w:color w:val="auto"/>
        </w:rPr>
        <w:t>The distribution of ADSs in Canada is being made only in the provinces of Ontario, Quebec, Alberta, British Columbia, Manitoba, New Brunswick and Nova Scotia on a private placement basis exempt from the requirement that we prepare and file a prospectus supplement with the securities regulatory authorities in each province where trades of these securities are made. Any resale of the ADSs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20" w:lineRule="exact"/>
        <w:rPr>
          <w:rFonts w:ascii="Arial" w:cs="Arial" w:eastAsia="Arial" w:hAnsi="Arial"/>
          <w:sz w:val="17"/>
          <w:szCs w:val="17"/>
          <w:color w:val="auto"/>
        </w:rPr>
      </w:pPr>
    </w:p>
    <w:p>
      <w:pPr>
        <w:ind w:left="1980" w:hanging="360"/>
        <w:spacing w:after="0"/>
        <w:tabs>
          <w:tab w:leader="none" w:pos="1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Representations of Canadian Purchasers</w:t>
      </w:r>
    </w:p>
    <w:p>
      <w:pPr>
        <w:spacing w:after="0" w:line="142" w:lineRule="exact"/>
        <w:rPr>
          <w:rFonts w:ascii="Arial" w:cs="Arial" w:eastAsia="Arial" w:hAnsi="Arial"/>
          <w:sz w:val="17"/>
          <w:szCs w:val="17"/>
          <w:color w:val="auto"/>
        </w:rPr>
      </w:pPr>
    </w:p>
    <w:p>
      <w:pPr>
        <w:ind w:left="1980" w:right="519"/>
        <w:spacing w:after="0" w:line="291" w:lineRule="auto"/>
        <w:rPr>
          <w:rFonts w:ascii="Arial" w:cs="Arial" w:eastAsia="Arial" w:hAnsi="Arial"/>
          <w:sz w:val="17"/>
          <w:szCs w:val="17"/>
          <w:color w:val="auto"/>
        </w:rPr>
      </w:pPr>
      <w:r>
        <w:rPr>
          <w:rFonts w:ascii="Arial" w:cs="Arial" w:eastAsia="Arial" w:hAnsi="Arial"/>
          <w:sz w:val="17"/>
          <w:szCs w:val="17"/>
          <w:color w:val="auto"/>
        </w:rPr>
        <w:t>By purchasing ADSs in Canada and accepting delivery of a purchase confirmation, a purchaser is representing to us and the dealer from whom the purchase confirmation is received that:</w:t>
      </w:r>
    </w:p>
    <w:p>
      <w:pPr>
        <w:sectPr>
          <w:pgSz w:w="11900" w:h="16838" w:orient="portrait"/>
          <w:cols w:equalWidth="0" w:num="1">
            <w:col w:w="9879"/>
          </w:cols>
          <w:pgMar w:left="580" w:top="114" w:right="1440" w:bottom="1440" w:gutter="0" w:footer="0" w:header="0"/>
        </w:sectPr>
      </w:pPr>
    </w:p>
    <w:p>
      <w:pPr>
        <w:spacing w:after="0" w:line="387"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560" w:right="459" w:hanging="220"/>
        <w:spacing w:after="0" w:line="279" w:lineRule="auto"/>
        <w:tabs>
          <w:tab w:leader="none" w:pos="25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purchaser is entitled under applicable provincial securities laws to purchase the ADSs without the benefit of a prospectus supplement qualified under those securities laws as it is an “accredited investor” as defined under National Instrument 45-106—Prospectus Exemptions or Section 73.3(1) of the Securities Act (Ontario), as applicable,</w:t>
      </w:r>
    </w:p>
    <w:p>
      <w:pPr>
        <w:spacing w:after="0" w:line="22" w:lineRule="exact"/>
        <w:rPr>
          <w:rFonts w:ascii="Arial" w:cs="Arial" w:eastAsia="Arial" w:hAnsi="Arial"/>
          <w:sz w:val="17"/>
          <w:szCs w:val="17"/>
          <w:color w:val="auto"/>
        </w:rPr>
      </w:pPr>
    </w:p>
    <w:p>
      <w:pPr>
        <w:ind w:left="2560" w:right="439" w:hanging="220"/>
        <w:spacing w:after="0" w:line="306" w:lineRule="auto"/>
        <w:tabs>
          <w:tab w:leader="none" w:pos="25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purchaser is a “permitted client” as defined in National Instrument 31-103—Registration​ Requirements, Exemptions and Ongoing Registrant Obligations,</w:t>
      </w:r>
    </w:p>
    <w:p>
      <w:pPr>
        <w:spacing w:after="0" w:line="1" w:lineRule="exact"/>
        <w:rPr>
          <w:rFonts w:ascii="Arial" w:cs="Arial" w:eastAsia="Arial" w:hAnsi="Arial"/>
          <w:sz w:val="17"/>
          <w:szCs w:val="17"/>
          <w:color w:val="auto"/>
        </w:rPr>
      </w:pPr>
    </w:p>
    <w:p>
      <w:pPr>
        <w:ind w:left="2560" w:hanging="220"/>
        <w:spacing w:after="0"/>
        <w:tabs>
          <w:tab w:leader="none" w:pos="25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where required by law, the purchaser is purchasing as principal and not as agent, and</w:t>
      </w:r>
    </w:p>
    <w:p>
      <w:pPr>
        <w:spacing w:after="0" w:line="88" w:lineRule="exact"/>
        <w:rPr>
          <w:rFonts w:ascii="Arial" w:cs="Arial" w:eastAsia="Arial" w:hAnsi="Arial"/>
          <w:sz w:val="17"/>
          <w:szCs w:val="17"/>
          <w:color w:val="auto"/>
        </w:rPr>
      </w:pPr>
    </w:p>
    <w:p>
      <w:pPr>
        <w:ind w:left="2560" w:hanging="220"/>
        <w:spacing w:after="0"/>
        <w:tabs>
          <w:tab w:leader="none" w:pos="25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purchaser has reviewed the text above under Resale Restrictions.</w:t>
      </w:r>
    </w:p>
    <w:p>
      <w:pPr>
        <w:spacing w:after="0" w:line="155" w:lineRule="exact"/>
        <w:rPr>
          <w:rFonts w:ascii="Arial" w:cs="Arial" w:eastAsia="Arial" w:hAnsi="Arial"/>
          <w:sz w:val="17"/>
          <w:szCs w:val="17"/>
          <w:color w:val="auto"/>
        </w:rPr>
      </w:pPr>
    </w:p>
    <w:p>
      <w:pPr>
        <w:ind w:left="1980" w:hanging="360"/>
        <w:spacing w:after="0"/>
        <w:tabs>
          <w:tab w:leader="none" w:pos="1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Conflicts of Interest</w:t>
      </w:r>
    </w:p>
    <w:p>
      <w:pPr>
        <w:spacing w:after="0" w:line="155" w:lineRule="exact"/>
        <w:rPr>
          <w:rFonts w:ascii="Arial" w:cs="Arial" w:eastAsia="Arial" w:hAnsi="Arial"/>
          <w:sz w:val="17"/>
          <w:szCs w:val="17"/>
          <w:color w:val="auto"/>
        </w:rPr>
      </w:pPr>
    </w:p>
    <w:p>
      <w:pPr>
        <w:ind w:left="1980" w:right="1079"/>
        <w:spacing w:after="0" w:line="268" w:lineRule="auto"/>
        <w:rPr>
          <w:rFonts w:ascii="Arial" w:cs="Arial" w:eastAsia="Arial" w:hAnsi="Arial"/>
          <w:sz w:val="17"/>
          <w:szCs w:val="17"/>
          <w:color w:val="auto"/>
        </w:rPr>
      </w:pPr>
      <w:r>
        <w:rPr>
          <w:rFonts w:ascii="Arial" w:cs="Arial" w:eastAsia="Arial" w:hAnsi="Arial"/>
          <w:sz w:val="17"/>
          <w:szCs w:val="17"/>
          <w:color w:val="auto"/>
        </w:rPr>
        <w:t>Canadian purchasers are hereby notified that certain of the underwriters are relying on the exemption set out in section 3A.3 or 3A.4, if applicable, of National Instrument 33-105— Underwriting Conflicts from having to provide certain conflict of interest disclosure in this document.</w:t>
      </w:r>
    </w:p>
    <w:p>
      <w:pPr>
        <w:spacing w:after="0" w:line="98" w:lineRule="exact"/>
        <w:rPr>
          <w:rFonts w:ascii="Arial" w:cs="Arial" w:eastAsia="Arial" w:hAnsi="Arial"/>
          <w:sz w:val="17"/>
          <w:szCs w:val="17"/>
          <w:color w:val="auto"/>
        </w:rPr>
      </w:pPr>
    </w:p>
    <w:p>
      <w:pPr>
        <w:ind w:left="1980" w:hanging="360"/>
        <w:spacing w:after="0"/>
        <w:tabs>
          <w:tab w:leader="none" w:pos="1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Statutory Rights of Action</w:t>
      </w:r>
    </w:p>
    <w:p>
      <w:pPr>
        <w:spacing w:after="0" w:line="155" w:lineRule="exact"/>
        <w:rPr>
          <w:rFonts w:ascii="Arial" w:cs="Arial" w:eastAsia="Arial" w:hAnsi="Arial"/>
          <w:sz w:val="17"/>
          <w:szCs w:val="17"/>
          <w:color w:val="auto"/>
        </w:rPr>
      </w:pPr>
    </w:p>
    <w:p>
      <w:pPr>
        <w:ind w:left="1980" w:right="659"/>
        <w:spacing w:after="0" w:line="261" w:lineRule="auto"/>
        <w:rPr>
          <w:rFonts w:ascii="Arial" w:cs="Arial" w:eastAsia="Arial" w:hAnsi="Arial"/>
          <w:sz w:val="17"/>
          <w:szCs w:val="17"/>
          <w:color w:val="auto"/>
        </w:rPr>
      </w:pPr>
      <w:r>
        <w:rPr>
          <w:rFonts w:ascii="Arial" w:cs="Arial" w:eastAsia="Arial" w:hAnsi="Arial"/>
          <w:sz w:val="17"/>
          <w:szCs w:val="17"/>
          <w:color w:val="auto"/>
        </w:rPr>
        <w:t>Securities legislation in certain provinces or territories of Canada may provide a purchaser with remedies for rescission or damages if the prospectus supplement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04" w:lineRule="exact"/>
        <w:rPr>
          <w:rFonts w:ascii="Arial" w:cs="Arial" w:eastAsia="Arial" w:hAnsi="Arial"/>
          <w:sz w:val="17"/>
          <w:szCs w:val="17"/>
          <w:color w:val="auto"/>
        </w:rPr>
      </w:pPr>
    </w:p>
    <w:p>
      <w:pPr>
        <w:ind w:left="1980" w:hanging="360"/>
        <w:spacing w:after="0"/>
        <w:tabs>
          <w:tab w:leader="none" w:pos="1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Enforcement of Legal Rights</w:t>
      </w:r>
    </w:p>
    <w:p>
      <w:pPr>
        <w:spacing w:after="0" w:line="155" w:lineRule="exact"/>
        <w:rPr>
          <w:rFonts w:ascii="Arial" w:cs="Arial" w:eastAsia="Arial" w:hAnsi="Arial"/>
          <w:sz w:val="17"/>
          <w:szCs w:val="17"/>
          <w:color w:val="auto"/>
        </w:rPr>
      </w:pPr>
    </w:p>
    <w:p>
      <w:pPr>
        <w:ind w:left="1980" w:right="499"/>
        <w:spacing w:after="0" w:line="263" w:lineRule="auto"/>
        <w:rPr>
          <w:rFonts w:ascii="Arial" w:cs="Arial" w:eastAsia="Arial" w:hAnsi="Arial"/>
          <w:sz w:val="17"/>
          <w:szCs w:val="17"/>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05" w:lineRule="exact"/>
        <w:rPr>
          <w:rFonts w:ascii="Arial" w:cs="Arial" w:eastAsia="Arial" w:hAnsi="Arial"/>
          <w:sz w:val="17"/>
          <w:szCs w:val="17"/>
          <w:color w:val="auto"/>
        </w:rPr>
      </w:pPr>
    </w:p>
    <w:p>
      <w:pPr>
        <w:ind w:left="1980" w:hanging="360"/>
        <w:spacing w:after="0"/>
        <w:tabs>
          <w:tab w:leader="none" w:pos="1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Taxation and Eligibility for Investment</w:t>
      </w:r>
    </w:p>
    <w:p>
      <w:pPr>
        <w:spacing w:after="0" w:line="155" w:lineRule="exact"/>
        <w:rPr>
          <w:rFonts w:ascii="Arial" w:cs="Arial" w:eastAsia="Arial" w:hAnsi="Arial"/>
          <w:sz w:val="17"/>
          <w:szCs w:val="17"/>
          <w:color w:val="auto"/>
        </w:rPr>
      </w:pPr>
    </w:p>
    <w:p>
      <w:pPr>
        <w:ind w:left="1980" w:right="579"/>
        <w:spacing w:after="0" w:line="278" w:lineRule="auto"/>
        <w:rPr>
          <w:rFonts w:ascii="Arial" w:cs="Arial" w:eastAsia="Arial" w:hAnsi="Arial"/>
          <w:sz w:val="17"/>
          <w:szCs w:val="17"/>
          <w:color w:val="auto"/>
        </w:rPr>
      </w:pPr>
      <w:r>
        <w:rPr>
          <w:rFonts w:ascii="Arial" w:cs="Arial" w:eastAsia="Arial" w:hAnsi="Arial"/>
          <w:sz w:val="17"/>
          <w:szCs w:val="17"/>
          <w:color w:val="auto"/>
        </w:rPr>
        <w:t>Canadian purchasers of ADSs should consult their own legal and tax advisors with respect to the tax consequences of an investment in the ADSs in their particular circumstances and about the eligibility of the ADSs for investment by the purchaser under relevant Canadian legislation.</w:t>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Australia</w:t>
      </w:r>
    </w:p>
    <w:p>
      <w:pPr>
        <w:spacing w:after="0" w:line="46" w:lineRule="exact"/>
        <w:rPr>
          <w:sz w:val="20"/>
          <w:szCs w:val="20"/>
          <w:color w:val="auto"/>
        </w:rPr>
      </w:pPr>
    </w:p>
    <w:p>
      <w:pPr>
        <w:ind w:left="1260" w:right="539"/>
        <w:spacing w:after="0" w:line="268"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(the “Corporations Act”), has not been lodged with the Australian Securities &amp; Investments Commission and is only directed to the categories of exempt persons set out below. Accordingly, if you receive this prospectus supplement in Australia:</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You confirm and warrant that you are either:</w:t>
      </w:r>
    </w:p>
    <w:p>
      <w:pPr>
        <w:spacing w:after="0" w:line="88" w:lineRule="exact"/>
        <w:rPr>
          <w:sz w:val="20"/>
          <w:szCs w:val="20"/>
          <w:color w:val="auto"/>
        </w:rPr>
      </w:pPr>
    </w:p>
    <w:p>
      <w:pPr>
        <w:ind w:left="1840" w:hanging="220"/>
        <w:spacing w:after="0"/>
        <w:tabs>
          <w:tab w:leader="none" w:pos="18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“sophisticated investor” under section 708(8)(a) or (b) of the Corporations Act;</w:t>
      </w:r>
    </w:p>
    <w:p>
      <w:pPr>
        <w:spacing w:after="0" w:line="101" w:lineRule="exact"/>
        <w:rPr>
          <w:rFonts w:ascii="Arial" w:cs="Arial" w:eastAsia="Arial" w:hAnsi="Arial"/>
          <w:sz w:val="17"/>
          <w:szCs w:val="17"/>
          <w:color w:val="auto"/>
        </w:rPr>
      </w:pPr>
    </w:p>
    <w:p>
      <w:pPr>
        <w:ind w:left="1840" w:right="639" w:hanging="220"/>
        <w:spacing w:after="0" w:line="279" w:lineRule="auto"/>
        <w:tabs>
          <w:tab w:leader="none" w:pos="18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22" w:lineRule="exact"/>
        <w:rPr>
          <w:rFonts w:ascii="Arial" w:cs="Arial" w:eastAsia="Arial" w:hAnsi="Arial"/>
          <w:sz w:val="17"/>
          <w:szCs w:val="17"/>
          <w:color w:val="auto"/>
        </w:rPr>
      </w:pPr>
    </w:p>
    <w:p>
      <w:pPr>
        <w:ind w:left="1840" w:hanging="220"/>
        <w:spacing w:after="0"/>
        <w:tabs>
          <w:tab w:leader="none" w:pos="18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person associated with the Company under Section 708(12) of the Corporations Act; or</w:t>
      </w:r>
    </w:p>
    <w:p>
      <w:pPr>
        <w:spacing w:after="0" w:line="88" w:lineRule="exact"/>
        <w:rPr>
          <w:rFonts w:ascii="Arial" w:cs="Arial" w:eastAsia="Arial" w:hAnsi="Arial"/>
          <w:sz w:val="17"/>
          <w:szCs w:val="17"/>
          <w:color w:val="auto"/>
        </w:rPr>
      </w:pPr>
    </w:p>
    <w:p>
      <w:pPr>
        <w:ind w:left="1840" w:hanging="220"/>
        <w:spacing w:after="0"/>
        <w:tabs>
          <w:tab w:leader="none" w:pos="18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“professional investor” within the meaning of section 708(11)(a) or (b) of the Corporations Act.</w:t>
      </w:r>
    </w:p>
    <w:p>
      <w:pPr>
        <w:spacing w:after="0" w:line="142" w:lineRule="exact"/>
        <w:rPr>
          <w:sz w:val="20"/>
          <w:szCs w:val="20"/>
          <w:color w:val="auto"/>
        </w:rPr>
      </w:pPr>
    </w:p>
    <w:p>
      <w:pPr>
        <w:ind w:left="1260" w:right="839"/>
        <w:spacing w:after="0" w:line="278"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supplement is void and incapable of acceptance.</w:t>
      </w:r>
    </w:p>
    <w:p>
      <w:pPr>
        <w:sectPr>
          <w:pgSz w:w="11900" w:h="16838" w:orient="portrait"/>
          <w:cols w:equalWidth="0" w:num="1">
            <w:col w:w="9879"/>
          </w:cols>
          <w:pgMar w:left="580" w:top="114" w:right="1440" w:bottom="1440" w:gutter="0" w:footer="0" w:header="0"/>
        </w:sectPr>
      </w:pPr>
    </w:p>
    <w:p>
      <w:pPr>
        <w:spacing w:after="0" w:line="384"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1260" w:right="539"/>
        <w:spacing w:after="0" w:line="268" w:lineRule="auto"/>
        <w:rPr>
          <w:sz w:val="20"/>
          <w:szCs w:val="20"/>
          <w:color w:val="auto"/>
        </w:rPr>
      </w:pPr>
      <w:r>
        <w:rPr>
          <w:rFonts w:ascii="Arial" w:cs="Arial" w:eastAsia="Arial" w:hAnsi="Arial"/>
          <w:sz w:val="17"/>
          <w:szCs w:val="17"/>
          <w:color w:val="auto"/>
        </w:rPr>
        <w:t>You warrant and agree that you will not offer any of the securities issued to you pursuant to this prospectus supplement for resale in Australia within 12 months of those securities being issued unless any such resale offer is exempt from the requirement to issue a disclosure document under section 708 of the Corporations Act.</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European Economic Area</w:t>
      </w:r>
    </w:p>
    <w:p>
      <w:pPr>
        <w:spacing w:after="0" w:line="46" w:lineRule="exact"/>
        <w:rPr>
          <w:sz w:val="20"/>
          <w:szCs w:val="20"/>
          <w:color w:val="auto"/>
        </w:rPr>
      </w:pPr>
    </w:p>
    <w:p>
      <w:pPr>
        <w:ind w:left="1260" w:right="439"/>
        <w:spacing w:after="0" w:line="260" w:lineRule="auto"/>
        <w:rPr>
          <w:sz w:val="20"/>
          <w:szCs w:val="20"/>
          <w:color w:val="auto"/>
        </w:rPr>
      </w:pPr>
      <w:r>
        <w:rPr>
          <w:rFonts w:ascii="Arial" w:cs="Arial" w:eastAsia="Arial" w:hAnsi="Arial"/>
          <w:sz w:val="17"/>
          <w:szCs w:val="17"/>
          <w:color w:val="auto"/>
        </w:rPr>
        <w:t>In relation to each Member State of the European Economic Area (each, a “Relevant State”), no ADSs have been offered or will be offered pursuant to the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the ADSs may be offered to the public in that Relevant State at any time:</w:t>
      </w:r>
    </w:p>
    <w:p>
      <w:pPr>
        <w:spacing w:after="0" w:line="52" w:lineRule="exact"/>
        <w:rPr>
          <w:sz w:val="20"/>
          <w:szCs w:val="20"/>
          <w:color w:val="auto"/>
        </w:rPr>
      </w:pPr>
    </w:p>
    <w:p>
      <w:pPr>
        <w:ind w:left="1840" w:right="1119" w:hanging="220"/>
        <w:spacing w:after="0" w:line="298" w:lineRule="auto"/>
        <w:tabs>
          <w:tab w:leader="none" w:pos="18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Article 2 of the Prospectus Regulation;</w:t>
      </w:r>
    </w:p>
    <w:p>
      <w:pPr>
        <w:ind w:left="1840" w:right="419" w:hanging="220"/>
        <w:spacing w:after="0" w:line="286" w:lineRule="auto"/>
        <w:tabs>
          <w:tab w:leader="none" w:pos="18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 of the Prospectus Regulation), subject to obtaining the prior consent of the representative for any such offer; or</w:t>
      </w:r>
    </w:p>
    <w:p>
      <w:pPr>
        <w:spacing w:after="0" w:line="16" w:lineRule="exact"/>
        <w:rPr>
          <w:rFonts w:ascii="Arial" w:cs="Arial" w:eastAsia="Arial" w:hAnsi="Arial"/>
          <w:sz w:val="17"/>
          <w:szCs w:val="17"/>
          <w:color w:val="auto"/>
        </w:rPr>
      </w:pPr>
    </w:p>
    <w:p>
      <w:pPr>
        <w:ind w:left="1840" w:hanging="220"/>
        <w:spacing w:after="0"/>
        <w:tabs>
          <w:tab w:leader="none" w:pos="18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w:t>
      </w:r>
    </w:p>
    <w:p>
      <w:pPr>
        <w:spacing w:after="0" w:line="156" w:lineRule="exact"/>
        <w:rPr>
          <w:sz w:val="20"/>
          <w:szCs w:val="20"/>
          <w:color w:val="auto"/>
        </w:rPr>
      </w:pPr>
    </w:p>
    <w:p>
      <w:pPr>
        <w:ind w:left="1260" w:right="559"/>
        <w:spacing w:after="0" w:line="263" w:lineRule="auto"/>
        <w:rPr>
          <w:sz w:val="20"/>
          <w:szCs w:val="20"/>
          <w:color w:val="auto"/>
        </w:rPr>
      </w:pPr>
      <w:r>
        <w:rPr>
          <w:rFonts w:ascii="Arial" w:cs="Arial" w:eastAsia="Arial" w:hAnsi="Arial"/>
          <w:sz w:val="17"/>
          <w:szCs w:val="17"/>
          <w:color w:val="auto"/>
        </w:rPr>
        <w:t>provided that no such offer of the ADSs shall require us or any of the underwriters to publish a prospectus pursuant to Article 3 of the Prospectus Regulation or supplement a prospectus pursuant to Article 23 of the Prospectus Regulation. Each person who initially acquires any ADSs or to whom any offer is made will be deemed to have represented, warranted, acknowledged and agreed to and with us and each of the underwriters that it is a “qualified investor” within the meaning of Article 2 of the Prospectus Regulation.</w:t>
      </w:r>
    </w:p>
    <w:p>
      <w:pPr>
        <w:spacing w:after="0" w:line="103" w:lineRule="exact"/>
        <w:rPr>
          <w:sz w:val="20"/>
          <w:szCs w:val="20"/>
          <w:color w:val="auto"/>
        </w:rPr>
      </w:pPr>
    </w:p>
    <w:p>
      <w:pPr>
        <w:ind w:left="1260" w:right="479"/>
        <w:spacing w:after="0" w:line="261" w:lineRule="auto"/>
        <w:rPr>
          <w:sz w:val="20"/>
          <w:szCs w:val="20"/>
          <w:color w:val="auto"/>
        </w:rPr>
      </w:pPr>
      <w:r>
        <w:rPr>
          <w:rFonts w:ascii="Arial" w:cs="Arial" w:eastAsia="Arial" w:hAnsi="Arial"/>
          <w:sz w:val="17"/>
          <w:szCs w:val="17"/>
          <w:color w:val="auto"/>
        </w:rPr>
        <w:t>In the case of any ADSs being offered to a financial intermediary as that term is used in the Prospectus Regulation, each such financial intermediary will be deemed to have represented, warranted, acknowledged and agreed that the ADSs acquired by it in the offering have not been acquired on a non-discretionary basis on behalf of, nor have they been acquired with a view to their offer or resale to, persons in circumstances which may give rise to an offer of any ADSs to the public other than their offer or resale in a Relevant State to qualified investors as so defined or in circumstances in which the prior consent of the underwriters has been obtained to each such proposed offer or resale.</w:t>
      </w:r>
    </w:p>
    <w:p>
      <w:pPr>
        <w:spacing w:after="0" w:line="105" w:lineRule="exact"/>
        <w:rPr>
          <w:sz w:val="20"/>
          <w:szCs w:val="20"/>
          <w:color w:val="auto"/>
        </w:rPr>
      </w:pPr>
    </w:p>
    <w:p>
      <w:pPr>
        <w:ind w:left="1260" w:right="439"/>
        <w:spacing w:after="0" w:line="268" w:lineRule="auto"/>
        <w:rPr>
          <w:sz w:val="20"/>
          <w:szCs w:val="20"/>
          <w:color w:val="auto"/>
        </w:rPr>
      </w:pPr>
      <w:r>
        <w:rPr>
          <w:rFonts w:ascii="Arial" w:cs="Arial" w:eastAsia="Arial" w:hAnsi="Arial"/>
          <w:sz w:val="17"/>
          <w:szCs w:val="17"/>
          <w:color w:val="auto"/>
        </w:rPr>
        <w:t>For the purposes of this provision, the expression “offer to the public” in relation to the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Hong Kong</w:t>
      </w:r>
    </w:p>
    <w:p>
      <w:pPr>
        <w:spacing w:after="0" w:line="46" w:lineRule="exact"/>
        <w:rPr>
          <w:sz w:val="20"/>
          <w:szCs w:val="20"/>
          <w:color w:val="auto"/>
        </w:rPr>
      </w:pPr>
    </w:p>
    <w:p>
      <w:pPr>
        <w:ind w:left="1260" w:right="419"/>
        <w:spacing w:after="0" w:line="258"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97" w:lineRule="exact"/>
        <w:rPr>
          <w:sz w:val="20"/>
          <w:szCs w:val="20"/>
          <w:color w:val="auto"/>
        </w:rPr>
      </w:pPr>
    </w:p>
    <w:p>
      <w:pPr>
        <w:ind w:left="1260" w:right="419"/>
        <w:spacing w:after="0" w:line="261" w:lineRule="auto"/>
        <w:rPr>
          <w:sz w:val="20"/>
          <w:szCs w:val="20"/>
          <w:color w:val="auto"/>
        </w:rPr>
      </w:pPr>
      <w:r>
        <w:rPr>
          <w:rFonts w:ascii="Arial" w:cs="Arial" w:eastAsia="Arial" w:hAnsi="Arial"/>
          <w:sz w:val="17"/>
          <w:szCs w:val="17"/>
          <w:color w:val="auto"/>
        </w:rPr>
        <w:t>This prospectus supplement has not been registered with the Registrar of Companies in Hong Kong. Accordingly, this prospectus supplement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the relevant offering documents and that he is not acquiring, and has not been offered any securities in circumstances that contravene any such restrictions.</w:t>
      </w:r>
    </w:p>
    <w:p>
      <w:pPr>
        <w:sectPr>
          <w:pgSz w:w="11900" w:h="16838" w:orient="portrait"/>
          <w:cols w:equalWidth="0" w:num="1">
            <w:col w:w="9879"/>
          </w:cols>
          <w:pgMar w:left="580" w:top="114"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Israel</w:t>
      </w:r>
    </w:p>
    <w:p>
      <w:pPr>
        <w:spacing w:after="0" w:line="46" w:lineRule="exact"/>
        <w:rPr>
          <w:sz w:val="20"/>
          <w:szCs w:val="20"/>
          <w:color w:val="auto"/>
        </w:rPr>
      </w:pPr>
    </w:p>
    <w:p>
      <w:pPr>
        <w:ind w:left="1260" w:right="459"/>
        <w:spacing w:after="0" w:line="263" w:lineRule="auto"/>
        <w:rPr>
          <w:sz w:val="20"/>
          <w:szCs w:val="20"/>
          <w:color w:val="auto"/>
        </w:rPr>
      </w:pPr>
      <w:r>
        <w:rPr>
          <w:rFonts w:ascii="Arial" w:cs="Arial" w:eastAsia="Arial" w:hAnsi="Arial"/>
          <w:sz w:val="17"/>
          <w:szCs w:val="17"/>
          <w:color w:val="auto"/>
        </w:rPr>
        <w:t>This document does not constitute a prospectus under the Israeli Securities Law, 5728-1968 (the “Securities Law”), and has not been filed with or approved by the Israel Securities Authority. In Israel, this prospectus supplement is being distributed only to, and is directed only at, and any offer of the ADSs is directed only at,</w:t>
      </w:r>
    </w:p>
    <w:p>
      <w:pPr>
        <w:ind w:left="1260" w:right="439"/>
        <w:spacing w:after="0" w:line="252" w:lineRule="auto"/>
        <w:tabs>
          <w:tab w:leader="none" w:pos="1459"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w:t>
      </w:r>
    </w:p>
    <w:p>
      <w:pPr>
        <w:spacing w:after="0" w:line="2" w:lineRule="exact"/>
        <w:rPr>
          <w:rFonts w:ascii="Arial" w:cs="Arial" w:eastAsia="Arial" w:hAnsi="Arial"/>
          <w:sz w:val="17"/>
          <w:szCs w:val="17"/>
          <w:color w:val="auto"/>
        </w:rPr>
      </w:pPr>
    </w:p>
    <w:p>
      <w:pPr>
        <w:ind w:left="1260" w:right="459"/>
        <w:spacing w:after="0" w:line="260" w:lineRule="auto"/>
        <w:rPr>
          <w:rFonts w:ascii="Arial" w:cs="Arial" w:eastAsia="Arial" w:hAnsi="Arial"/>
          <w:sz w:val="17"/>
          <w:szCs w:val="17"/>
          <w:color w:val="auto"/>
        </w:rPr>
      </w:pPr>
      <w:r>
        <w:rPr>
          <w:rFonts w:ascii="Arial" w:cs="Arial" w:eastAsia="Arial" w:hAnsi="Arial"/>
          <w:sz w:val="17"/>
          <w:szCs w:val="17"/>
          <w:color w:val="auto"/>
        </w:rPr>
        <w:t>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8"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Japan</w:t>
      </w:r>
    </w:p>
    <w:p>
      <w:pPr>
        <w:spacing w:after="0" w:line="46" w:lineRule="exact"/>
        <w:rPr>
          <w:sz w:val="20"/>
          <w:szCs w:val="20"/>
          <w:color w:val="auto"/>
        </w:rPr>
      </w:pPr>
    </w:p>
    <w:p>
      <w:pPr>
        <w:ind w:left="1260" w:right="479"/>
        <w:spacing w:after="0" w:line="261"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29"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Singapore</w:t>
      </w:r>
    </w:p>
    <w:p>
      <w:pPr>
        <w:spacing w:after="0" w:line="46" w:lineRule="exact"/>
        <w:rPr>
          <w:sz w:val="20"/>
          <w:szCs w:val="20"/>
          <w:color w:val="auto"/>
        </w:rPr>
      </w:pPr>
    </w:p>
    <w:p>
      <w:pPr>
        <w:ind w:left="1260" w:right="519"/>
        <w:spacing w:after="0" w:line="260" w:lineRule="auto"/>
        <w:rPr>
          <w:sz w:val="20"/>
          <w:szCs w:val="20"/>
          <w:color w:val="auto"/>
        </w:rPr>
      </w:pPr>
      <w:r>
        <w:rPr>
          <w:rFonts w:ascii="Arial" w:cs="Arial" w:eastAsia="Arial" w:hAnsi="Arial"/>
          <w:sz w:val="17"/>
          <w:szCs w:val="17"/>
          <w:color w:val="auto"/>
        </w:rPr>
        <w:t>This prospectus supplement has not been and will not be lodged or registered as a prospectus with the Monetary Authority of Singapore. Accordingly, this prospectus supplement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Where the ADSs are subscribed or purchased under Section 275 of the SFA by a relevant person which is:</w:t>
      </w:r>
    </w:p>
    <w:p>
      <w:pPr>
        <w:spacing w:after="0" w:line="88" w:lineRule="exact"/>
        <w:rPr>
          <w:sz w:val="20"/>
          <w:szCs w:val="20"/>
          <w:color w:val="auto"/>
        </w:rPr>
      </w:pPr>
    </w:p>
    <w:p>
      <w:pPr>
        <w:jc w:val="both"/>
        <w:ind w:left="1840" w:right="739" w:hanging="220"/>
        <w:spacing w:after="0" w:line="286" w:lineRule="auto"/>
        <w:tabs>
          <w:tab w:leader="none" w:pos="18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 w:lineRule="exact"/>
        <w:rPr>
          <w:rFonts w:ascii="Arial" w:cs="Arial" w:eastAsia="Arial" w:hAnsi="Arial"/>
          <w:sz w:val="17"/>
          <w:szCs w:val="17"/>
          <w:color w:val="auto"/>
        </w:rPr>
      </w:pPr>
    </w:p>
    <w:p>
      <w:pPr>
        <w:ind w:left="1840" w:right="499" w:hanging="220"/>
        <w:spacing w:after="0" w:line="270" w:lineRule="auto"/>
        <w:tabs>
          <w:tab w:leader="none" w:pos="18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ADSs pursuant to an offer made under Section 275 of the SFA except: (i) to an institutional investor or to a relevant person defined in Section 275(2) of the SFA, or to any person arising from an offer referred to in Section 275(1A) or Section 276(4)(i)(B) of the SFA; (ii) where no consideration is or will be given for the transfer; (iii) where the transfer is by operation of law; (iv) as specified in Section 276(7) of the SFA; or 9v) (as specified in Regulation 32 of the Securities and Futures (Offers of Investments) (Shares and Debentures) Regulations 2005 of Singapore.</w:t>
      </w:r>
    </w:p>
    <w:p>
      <w:pPr>
        <w:spacing w:after="0" w:line="17"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Switzerland</w:t>
      </w:r>
    </w:p>
    <w:p>
      <w:pPr>
        <w:spacing w:after="0" w:line="59" w:lineRule="exact"/>
        <w:rPr>
          <w:sz w:val="20"/>
          <w:szCs w:val="20"/>
          <w:color w:val="auto"/>
        </w:rPr>
      </w:pPr>
    </w:p>
    <w:p>
      <w:pPr>
        <w:ind w:left="1260" w:right="519"/>
        <w:spacing w:after="0" w:line="271"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securities or the offering may be publicly distributed or otherwise made publicly available in Switzerland.</w:t>
      </w:r>
    </w:p>
    <w:p>
      <w:pPr>
        <w:sectPr>
          <w:pgSz w:w="11900" w:h="16838" w:orient="portrait"/>
          <w:cols w:equalWidth="0" w:num="1">
            <w:col w:w="9879"/>
          </w:cols>
          <w:pgMar w:left="580" w:top="114" w:right="1440" w:bottom="1440" w:gutter="0" w:footer="0" w:header="0"/>
        </w:sectPr>
      </w:pPr>
    </w:p>
    <w:p>
      <w:pPr>
        <w:spacing w:after="0" w:line="391"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60" w:right="419"/>
        <w:spacing w:after="0" w:line="272" w:lineRule="auto"/>
        <w:rPr>
          <w:sz w:val="20"/>
          <w:szCs w:val="20"/>
          <w:color w:val="auto"/>
        </w:rPr>
      </w:pPr>
      <w:r>
        <w:rPr>
          <w:rFonts w:ascii="Arial" w:cs="Arial" w:eastAsia="Arial" w:hAnsi="Arial"/>
          <w:sz w:val="17"/>
          <w:szCs w:val="17"/>
          <w:color w:val="auto"/>
        </w:rPr>
        <w:t>Neither this prospectus supplement nor any other offering or marketing material relating to the offering, the Company or the securities have been or will be filed with or approved by any Swiss regulatory authority. In particular, this prospectus supplement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7"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United Kingdom</w:t>
      </w:r>
    </w:p>
    <w:p>
      <w:pPr>
        <w:spacing w:after="0" w:line="59" w:lineRule="exact"/>
        <w:rPr>
          <w:sz w:val="20"/>
          <w:szCs w:val="20"/>
          <w:color w:val="auto"/>
        </w:rPr>
      </w:pPr>
    </w:p>
    <w:p>
      <w:pPr>
        <w:jc w:val="both"/>
        <w:ind w:left="1260" w:right="679"/>
        <w:spacing w:after="0" w:line="279" w:lineRule="auto"/>
        <w:rPr>
          <w:sz w:val="20"/>
          <w:szCs w:val="20"/>
          <w:color w:val="auto"/>
        </w:rPr>
      </w:pPr>
      <w:r>
        <w:rPr>
          <w:rFonts w:ascii="Arial" w:cs="Arial" w:eastAsia="Arial" w:hAnsi="Arial"/>
          <w:sz w:val="17"/>
          <w:szCs w:val="17"/>
          <w:color w:val="auto"/>
        </w:rPr>
        <w:t>No ADSs have been offered or will be offered pursuant to the offering to the public in the United Kingdom prior to the publication of a prospectus in relation to the ADSs which has been approved by the Financial Conduct Authority in the United Kingdom, except that the ADSs may be offered to the public in the United Kingdom at any time:</w:t>
      </w:r>
    </w:p>
    <w:p>
      <w:pPr>
        <w:spacing w:after="0" w:line="36" w:lineRule="exact"/>
        <w:rPr>
          <w:sz w:val="20"/>
          <w:szCs w:val="20"/>
          <w:color w:val="auto"/>
        </w:rPr>
      </w:pPr>
    </w:p>
    <w:p>
      <w:pPr>
        <w:ind w:left="1840" w:right="939" w:hanging="220"/>
        <w:spacing w:after="0" w:line="306" w:lineRule="auto"/>
        <w:tabs>
          <w:tab w:leader="none" w:pos="18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Article 2 of the UK Prospectus Regulation;</w:t>
      </w:r>
    </w:p>
    <w:p>
      <w:pPr>
        <w:spacing w:after="0" w:line="1" w:lineRule="exact"/>
        <w:rPr>
          <w:rFonts w:ascii="Arial" w:cs="Arial" w:eastAsia="Arial" w:hAnsi="Arial"/>
          <w:sz w:val="17"/>
          <w:szCs w:val="17"/>
          <w:color w:val="auto"/>
        </w:rPr>
      </w:pPr>
    </w:p>
    <w:p>
      <w:pPr>
        <w:ind w:left="1840" w:right="419" w:hanging="220"/>
        <w:spacing w:after="0" w:line="286" w:lineRule="auto"/>
        <w:tabs>
          <w:tab w:leader="none" w:pos="18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 of the UK Prospectus Regulation), subject to obtaining the prior consent of the representative for any such offer; or</w:t>
      </w:r>
    </w:p>
    <w:p>
      <w:pPr>
        <w:spacing w:after="0" w:line="16" w:lineRule="exact"/>
        <w:rPr>
          <w:rFonts w:ascii="Arial" w:cs="Arial" w:eastAsia="Arial" w:hAnsi="Arial"/>
          <w:sz w:val="17"/>
          <w:szCs w:val="17"/>
          <w:color w:val="auto"/>
        </w:rPr>
      </w:pPr>
    </w:p>
    <w:p>
      <w:pPr>
        <w:ind w:left="1840" w:hanging="220"/>
        <w:spacing w:after="0"/>
        <w:tabs>
          <w:tab w:leader="none" w:pos="18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any other circumstances falling within Section 86 of the FSMA,</w:t>
      </w:r>
    </w:p>
    <w:p>
      <w:pPr>
        <w:spacing w:after="0" w:line="169" w:lineRule="exact"/>
        <w:rPr>
          <w:sz w:val="20"/>
          <w:szCs w:val="20"/>
          <w:color w:val="auto"/>
        </w:rPr>
      </w:pPr>
    </w:p>
    <w:p>
      <w:pPr>
        <w:ind w:left="1260" w:right="459"/>
        <w:spacing w:after="0" w:line="273" w:lineRule="auto"/>
        <w:rPr>
          <w:sz w:val="20"/>
          <w:szCs w:val="20"/>
          <w:color w:val="auto"/>
        </w:rPr>
      </w:pPr>
      <w:r>
        <w:rPr>
          <w:rFonts w:ascii="Arial" w:cs="Arial" w:eastAsia="Arial" w:hAnsi="Arial"/>
          <w:sz w:val="17"/>
          <w:szCs w:val="17"/>
          <w:color w:val="auto"/>
        </w:rPr>
        <w:t>provided that no such offer of the ADSs shall require us or any of the underwriters to publish a prospectus pursuant to Section 85 of the FSMA or Article 3 of the UK Prospectus Regulation or supplement a prospectus pursuant to Article 23 of the UK Prospectus Regulation. Each person in the United Kingdom who initially acquires any ADSs or to whom any offer is made will be deemed to have represented, warranted, acknowledged and agreed to and with us and each of the underwriters that it is a “qualified investor” within the meaning of the UK Prospectus Regulation.</w:t>
      </w:r>
    </w:p>
    <w:p>
      <w:pPr>
        <w:spacing w:after="0" w:line="110" w:lineRule="exact"/>
        <w:rPr>
          <w:sz w:val="20"/>
          <w:szCs w:val="20"/>
          <w:color w:val="auto"/>
        </w:rPr>
      </w:pPr>
    </w:p>
    <w:p>
      <w:pPr>
        <w:ind w:left="1260" w:right="419"/>
        <w:spacing w:after="0" w:line="272" w:lineRule="auto"/>
        <w:rPr>
          <w:sz w:val="20"/>
          <w:szCs w:val="20"/>
          <w:color w:val="auto"/>
        </w:rPr>
      </w:pPr>
      <w:r>
        <w:rPr>
          <w:rFonts w:ascii="Arial" w:cs="Arial" w:eastAsia="Arial" w:hAnsi="Arial"/>
          <w:sz w:val="17"/>
          <w:szCs w:val="17"/>
          <w:color w:val="auto"/>
        </w:rPr>
        <w:t>In the case of any ADSs being offered to a financial intermediary as that term is used in Article 5(1) of the UK Prospectus Regulation, each such financial intermediary will be deemed to have represented, warranted, acknowledged and agreed that the ADSs acquired by it in the offer have not been acquired on a non-discretionary basis on behalf of, nor have they been acquired with a view to their offer or resale to, persons in circumstances which may give rise to an offer to the public other than their offer or resale in the United Kingdom to qualified investors, in circumstances in which the prior consent of the underwriters has been obtained to each such proposed offer or resale.</w:t>
      </w:r>
    </w:p>
    <w:p>
      <w:pPr>
        <w:spacing w:after="0" w:line="96" w:lineRule="exact"/>
        <w:rPr>
          <w:sz w:val="20"/>
          <w:szCs w:val="20"/>
          <w:color w:val="auto"/>
        </w:rPr>
      </w:pPr>
    </w:p>
    <w:p>
      <w:pPr>
        <w:ind w:left="1260" w:right="419"/>
        <w:spacing w:after="0" w:line="273" w:lineRule="auto"/>
        <w:rPr>
          <w:sz w:val="20"/>
          <w:szCs w:val="20"/>
          <w:color w:val="auto"/>
        </w:rPr>
      </w:pPr>
      <w:r>
        <w:rPr>
          <w:rFonts w:ascii="Arial" w:cs="Arial" w:eastAsia="Arial" w:hAnsi="Arial"/>
          <w:sz w:val="17"/>
          <w:szCs w:val="17"/>
          <w:color w:val="auto"/>
        </w:rPr>
        <w:t>For the purposes of this provision, the expression an “offer to the public” in relation to the ADSs in the United Kingdom means the communication in any form and by any means of sufficient information on the terms of the offer and any ADSs to be offered so as to enable an investor to decide to purchase or subscribe for any ADSs, the expression “UK Prospectus Regulation” means Regulation (EU) 2017/1129 as it forms part of domestic law in the United Kingdom by virtue of the European Union (Withdrawal) Act 2018, and the expression “FSMA” means the Financial Services and Markets Act 2000.</w:t>
      </w:r>
    </w:p>
    <w:p>
      <w:pPr>
        <w:spacing w:after="0" w:line="110" w:lineRule="exact"/>
        <w:rPr>
          <w:sz w:val="20"/>
          <w:szCs w:val="20"/>
          <w:color w:val="auto"/>
        </w:rPr>
      </w:pPr>
    </w:p>
    <w:p>
      <w:pPr>
        <w:ind w:left="1260" w:right="619"/>
        <w:spacing w:after="0" w:line="270" w:lineRule="auto"/>
        <w:rPr>
          <w:sz w:val="20"/>
          <w:szCs w:val="20"/>
          <w:color w:val="auto"/>
        </w:rPr>
      </w:pPr>
      <w:r>
        <w:rPr>
          <w:rFonts w:ascii="Arial" w:cs="Arial" w:eastAsia="Arial" w:hAnsi="Arial"/>
          <w:sz w:val="17"/>
          <w:szCs w:val="17"/>
          <w:color w:val="auto"/>
        </w:rPr>
        <w:t>In the United Kingdom, this prospectus is being distributed only to, and is directed only at, and any offer subsequently made may only be directed at persons who are “qualified investors” (as​ defined in the UK Prospectus Regulation) (i) who have professional experience in the matters relating to investments falling within Article 19(5) of the Financial Services and Markets Act 2000 (Financial Promotion) Order 2005, as amended, or the Order and/or (ii) who are high net worth companies falling within Article 49(2)(a) to (d) of the Order and other persons to whom it may lawfully be communicated or caused to be communicated (all such persons together being referred to as “relevant persons”). In the United Kingdom, this document is directed only at relevant persons and must not be acted on or relied on by persons who are not relevant persons. Any investment or investment activity to which this document relates is available in the United Kingdom to relevant persons and will be engaged in only with relevant persons.</w:t>
      </w:r>
    </w:p>
    <w:p>
      <w:pPr>
        <w:spacing w:after="0" w:line="200" w:lineRule="exact"/>
        <w:rPr>
          <w:sz w:val="20"/>
          <w:szCs w:val="20"/>
          <w:color w:val="auto"/>
        </w:rPr>
      </w:pPr>
    </w:p>
    <w:p>
      <w:pPr>
        <w:spacing w:after="0" w:line="351"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28" w:name="page29"/>
    <w:bookmarkEnd w:id="2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LEGAL MATTERS</w:t>
      </w:r>
    </w:p>
    <w:p>
      <w:pPr>
        <w:spacing w:after="0" w:line="357" w:lineRule="exact"/>
        <w:rPr>
          <w:sz w:val="20"/>
          <w:szCs w:val="20"/>
          <w:color w:val="auto"/>
        </w:rPr>
      </w:pPr>
    </w:p>
    <w:p>
      <w:pPr>
        <w:ind w:left="1260" w:right="439"/>
        <w:spacing w:after="0" w:line="286" w:lineRule="auto"/>
        <w:rPr>
          <w:sz w:val="20"/>
          <w:szCs w:val="20"/>
          <w:color w:val="auto"/>
        </w:rPr>
      </w:pPr>
      <w:r>
        <w:rPr>
          <w:rFonts w:ascii="Arial" w:cs="Arial" w:eastAsia="Arial" w:hAnsi="Arial"/>
          <w:sz w:val="17"/>
          <w:szCs w:val="17"/>
          <w:color w:val="auto"/>
        </w:rPr>
        <w:t>Latham &amp; Watkins LLP will pass upon certain legal matters relating to the issuance and sale of the securities offered hereby on behalf of Verona Pharma plc. The underwriters are being represented in connection with this offering by Cooley LLP, New York, New York and Cooley (UK) LLP, London, United Kingdom.</w:t>
      </w:r>
    </w:p>
    <w:p>
      <w:pPr>
        <w:spacing w:after="0" w:line="15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EXPERTS</w:t>
      </w:r>
    </w:p>
    <w:p>
      <w:pPr>
        <w:spacing w:after="0" w:line="343" w:lineRule="exact"/>
        <w:rPr>
          <w:sz w:val="20"/>
          <w:szCs w:val="20"/>
          <w:color w:val="auto"/>
        </w:rPr>
      </w:pPr>
    </w:p>
    <w:p>
      <w:pPr>
        <w:ind w:left="1260" w:right="619"/>
        <w:spacing w:after="0" w:line="273" w:lineRule="auto"/>
        <w:rPr>
          <w:sz w:val="20"/>
          <w:szCs w:val="20"/>
          <w:color w:val="auto"/>
        </w:rPr>
      </w:pPr>
      <w:r>
        <w:rPr>
          <w:rFonts w:ascii="Arial" w:cs="Arial" w:eastAsia="Arial" w:hAnsi="Arial"/>
          <w:sz w:val="17"/>
          <w:szCs w:val="17"/>
          <w:color w:val="auto"/>
        </w:rPr>
        <w:t>The financial statements incorporated in this prospectus supplement by reference to the Annual Report on Form 10-K for the year ended December 31, 2021 have been so incorporated in reliance on the report (which contains an emphasis of matter paragraph relating to the Company's requirement for additional financing to fund future operations as described in Note 1 to the financial statements)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8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Available Information</w:t>
      </w:r>
    </w:p>
    <w:p>
      <w:pPr>
        <w:spacing w:after="0" w:line="59" w:lineRule="exact"/>
        <w:rPr>
          <w:sz w:val="20"/>
          <w:szCs w:val="20"/>
          <w:color w:val="auto"/>
        </w:rPr>
      </w:pPr>
    </w:p>
    <w:p>
      <w:pPr>
        <w:ind w:left="1260" w:right="479"/>
        <w:spacing w:after="0" w:line="286" w:lineRule="auto"/>
        <w:rPr>
          <w:sz w:val="20"/>
          <w:szCs w:val="20"/>
          <w:color w:val="auto"/>
        </w:rPr>
      </w:pPr>
      <w:r>
        <w:rPr>
          <w:rFonts w:ascii="Arial" w:cs="Arial" w:eastAsia="Arial" w:hAnsi="Arial"/>
          <w:sz w:val="17"/>
          <w:szCs w:val="17"/>
          <w:color w:val="auto"/>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98" w:lineRule="exact"/>
        <w:rPr>
          <w:sz w:val="20"/>
          <w:szCs w:val="20"/>
          <w:color w:val="auto"/>
        </w:rPr>
      </w:pPr>
    </w:p>
    <w:p>
      <w:pPr>
        <w:ind w:left="1260" w:right="899"/>
        <w:spacing w:after="0" w:line="308"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7"/>
          <w:szCs w:val="17"/>
          <w:i w:val="1"/>
          <w:iCs w:val="1"/>
          <w:color w:val="auto"/>
        </w:rPr>
        <w:t>www.veronapharma.com</w:t>
      </w:r>
      <w:r>
        <w:rPr>
          <w:rFonts w:ascii="Arial" w:cs="Arial" w:eastAsia="Arial" w:hAnsi="Arial"/>
          <w:sz w:val="17"/>
          <w:szCs w:val="17"/>
          <w:color w:val="auto"/>
        </w:rPr>
        <w:t>. The information on our website, however, is not, and should not be deemed to be, a part of this prospectus supplement.</w:t>
      </w:r>
    </w:p>
    <w:p>
      <w:pPr>
        <w:spacing w:after="0" w:line="65" w:lineRule="exact"/>
        <w:rPr>
          <w:sz w:val="20"/>
          <w:szCs w:val="20"/>
          <w:color w:val="auto"/>
        </w:rPr>
      </w:pPr>
    </w:p>
    <w:p>
      <w:pPr>
        <w:ind w:left="1260" w:right="459"/>
        <w:spacing w:after="0" w:line="271" w:lineRule="auto"/>
        <w:rPr>
          <w:sz w:val="20"/>
          <w:szCs w:val="20"/>
          <w:color w:val="auto"/>
        </w:rPr>
      </w:pPr>
      <w:r>
        <w:rPr>
          <w:rFonts w:ascii="Arial" w:cs="Arial" w:eastAsia="Arial" w:hAnsi="Arial"/>
          <w:sz w:val="17"/>
          <w:szCs w:val="17"/>
          <w:color w:val="auto"/>
        </w:rPr>
        <w:t>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Documents establishing the terms of the offered securities are or may be filed as exhibits to the registration statement. Statements in this prospectus supplement or the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Incorporation by Reference</w:t>
      </w:r>
    </w:p>
    <w:p>
      <w:pPr>
        <w:spacing w:after="0" w:line="59" w:lineRule="exact"/>
        <w:rPr>
          <w:sz w:val="20"/>
          <w:szCs w:val="20"/>
          <w:color w:val="auto"/>
        </w:rPr>
      </w:pPr>
    </w:p>
    <w:p>
      <w:pPr>
        <w:ind w:left="1260" w:right="519"/>
        <w:spacing w:after="0" w:line="271" w:lineRule="auto"/>
        <w:rPr>
          <w:sz w:val="20"/>
          <w:szCs w:val="20"/>
          <w:color w:val="auto"/>
        </w:rPr>
      </w:pPr>
      <w:r>
        <w:rPr>
          <w:rFonts w:ascii="Arial" w:cs="Arial" w:eastAsia="Arial" w:hAnsi="Arial"/>
          <w:sz w:val="17"/>
          <w:szCs w:val="17"/>
          <w:color w:val="auto"/>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 Any statement contained in this prospectus supplement or a previously filed document incorporated by reference will be deemed to be modified or superseded for purposes of this prospectus supplement to the extent that a statement contained in this prospectus supplement or a subsequently filed document incorporated by reference modifies or replaces that statement.</w:t>
      </w:r>
    </w:p>
    <w:p>
      <w:pPr>
        <w:spacing w:after="0" w:line="111" w:lineRule="exact"/>
        <w:rPr>
          <w:sz w:val="20"/>
          <w:szCs w:val="20"/>
          <w:color w:val="auto"/>
        </w:rPr>
      </w:pPr>
    </w:p>
    <w:p>
      <w:pPr>
        <w:ind w:left="1260" w:right="599"/>
        <w:spacing w:after="0" w:line="306" w:lineRule="auto"/>
        <w:rPr>
          <w:sz w:val="20"/>
          <w:szCs w:val="20"/>
          <w:color w:val="auto"/>
        </w:rPr>
      </w:pPr>
      <w:r>
        <w:rPr>
          <w:rFonts w:ascii="Arial" w:cs="Arial" w:eastAsia="Arial" w:hAnsi="Arial"/>
          <w:sz w:val="17"/>
          <w:szCs w:val="17"/>
          <w:color w:val="auto"/>
        </w:rPr>
        <w:t>This prospectus supplement incorporates by reference the documents set forth below that have previously been filed with the SEC and excluding any information furnished to the SEC:</w:t>
      </w:r>
    </w:p>
    <w:p>
      <w:pPr>
        <w:spacing w:after="0" w:line="1" w:lineRule="exact"/>
        <w:rPr>
          <w:sz w:val="20"/>
          <w:szCs w:val="20"/>
          <w:color w:val="auto"/>
        </w:rPr>
      </w:pPr>
    </w:p>
    <w:p>
      <w:pPr>
        <w:ind w:left="1840" w:right="859" w:hanging="220"/>
        <w:spacing w:after="0" w:line="308" w:lineRule="auto"/>
        <w:tabs>
          <w:tab w:leader="none" w:pos="1840" w:val="left"/>
        </w:tabs>
        <w:numPr>
          <w:ilvl w:val="0"/>
          <w:numId w:val="20"/>
        </w:numPr>
        <w:rPr>
          <w:rFonts w:ascii="Arial" w:cs="Arial" w:eastAsia="Arial" w:hAnsi="Arial"/>
          <w:sz w:val="17"/>
          <w:szCs w:val="17"/>
          <w:u w:val="single" w:color="auto"/>
          <w:color w:val="0000EE"/>
        </w:rPr>
      </w:pPr>
      <w:hyperlink r:id="rId74">
        <w:r>
          <w:rPr>
            <w:rFonts w:ascii="Arial" w:cs="Arial" w:eastAsia="Arial" w:hAnsi="Arial"/>
            <w:sz w:val="17"/>
            <w:szCs w:val="17"/>
            <w:u w:val="single" w:color="auto"/>
            <w:color w:val="0000EE"/>
          </w:rPr>
          <w:t>Our Annual Report on Form 10-K for the year ended December 31, 2021, filed with the SEC on</w:t>
        </w:r>
      </w:hyperlink>
      <w:r>
        <w:rPr>
          <w:rFonts w:ascii="Arial" w:cs="Arial" w:eastAsia="Arial" w:hAnsi="Arial"/>
          <w:sz w:val="17"/>
          <w:szCs w:val="17"/>
          <w:u w:val="single" w:color="auto"/>
          <w:color w:val="0000EE"/>
        </w:rPr>
        <w:t xml:space="preserve"> </w:t>
      </w:r>
      <w:hyperlink r:id="rId74">
        <w:r>
          <w:rPr>
            <w:rFonts w:ascii="Arial" w:cs="Arial" w:eastAsia="Arial" w:hAnsi="Arial"/>
            <w:sz w:val="17"/>
            <w:szCs w:val="17"/>
            <w:u w:val="single" w:color="auto"/>
            <w:color w:val="0000EE"/>
          </w:rPr>
          <w:t>March 3, 2022.</w:t>
        </w:r>
      </w:hyperlink>
    </w:p>
    <w:p>
      <w:pPr>
        <w:spacing w:after="0" w:line="11" w:lineRule="exact"/>
        <w:rPr>
          <w:rFonts w:ascii="Arial" w:cs="Arial" w:eastAsia="Arial" w:hAnsi="Arial"/>
          <w:sz w:val="17"/>
          <w:szCs w:val="17"/>
          <w:u w:val="single" w:color="auto"/>
          <w:color w:val="0000EE"/>
        </w:rPr>
      </w:pPr>
    </w:p>
    <w:p>
      <w:pPr>
        <w:ind w:left="1840" w:right="419" w:hanging="220"/>
        <w:spacing w:after="0" w:line="306" w:lineRule="auto"/>
        <w:tabs>
          <w:tab w:leader="none" w:pos="18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Our Quarterly Reports on Form 10-Q for the quarters ended March 31, 2022 and June 30, 2022, filed with the SEC on </w:t>
      </w:r>
      <w:hyperlink r:id="rId75">
        <w:r>
          <w:rPr>
            <w:rFonts w:ascii="Arial" w:cs="Arial" w:eastAsia="Arial" w:hAnsi="Arial"/>
            <w:sz w:val="17"/>
            <w:szCs w:val="17"/>
            <w:u w:val="single" w:color="auto"/>
            <w:color w:val="0000EE"/>
          </w:rPr>
          <w:t>May 3, 2022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76">
        <w:r>
          <w:rPr>
            <w:rFonts w:ascii="Arial" w:cs="Arial" w:eastAsia="Arial" w:hAnsi="Arial"/>
            <w:sz w:val="17"/>
            <w:szCs w:val="17"/>
            <w:u w:val="single" w:color="auto"/>
            <w:color w:val="0000EE"/>
          </w:rPr>
          <w:t>August 9, 2022</w:t>
        </w:r>
      </w:hyperlink>
      <w:r>
        <w:rPr>
          <w:rFonts w:ascii="Arial" w:cs="Arial" w:eastAsia="Arial" w:hAnsi="Arial"/>
          <w:sz w:val="17"/>
          <w:szCs w:val="17"/>
          <w:color w:val="auto"/>
        </w:rPr>
        <w:t>, respectively.</w:t>
      </w:r>
    </w:p>
    <w:p>
      <w:pPr>
        <w:spacing w:after="0" w:line="1" w:lineRule="exact"/>
        <w:rPr>
          <w:rFonts w:ascii="Arial" w:cs="Arial" w:eastAsia="Arial" w:hAnsi="Arial"/>
          <w:sz w:val="17"/>
          <w:szCs w:val="17"/>
          <w:color w:val="auto"/>
        </w:rPr>
      </w:pPr>
    </w:p>
    <w:p>
      <w:pPr>
        <w:ind w:left="1840" w:right="459" w:hanging="220"/>
        <w:spacing w:after="0" w:line="306" w:lineRule="auto"/>
        <w:tabs>
          <w:tab w:leader="none" w:pos="1840" w:val="left"/>
        </w:tabs>
        <w:numPr>
          <w:ilvl w:val="0"/>
          <w:numId w:val="20"/>
        </w:numPr>
        <w:rPr>
          <w:rFonts w:ascii="Arial" w:cs="Arial" w:eastAsia="Arial" w:hAnsi="Arial"/>
          <w:sz w:val="17"/>
          <w:szCs w:val="17"/>
          <w:u w:val="single" w:color="auto"/>
          <w:color w:val="0000EE"/>
        </w:rPr>
      </w:pPr>
      <w:hyperlink r:id="rId77">
        <w:r>
          <w:rPr>
            <w:rFonts w:ascii="Arial" w:cs="Arial" w:eastAsia="Arial" w:hAnsi="Arial"/>
            <w:sz w:val="17"/>
            <w:szCs w:val="17"/>
            <w:u w:val="single" w:color="auto"/>
            <w:color w:val="0000EE"/>
          </w:rPr>
          <w:t>The information specifically incorporated by reference into our Annual Report on Form 10-K from our</w:t>
        </w:r>
      </w:hyperlink>
      <w:r>
        <w:rPr>
          <w:rFonts w:ascii="Arial" w:cs="Arial" w:eastAsia="Arial" w:hAnsi="Arial"/>
          <w:sz w:val="17"/>
          <w:szCs w:val="17"/>
          <w:u w:val="single" w:color="auto"/>
          <w:color w:val="0000EE"/>
        </w:rPr>
        <w:t xml:space="preserve"> </w:t>
      </w:r>
      <w:hyperlink r:id="rId77">
        <w:r>
          <w:rPr>
            <w:rFonts w:ascii="Arial" w:cs="Arial" w:eastAsia="Arial" w:hAnsi="Arial"/>
            <w:sz w:val="17"/>
            <w:szCs w:val="17"/>
            <w:u w:val="single" w:color="auto"/>
            <w:color w:val="0000EE"/>
          </w:rPr>
          <w:t>Definitive Proxy Statement on Schedule 14A, filed with the SEC on March 22, 2022.</w:t>
        </w:r>
      </w:hyperlink>
    </w:p>
    <w:p>
      <w:pPr>
        <w:spacing w:after="0" w:line="1" w:lineRule="exact"/>
        <w:rPr>
          <w:rFonts w:ascii="Arial" w:cs="Arial" w:eastAsia="Arial" w:hAnsi="Arial"/>
          <w:sz w:val="17"/>
          <w:szCs w:val="17"/>
          <w:u w:val="single" w:color="auto"/>
          <w:color w:val="0000EE"/>
        </w:rPr>
      </w:pPr>
    </w:p>
    <w:p>
      <w:pPr>
        <w:ind w:left="1840" w:right="499" w:hanging="220"/>
        <w:spacing w:after="0" w:line="308" w:lineRule="auto"/>
        <w:tabs>
          <w:tab w:leader="none" w:pos="1840" w:val="left"/>
        </w:tabs>
        <w:numPr>
          <w:ilvl w:val="0"/>
          <w:numId w:val="20"/>
        </w:numPr>
        <w:rPr>
          <w:rFonts w:ascii="Arial" w:cs="Arial" w:eastAsia="Arial" w:hAnsi="Arial"/>
          <w:sz w:val="17"/>
          <w:szCs w:val="17"/>
          <w:color w:val="0000EE"/>
        </w:rPr>
      </w:pPr>
      <w:r>
        <w:rPr>
          <w:rFonts w:ascii="Arial" w:cs="Arial" w:eastAsia="Arial" w:hAnsi="Arial"/>
          <w:sz w:val="17"/>
          <w:szCs w:val="17"/>
          <w:color w:val="auto"/>
        </w:rPr>
        <w:t xml:space="preserve">Our Current Reports on Form 8-K filed with the SEC on </w:t>
      </w:r>
      <w:hyperlink r:id="rId78">
        <w:r>
          <w:rPr>
            <w:rFonts w:ascii="Arial" w:cs="Arial" w:eastAsia="Arial" w:hAnsi="Arial"/>
            <w:sz w:val="17"/>
            <w:szCs w:val="17"/>
            <w:u w:val="single" w:color="auto"/>
            <w:color w:val="0000EE"/>
          </w:rPr>
          <w:t>January 5, 2022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(Item 8.01 only), </w:t>
      </w:r>
      <w:hyperlink r:id="rId79">
        <w:r>
          <w:rPr>
            <w:rFonts w:ascii="Arial" w:cs="Arial" w:eastAsia="Arial" w:hAnsi="Arial"/>
            <w:sz w:val="17"/>
            <w:szCs w:val="17"/>
            <w:u w:val="single" w:color="auto"/>
            <w:color w:val="0000EE"/>
          </w:rPr>
          <w:t>March 16,</w:t>
        </w:r>
      </w:hyperlink>
      <w:r>
        <w:rPr>
          <w:rFonts w:ascii="Arial" w:cs="Arial" w:eastAsia="Arial" w:hAnsi="Arial"/>
          <w:sz w:val="17"/>
          <w:szCs w:val="17"/>
          <w:color w:val="auto"/>
        </w:rPr>
        <w:t xml:space="preserve"> </w:t>
      </w:r>
      <w:hyperlink r:id="rId79">
        <w:r>
          <w:rPr>
            <w:rFonts w:ascii="Arial" w:cs="Arial" w:eastAsia="Arial" w:hAnsi="Arial"/>
            <w:sz w:val="17"/>
            <w:szCs w:val="17"/>
            <w:u w:val="single" w:color="auto"/>
            <w:color w:val="0000EE"/>
          </w:rPr>
          <w:t xml:space="preserve">2022, </w:t>
        </w:r>
      </w:hyperlink>
      <w:hyperlink r:id="rId80">
        <w:r>
          <w:rPr>
            <w:rFonts w:ascii="Arial" w:cs="Arial" w:eastAsia="Arial" w:hAnsi="Arial"/>
            <w:sz w:val="17"/>
            <w:szCs w:val="17"/>
            <w:u w:val="single" w:color="auto"/>
            <w:color w:val="0000EE"/>
          </w:rPr>
          <w:t>March 30, 2022</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81">
        <w:r>
          <w:rPr>
            <w:rFonts w:ascii="Arial" w:cs="Arial" w:eastAsia="Arial" w:hAnsi="Arial"/>
            <w:sz w:val="17"/>
            <w:szCs w:val="17"/>
            <w:u w:val="single" w:color="auto"/>
            <w:color w:val="0000EE"/>
          </w:rPr>
          <w:t xml:space="preserve">April 29, 2022 </w:t>
        </w:r>
      </w:hyperlink>
      <w:r>
        <w:rPr>
          <w:rFonts w:ascii="Arial" w:cs="Arial" w:eastAsia="Arial" w:hAnsi="Arial"/>
          <w:sz w:val="17"/>
          <w:szCs w:val="17"/>
          <w:color w:val="000000"/>
        </w:rPr>
        <w:t>and</w:t>
      </w:r>
      <w:r>
        <w:rPr>
          <w:rFonts w:ascii="Arial" w:cs="Arial" w:eastAsia="Arial" w:hAnsi="Arial"/>
          <w:sz w:val="17"/>
          <w:szCs w:val="17"/>
          <w:color w:val="0000EE"/>
        </w:rPr>
        <w:t xml:space="preserve"> </w:t>
      </w:r>
      <w:hyperlink r:id="rId82">
        <w:r>
          <w:rPr>
            <w:rFonts w:ascii="Arial" w:cs="Arial" w:eastAsia="Arial" w:hAnsi="Arial"/>
            <w:sz w:val="17"/>
            <w:szCs w:val="17"/>
            <w:u w:val="single" w:color="auto"/>
            <w:color w:val="0000EE"/>
          </w:rPr>
          <w:t xml:space="preserve">August 9, 2022 </w:t>
        </w:r>
      </w:hyperlink>
      <w:r>
        <w:rPr>
          <w:rFonts w:ascii="Arial" w:cs="Arial" w:eastAsia="Arial" w:hAnsi="Arial"/>
          <w:sz w:val="17"/>
          <w:szCs w:val="17"/>
          <w:color w:val="000000"/>
        </w:rPr>
        <w:t>(Item</w:t>
      </w:r>
      <w:r>
        <w:rPr>
          <w:rFonts w:ascii="Arial" w:cs="Arial" w:eastAsia="Arial" w:hAnsi="Arial"/>
          <w:sz w:val="17"/>
          <w:szCs w:val="17"/>
          <w:color w:val="0000EE"/>
        </w:rPr>
        <w:t xml:space="preserve"> </w:t>
      </w:r>
      <w:r>
        <w:rPr>
          <w:rFonts w:ascii="Arial" w:cs="Arial" w:eastAsia="Arial" w:hAnsi="Arial"/>
          <w:sz w:val="17"/>
          <w:szCs w:val="17"/>
          <w:color w:val="000000"/>
        </w:rPr>
        <w:t>8.01 only).</w:t>
      </w:r>
    </w:p>
    <w:p>
      <w:pPr>
        <w:spacing w:after="0" w:line="11" w:lineRule="exact"/>
        <w:rPr>
          <w:rFonts w:ascii="Arial" w:cs="Arial" w:eastAsia="Arial" w:hAnsi="Arial"/>
          <w:sz w:val="17"/>
          <w:szCs w:val="17"/>
          <w:color w:val="0000EE"/>
        </w:rPr>
      </w:pPr>
    </w:p>
    <w:p>
      <w:pPr>
        <w:ind w:left="1840" w:right="499" w:hanging="220"/>
        <w:spacing w:after="0" w:line="286" w:lineRule="auto"/>
        <w:tabs>
          <w:tab w:leader="none" w:pos="1840" w:val="left"/>
        </w:tabs>
        <w:numPr>
          <w:ilvl w:val="0"/>
          <w:numId w:val="20"/>
        </w:numPr>
        <w:rPr>
          <w:rFonts w:ascii="Arial" w:cs="Arial" w:eastAsia="Arial" w:hAnsi="Arial"/>
          <w:sz w:val="17"/>
          <w:szCs w:val="17"/>
          <w:u w:val="single" w:color="auto"/>
          <w:color w:val="0000EE"/>
        </w:rPr>
      </w:pPr>
      <w:hyperlink r:id="rId83">
        <w:r>
          <w:rPr>
            <w:rFonts w:ascii="Arial" w:cs="Arial" w:eastAsia="Arial" w:hAnsi="Arial"/>
            <w:sz w:val="17"/>
            <w:szCs w:val="17"/>
            <w:u w:val="single" w:color="auto"/>
            <w:color w:val="0000EE"/>
          </w:rPr>
          <w:t>The description of our ordinary shares contained in our registration statement on Form 8-A filed with</w:t>
        </w:r>
      </w:hyperlink>
      <w:r>
        <w:rPr>
          <w:rFonts w:ascii="Arial" w:cs="Arial" w:eastAsia="Arial" w:hAnsi="Arial"/>
          <w:sz w:val="17"/>
          <w:szCs w:val="17"/>
          <w:u w:val="single" w:color="auto"/>
          <w:color w:val="0000EE"/>
        </w:rPr>
        <w:t xml:space="preserve"> </w:t>
      </w:r>
      <w:hyperlink r:id="rId83">
        <w:r>
          <w:rPr>
            <w:rFonts w:ascii="Arial" w:cs="Arial" w:eastAsia="Arial" w:hAnsi="Arial"/>
            <w:sz w:val="17"/>
            <w:szCs w:val="17"/>
            <w:u w:val="single" w:color="auto"/>
            <w:color w:val="0000EE"/>
          </w:rPr>
          <w:t>the SEC on April 19, 2017, including any amendments or reports filed for the purpose of updating</w:t>
        </w:r>
      </w:hyperlink>
      <w:r>
        <w:rPr>
          <w:rFonts w:ascii="Arial" w:cs="Arial" w:eastAsia="Arial" w:hAnsi="Arial"/>
          <w:sz w:val="17"/>
          <w:szCs w:val="17"/>
          <w:u w:val="single" w:color="auto"/>
          <w:color w:val="0000EE"/>
        </w:rPr>
        <w:t xml:space="preserve"> </w:t>
      </w:r>
      <w:hyperlink r:id="rId83">
        <w:r>
          <w:rPr>
            <w:rFonts w:ascii="Arial" w:cs="Arial" w:eastAsia="Arial" w:hAnsi="Arial"/>
            <w:sz w:val="17"/>
            <w:szCs w:val="17"/>
            <w:u w:val="single" w:color="auto"/>
            <w:color w:val="0000EE"/>
          </w:rPr>
          <w:t>such description.</w:t>
        </w:r>
      </w:hyperlink>
    </w:p>
    <w:p>
      <w:pPr>
        <w:spacing w:after="0" w:line="84" w:lineRule="exact"/>
        <w:rPr>
          <w:rFonts w:ascii="Arial" w:cs="Arial" w:eastAsia="Arial" w:hAnsi="Arial"/>
          <w:sz w:val="17"/>
          <w:szCs w:val="17"/>
          <w:u w:val="single" w:color="auto"/>
          <w:color w:val="0000EE"/>
        </w:rPr>
      </w:pPr>
    </w:p>
    <w:p>
      <w:pPr>
        <w:ind w:left="1260" w:right="459"/>
        <w:spacing w:after="0" w:line="279" w:lineRule="auto"/>
        <w:rPr>
          <w:sz w:val="20"/>
          <w:szCs w:val="20"/>
          <w:color w:val="auto"/>
        </w:rPr>
      </w:pPr>
      <w:r>
        <w:rPr>
          <w:rFonts w:ascii="Arial" w:cs="Arial" w:eastAsia="Arial" w:hAnsi="Arial"/>
          <w:sz w:val="17"/>
          <w:szCs w:val="17"/>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 this prospectus supplement and deemed to be part of this prospectus supplement from the date of the filing of such reports and documents.</w:t>
      </w: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50" w:lineRule="exact"/>
        <w:rPr>
          <w:rFonts w:ascii="Arial" w:cs="Arial" w:eastAsia="Arial" w:hAnsi="Arial"/>
          <w:sz w:val="17"/>
          <w:szCs w:val="17"/>
          <w:u w:val="single" w:color="auto"/>
          <w:color w:val="0000EE"/>
        </w:rPr>
      </w:pPr>
    </w:p>
    <w:p>
      <w:pPr>
        <w:ind w:left="5180"/>
        <w:spacing w:after="0"/>
        <w:rPr>
          <w:sz w:val="20"/>
          <w:szCs w:val="20"/>
          <w:color w:val="auto"/>
        </w:rPr>
      </w:pPr>
      <w:r>
        <w:rPr>
          <w:rFonts w:ascii="Arial" w:cs="Arial" w:eastAsia="Arial" w:hAnsi="Arial"/>
          <w:sz w:val="16"/>
          <w:szCs w:val="16"/>
          <w:color w:val="auto"/>
        </w:rPr>
        <w:t>S-28</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60" w:right="1199"/>
        <w:spacing w:after="0" w:line="308" w:lineRule="auto"/>
        <w:rPr>
          <w:sz w:val="20"/>
          <w:szCs w:val="20"/>
          <w:color w:val="auto"/>
        </w:rPr>
      </w:pPr>
      <w:r>
        <w:rPr>
          <w:rFonts w:ascii="Arial" w:cs="Arial" w:eastAsia="Arial" w:hAnsi="Arial"/>
          <w:sz w:val="17"/>
          <w:szCs w:val="17"/>
          <w:color w:val="auto"/>
        </w:rPr>
        <w:t>You may request a free copy of any of the documents incorporated by reference in this prospectus supplement by writing or telephoning us at the following:</w:t>
      </w:r>
    </w:p>
    <w:p>
      <w:pPr>
        <w:spacing w:after="0" w:line="79"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Verona Pharma plc</w:t>
      </w:r>
    </w:p>
    <w:p>
      <w:pPr>
        <w:spacing w:after="0" w:line="35"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3 More London Riverside</w:t>
      </w:r>
    </w:p>
    <w:p>
      <w:pPr>
        <w:spacing w:after="0" w:line="21"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London SE1 2RE</w:t>
      </w:r>
    </w:p>
    <w:p>
      <w:pPr>
        <w:spacing w:after="0" w:line="21"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+44 203 283 4200</w:t>
      </w:r>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info@veronapharma.com</w:t>
      </w:r>
    </w:p>
    <w:p>
      <w:pPr>
        <w:spacing w:after="0" w:line="141" w:lineRule="exact"/>
        <w:rPr>
          <w:sz w:val="20"/>
          <w:szCs w:val="20"/>
          <w:color w:val="auto"/>
        </w:rPr>
      </w:pPr>
    </w:p>
    <w:p>
      <w:pPr>
        <w:ind w:left="1260" w:right="519"/>
        <w:spacing w:after="0" w:line="308" w:lineRule="auto"/>
        <w:rPr>
          <w:sz w:val="20"/>
          <w:szCs w:val="20"/>
          <w:color w:val="auto"/>
        </w:rPr>
      </w:pPr>
      <w:r>
        <w:rPr>
          <w:rFonts w:ascii="Arial" w:cs="Arial" w:eastAsia="Arial" w:hAnsi="Arial"/>
          <w:sz w:val="17"/>
          <w:szCs w:val="17"/>
          <w:color w:val="auto"/>
        </w:rPr>
        <w:t>Exhibits to the filings will not be sent, however, unless those exhibits have specifically been incorporated by reference in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311150</wp:posOffset>
            </wp:positionV>
            <wp:extent cx="1688465" cy="651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68846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Verona Pharma plc</w:t>
      </w:r>
    </w:p>
    <w:p>
      <w:pPr>
        <w:spacing w:after="0" w:line="23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5"/>
          <w:szCs w:val="25"/>
          <w:b w:val="1"/>
          <w:bCs w:val="1"/>
          <w:color w:val="auto"/>
        </w:rPr>
        <w:t>$250,000,000</w:t>
      </w:r>
    </w:p>
    <w:p>
      <w:pPr>
        <w:spacing w:after="0" w:line="2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5"/>
          <w:szCs w:val="25"/>
          <w:b w:val="1"/>
          <w:bCs w:val="1"/>
          <w:color w:val="auto"/>
        </w:rPr>
        <w:t>Ordinary Shares</w:t>
      </w:r>
    </w:p>
    <w:p>
      <w:pPr>
        <w:spacing w:after="0" w:line="3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5"/>
          <w:szCs w:val="25"/>
          <w:b w:val="1"/>
          <w:bCs w:val="1"/>
          <w:color w:val="auto"/>
        </w:rPr>
        <w:t>(including Ordinary Shares in the form of American Depositary Shares)</w:t>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5"/>
          <w:szCs w:val="25"/>
          <w:b w:val="1"/>
          <w:bCs w:val="1"/>
          <w:color w:val="auto"/>
        </w:rPr>
        <w:t>Debt Securities</w:t>
      </w:r>
    </w:p>
    <w:p>
      <w:pPr>
        <w:ind w:left="4840"/>
        <w:spacing w:after="0" w:line="236" w:lineRule="auto"/>
        <w:rPr>
          <w:sz w:val="20"/>
          <w:szCs w:val="20"/>
          <w:color w:val="auto"/>
        </w:rPr>
      </w:pPr>
      <w:r>
        <w:rPr>
          <w:rFonts w:ascii="Times New Roman" w:cs="Times New Roman" w:eastAsia="Times New Roman" w:hAnsi="Times New Roman"/>
          <w:sz w:val="25"/>
          <w:szCs w:val="25"/>
          <w:b w:val="1"/>
          <w:bCs w:val="1"/>
          <w:color w:val="auto"/>
        </w:rPr>
        <w:t>Warrants</w:t>
      </w:r>
    </w:p>
    <w:p>
      <w:pPr>
        <w:spacing w:after="0" w:line="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21"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We may offer and sell up to $250,000,000 in the aggregate of the securities identified above from time to time in one or more offerings. This prospectus provides you with a general description of the securities.</w:t>
      </w:r>
    </w:p>
    <w:p>
      <w:pPr>
        <w:spacing w:after="0" w:line="94"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11"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Our ADSs, each representing eight ordinary shares, are listed on The Nasdaq Global Market under the symbol “VRNA.” On March 16, 2021, the last reported sale price of our ADSs on The Nasdaq Global Market was $8.60 per ADS.</w:t>
      </w:r>
    </w:p>
    <w:p>
      <w:pPr>
        <w:spacing w:after="0" w:line="104" w:lineRule="exact"/>
        <w:rPr>
          <w:sz w:val="20"/>
          <w:szCs w:val="20"/>
          <w:color w:val="auto"/>
        </w:rPr>
      </w:pPr>
    </w:p>
    <w:p>
      <w:pPr>
        <w:jc w:val="both"/>
        <w:ind w:left="126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“Risk Factors” beginning on page </w:t>
      </w:r>
      <w:r>
        <w:rPr>
          <w:rFonts w:ascii="Times New Roman" w:cs="Times New Roman" w:eastAsia="Times New Roman" w:hAnsi="Times New Roman"/>
          <w:sz w:val="18"/>
          <w:szCs w:val="18"/>
          <w:b w:val="1"/>
          <w:bCs w:val="1"/>
          <w:u w:val="single" w:color="auto"/>
          <w:color w:val="0000EE"/>
        </w:rPr>
        <w:t>5</w:t>
      </w:r>
      <w:r>
        <w:rPr>
          <w:rFonts w:ascii="Times New Roman" w:cs="Times New Roman" w:eastAsia="Times New Roman" w:hAnsi="Times New Roman"/>
          <w:sz w:val="18"/>
          <w:szCs w:val="18"/>
          <w:b w:val="1"/>
          <w:bCs w:val="1"/>
          <w:color w:val="auto"/>
        </w:rPr>
        <w:t xml:space="preserve"> of this prospectus and the documents incorporated by reference in this prospectus concerning factors you should consider before investing in our securities.</w:t>
      </w:r>
    </w:p>
    <w:p>
      <w:pPr>
        <w:spacing w:after="0" w:line="107"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applicable Securities and Exchange Commission rules and are eligible for reduced public company disclosure requirements</w:t>
      </w:r>
    </w:p>
    <w:p>
      <w:pPr>
        <w:spacing w:after="0" w:line="77" w:lineRule="exact"/>
        <w:rPr>
          <w:sz w:val="20"/>
          <w:szCs w:val="20"/>
          <w:color w:val="auto"/>
        </w:rPr>
      </w:pPr>
    </w:p>
    <w:p>
      <w:pPr>
        <w:ind w:left="1260" w:right="4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The date of this prospectus is March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255905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45720</wp:posOffset>
            </wp:positionV>
            <wp:extent cx="5212080" cy="240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7" w:lineRule="exact"/>
        <w:rPr>
          <w:sz w:val="20"/>
          <w:szCs w:val="20"/>
          <w:color w:val="auto"/>
        </w:rPr>
      </w:pPr>
    </w:p>
    <w:p>
      <w:pPr>
        <w:ind w:left="1260" w:right="180"/>
        <w:spacing w:after="0" w:line="297" w:lineRule="auto"/>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 INCORPORATION BY REFERENCE 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-204470</wp:posOffset>
            </wp:positionV>
            <wp:extent cx="44157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44157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-179070</wp:posOffset>
            </wp:positionV>
            <wp:extent cx="521208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SHARE CAPITAL AND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37458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37458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AMERICAN DEPOSITARY SHARES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19888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19888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WARRANTS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13277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132778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GLOBAL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SECURITIES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134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13468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40</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w:t>
      </w:r>
    </w:p>
    <w:p>
      <w:pPr>
        <w:sectPr>
          <w:pgSz w:w="11900" w:h="16838" w:orient="portrait"/>
          <w:cols w:equalWidth="0" w:num="2">
            <w:col w:w="8400" w:space="720"/>
            <w:col w:w="759"/>
          </w:cols>
          <w:pgMar w:left="580" w:top="114" w:right="1440"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Commission, or the SEC, using a “shelf” registration process. By using a shelf registration statement, we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may sell securities from time to time and in one or more offerings up to a total dollar amount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$250,000,000 as described in this prospectus. Each time that we offer and sell securities, we will provide 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prospectus supplement to this prospectus that contains specific information about the securities being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offered and sold and the specific terms of that offering. We may also authorize one or more free writing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prospectuses to be provided to you that may contain material information relating to these offerings.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prospectus supplement or free writing prospectus may also add, update or change information contained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this prospectus with respect to that offering. If there is any inconsistency between the information in this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prospectus and the applicable prospectus supplement or free writing prospectus, you should rely on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prospectus supplement or free writing prospectus, as applicable. Before purchasing any securities, you</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should carefully read both this prospectus and the applicable prospectus supplement (and any applicable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free writing prospectuses), together with the additional information described under the heading “Where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You Can Find More Information; Incorporation by Reference.”</w:t>
      </w:r>
    </w:p>
    <w:p>
      <w:pPr>
        <w:spacing w:after="0" w:line="139"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341"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When we refer to Verona,” “we,” “our,” “us” and the “Company” in this prospectus, we mean Verona Pharma plc and its consolidated subsidiaries, unless otherwise specified. When we refer to “you,” we mean the potential holders of the applicable series of securities.</w:t>
      </w:r>
    </w:p>
    <w:p>
      <w:pPr>
        <w:spacing w:after="0" w:line="96"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Solely for convenience, any trademarks, service marks, logos and trade names referred to in this</w:t>
      </w: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 xml:space="preserve">prospectus are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 symbols, but such references are not intended to indicate, in any way, that we will not assert, to the fullest extent under applicable law, our rights. This prospectus may contain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1260" w:right="459" w:firstLine="360"/>
        <w:spacing w:after="0" w:line="284" w:lineRule="auto"/>
        <w:rPr>
          <w:sz w:val="20"/>
          <w:szCs w:val="20"/>
          <w:color w:val="auto"/>
        </w:rPr>
      </w:pPr>
      <w:r>
        <w:rPr>
          <w:rFonts w:ascii="Times New Roman" w:cs="Times New Roman" w:eastAsia="Times New Roman" w:hAnsi="Times New Roman"/>
          <w:sz w:val="18"/>
          <w:szCs w:val="18"/>
          <w:color w:val="auto"/>
        </w:rPr>
        <w:t xml:space="preserve">Our web site address is </w:t>
      </w:r>
      <w:r>
        <w:rPr>
          <w:rFonts w:ascii="Times New Roman" w:cs="Times New Roman" w:eastAsia="Times New Roman" w:hAnsi="Times New Roman"/>
          <w:sz w:val="18"/>
          <w:szCs w:val="18"/>
          <w:i w:val="1"/>
          <w:iCs w:val="1"/>
          <w:color w:val="auto"/>
        </w:rPr>
        <w:t>www.veronapharma.com</w:t>
      </w:r>
      <w:r>
        <w:rPr>
          <w:rFonts w:ascii="Times New Roman" w:cs="Times New Roman" w:eastAsia="Times New Roman" w:hAnsi="Times New Roman"/>
          <w:sz w:val="18"/>
          <w:szCs w:val="18"/>
          <w:color w:val="auto"/>
        </w:rPr>
        <w:t>. The information on our web site, however, is not, and should not be deemed to be, a part of this prospectus.</w:t>
      </w:r>
    </w:p>
    <w:p>
      <w:pPr>
        <w:spacing w:after="0" w:line="79"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337"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54" w:lineRule="exact"/>
        <w:rPr>
          <w:sz w:val="20"/>
          <w:szCs w:val="20"/>
          <w:color w:val="auto"/>
        </w:rPr>
      </w:pPr>
    </w:p>
    <w:p>
      <w:pPr>
        <w:ind w:left="1800" w:right="839" w:hanging="180"/>
        <w:spacing w:after="0" w:line="282" w:lineRule="auto"/>
        <w:tabs>
          <w:tab w:leader="none" w:pos="1800" w:val="left"/>
        </w:tabs>
        <w:numPr>
          <w:ilvl w:val="0"/>
          <w:numId w:val="21"/>
        </w:numPr>
        <w:rPr>
          <w:rFonts w:ascii="Times New Roman" w:cs="Times New Roman" w:eastAsia="Times New Roman" w:hAnsi="Times New Roman"/>
          <w:sz w:val="18"/>
          <w:szCs w:val="18"/>
          <w:u w:val="single" w:color="auto"/>
          <w:color w:val="0000EE"/>
        </w:rPr>
      </w:pPr>
      <w:hyperlink r:id="rId102">
        <w:r>
          <w:rPr>
            <w:rFonts w:ascii="Times New Roman" w:cs="Times New Roman" w:eastAsia="Times New Roman" w:hAnsi="Times New Roman"/>
            <w:sz w:val="18"/>
            <w:szCs w:val="18"/>
            <w:u w:val="single" w:color="auto"/>
            <w:color w:val="0000EE"/>
          </w:rPr>
          <w:t>Our Annual Report on Form 10-K for the year ended December 31, 2020, filed with the SEC on</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February 25, 2021.</w:t>
        </w:r>
      </w:hyperlink>
    </w:p>
    <w:p>
      <w:pPr>
        <w:spacing w:after="0" w:line="53" w:lineRule="exact"/>
        <w:rPr>
          <w:rFonts w:ascii="Times New Roman" w:cs="Times New Roman" w:eastAsia="Times New Roman" w:hAnsi="Times New Roman"/>
          <w:sz w:val="18"/>
          <w:szCs w:val="18"/>
          <w:u w:val="single" w:color="auto"/>
          <w:color w:val="0000EE"/>
        </w:rPr>
      </w:pPr>
    </w:p>
    <w:p>
      <w:pPr>
        <w:ind w:left="1800" w:right="6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from our </w:t>
      </w:r>
      <w:hyperlink r:id="rId103">
        <w:r>
          <w:rPr>
            <w:rFonts w:ascii="Times New Roman" w:cs="Times New Roman" w:eastAsia="Times New Roman" w:hAnsi="Times New Roman"/>
            <w:sz w:val="18"/>
            <w:szCs w:val="18"/>
            <w:u w:val="single" w:color="auto"/>
            <w:color w:val="0000EE"/>
          </w:rPr>
          <w:t>Definitive Proxy Statement on Schedule 14A, filed with the SEC on March 19, 2021</w:t>
        </w:r>
      </w:hyperlink>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u w:val="single" w:color="auto"/>
          <w:color w:val="0000EE"/>
        </w:rPr>
      </w:pPr>
      <w:hyperlink r:id="rId104">
        <w:r>
          <w:rPr>
            <w:rFonts w:ascii="Times New Roman" w:cs="Times New Roman" w:eastAsia="Times New Roman" w:hAnsi="Times New Roman"/>
            <w:sz w:val="18"/>
            <w:szCs w:val="18"/>
            <w:u w:val="single" w:color="auto"/>
            <w:color w:val="0000EE"/>
          </w:rPr>
          <w:t>Our Current Report on Form 8-K filed with the SEC on March 2, 2021.</w:t>
        </w:r>
      </w:hyperlink>
    </w:p>
    <w:p>
      <w:pPr>
        <w:spacing w:after="0" w:line="117" w:lineRule="exact"/>
        <w:rPr>
          <w:rFonts w:ascii="Times New Roman" w:cs="Times New Roman" w:eastAsia="Times New Roman" w:hAnsi="Times New Roman"/>
          <w:sz w:val="18"/>
          <w:szCs w:val="18"/>
          <w:u w:val="single" w:color="auto"/>
          <w:color w:val="0000EE"/>
        </w:rPr>
      </w:pPr>
    </w:p>
    <w:p>
      <w:pPr>
        <w:ind w:left="1800" w:right="519" w:hanging="180"/>
        <w:spacing w:after="0" w:line="266" w:lineRule="auto"/>
        <w:tabs>
          <w:tab w:leader="none" w:pos="1800" w:val="left"/>
        </w:tabs>
        <w:numPr>
          <w:ilvl w:val="0"/>
          <w:numId w:val="21"/>
        </w:numPr>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The description of our ordinary shares and ADSs contained in our registration statement on Form 8-</w:t>
        </w:r>
      </w:hyperlink>
      <w:hyperlink r:id="rId105">
        <w:r>
          <w:rPr>
            <w:rFonts w:ascii="Times New Roman" w:cs="Times New Roman" w:eastAsia="Times New Roman" w:hAnsi="Times New Roman"/>
            <w:sz w:val="18"/>
            <w:szCs w:val="18"/>
            <w:u w:val="single" w:color="auto"/>
            <w:color w:val="0000EE"/>
          </w:rPr>
          <w:t>A filed with the SEC on April 19, 2017 and any amendment or report filed with the SEC for the</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purpose of updating the description.</w:t>
        </w:r>
      </w:hyperlink>
    </w:p>
    <w:p>
      <w:pPr>
        <w:spacing w:after="0" w:line="95" w:lineRule="exact"/>
        <w:rPr>
          <w:rFonts w:ascii="Times New Roman" w:cs="Times New Roman" w:eastAsia="Times New Roman" w:hAnsi="Times New Roman"/>
          <w:sz w:val="18"/>
          <w:szCs w:val="18"/>
          <w:u w:val="single" w:color="auto"/>
          <w:color w:val="0000EE"/>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397" w:lineRule="exact"/>
        <w:rPr>
          <w:rFonts w:ascii="Times New Roman" w:cs="Times New Roman" w:eastAsia="Times New Roman" w:hAnsi="Times New Roman"/>
          <w:sz w:val="18"/>
          <w:szCs w:val="18"/>
          <w:u w:val="single" w:color="auto"/>
          <w:color w:val="0000EE"/>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by writing or telephoning us at the following address:</w:t>
      </w:r>
    </w:p>
    <w:p>
      <w:pPr>
        <w:spacing w:after="0" w:line="9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London SE1 2RE</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+44 203 283 4200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info@veronapharma.com</w:t>
      </w:r>
    </w:p>
    <w:p>
      <w:pPr>
        <w:spacing w:after="0" w:line="139" w:lineRule="exact"/>
        <w:rPr>
          <w:sz w:val="20"/>
          <w:szCs w:val="20"/>
          <w:color w:val="auto"/>
        </w:rPr>
      </w:pPr>
    </w:p>
    <w:p>
      <w:pPr>
        <w:ind w:left="1260" w:right="1299" w:firstLine="36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and commercializing innovative therapeutics for the treatment of respiratory diseases with significant unmet medical needs. Our product candidate, ensifentrine, is a first-in-class, inhaled, dual inhibitor of the phosphodiesterase 3 and PDE4 enzymes. We are developing ensifentrine in three formulations for the most widely used inhalation devices: nebulizer, dry powder inhaler and pressurized metered-dose inhaler. Initially, we are targeting chronic obstructive pulmonary disease (“COPD”), a common, chronic, progressive, and life-threatening respiratory disease without a cure. If successfully developed, ensifentrine would be the first therapeutic with a novel mode of action for COPD in a decade. In 2020, we commenced a Phase 3 clinical trial of ensifentrine for the treatment of COPD.</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Our principal office is located at 3 More London Riverside, London SE1 2RE, United Kingdom, and our telephone number is +(44) 203 283 4200.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1259" w:firstLine="36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DESCRIPTION OF SHARE CAPITAL AND ARTICLES OF ASSOCIATION</w:t>
      </w:r>
    </w:p>
    <w:p>
      <w:pPr>
        <w:spacing w:after="0" w:line="16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Set forth below is a summary of certain information concerning our share capital as well as a description of certain provisions of our articles of association and relevant provisions of English law. Because the following is only a summary, it does not contain all of the information that may be important to you. The summary includes certain references to and descriptions of material provisions of our articles of association and English law in effect as of the date of this prospectus. The summary below does not purport to be complete and is qualified in its entirety by reference to applicable English law and our articles of association, which have been publicly filed with the Securities and Exchange Commission.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We were incorporated as a public limited company with the legal name Isis Resources plc under the laws of England and Wales on February 24, 2005 with the company number 5375156. In September 2006, we acquired Rhinopharma Limited, a company incorporated under the laws of the province of British Columbia, Canada and changed our name to Verona Pharma plc. Our registered office is One Central Square, Cardiff, CF10 1FS. The principal legislation under which we operate and our shares are issued is the Companies Act 2006.</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162"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Set forth below is a summary of relevant information concerning our share capital and material provisions of our Articles of Association, or the Articles, and applicable UK law.</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In accordance with the Articles, the following summarizes the rights of holders of our voting ordinary shares:</w:t>
      </w:r>
    </w:p>
    <w:p>
      <w:pPr>
        <w:spacing w:after="0" w:line="54" w:lineRule="exact"/>
        <w:rPr>
          <w:sz w:val="20"/>
          <w:szCs w:val="20"/>
          <w:color w:val="auto"/>
        </w:rPr>
      </w:pPr>
    </w:p>
    <w:p>
      <w:pPr>
        <w:ind w:left="1800" w:right="41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our ordinary shares is entitled to one vote per ordinary share on all matters to be voted on by shareholders generally;</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ordinary shares shall be entitled to receive notice of, attend, speak and vote at our general meetings; and</w:t>
      </w:r>
    </w:p>
    <w:p>
      <w:pPr>
        <w:spacing w:after="0" w:line="53"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ordinary shares are entitled to receive such dividends as are recommended by our directors and declared by our shareholders.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Registered Shares</w:t>
      </w:r>
    </w:p>
    <w:p>
      <w:pPr>
        <w:spacing w:after="0" w:line="16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We are required by the Companies Act 2006 to keep a register of our shareholders. Under English law, the ordinary shares are deemed to be issued when the name of the shareholder is entered in our share register. The share register therefore is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identity of our shareholders, and the shares that they hold. The share register generally provides limited, or no, information regarding the ultimate beneficial owners of our ordinary shares. Our share register is maintained by our registrar, Computershare Investor Services plc.</w:t>
      </w:r>
    </w:p>
    <w:p>
      <w:pPr>
        <w:spacing w:after="0" w:line="325"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Holders of our ADSs will not be treated as one of our shareholders and their names will therefore not be entered in our share register. The depositary, the custodian or their nominees will be the holder of the shares underlying our ADSs. For discussion on our ADSs and ADS holder rights see “Description of American Depository Shares” below. Holders of our ADSs have a right to receive the ordinary shares underlying their ADSs as discussed in “Description of American Depository Shares” below.</w:t>
      </w:r>
    </w:p>
    <w:p>
      <w:pPr>
        <w:spacing w:after="0" w:line="11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Under the Companies Act 2006, we must enter an allotment of shares in our share register as soon as practicable and in any event within two months of the allotment. We also are required by the Companies Act 2006 to register a transfer of shares (or give the transferee notice of and reasons for refusal) as soon as practicable and in any event within two months of receiving notice of the transfer.</w:t>
      </w:r>
    </w:p>
    <w:p>
      <w:pPr>
        <w:spacing w:after="0" w:line="11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We, any of our shareholders or any other affected person may apply to the court for rectification of the share register if:</w:t>
      </w: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57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without sufficient cause, is wrongly entered in or omitted from our register of members; or</w:t>
      </w:r>
    </w:p>
    <w:p>
      <w:pPr>
        <w:spacing w:after="0" w:line="53" w:lineRule="exact"/>
        <w:rPr>
          <w:rFonts w:ascii="Times New Roman" w:cs="Times New Roman" w:eastAsia="Times New Roman" w:hAnsi="Times New Roman"/>
          <w:sz w:val="18"/>
          <w:szCs w:val="18"/>
          <w:color w:val="auto"/>
        </w:rPr>
      </w:pPr>
    </w:p>
    <w:p>
      <w:pPr>
        <w:jc w:val="both"/>
        <w:ind w:left="1800" w:right="939" w:hanging="180"/>
        <w:spacing w:after="0" w:line="26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member or on which we have a lien, provided that such refusal does not prevent dealings in the shares taking place on an open and proper basis.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English law generally provides shareholders with preemptive rights when new shares are issued for cash; however, it is possible for the articles of association, or shareholders in general meeting,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 On April 16, 2020, our shareholders approved the exclusion of preemptive rights up to an aggregate nominal amount of £21,065,327.60 which shall expire on June 1, 2021 unless renewed, revoked or varied sooner.</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Shares and Rights Attaching to Them</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Objects</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objects of our company are unrestricted.</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Share Rights</w:t>
      </w:r>
    </w:p>
    <w:p>
      <w:pPr>
        <w:spacing w:after="0" w:line="160"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Subject to any special rights attaching to shares already in issue, our shares may be issued with or have attached to them any preferred, deferred or other special rights or privileges or be subject to such restrictions as we may resolve by ordinary resolution of the shareholders or decision of our board.</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60" w:lineRule="exact"/>
        <w:rPr>
          <w:sz w:val="20"/>
          <w:szCs w:val="20"/>
          <w:color w:val="auto"/>
        </w:rPr>
      </w:pPr>
    </w:p>
    <w:p>
      <w:pPr>
        <w:jc w:val="both"/>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Without prejudice to any special rights, privileges or restrictions as to voting rights attached to any shares forming part of our share capital from time to time, the voting rights attaching to voting ordinary shares are as follows:</w:t>
      </w:r>
    </w:p>
    <w:p>
      <w:pPr>
        <w:spacing w:after="0" w:line="69" w:lineRule="exact"/>
        <w:rPr>
          <w:sz w:val="20"/>
          <w:szCs w:val="20"/>
          <w:color w:val="auto"/>
        </w:rPr>
      </w:pPr>
    </w:p>
    <w:p>
      <w:pPr>
        <w:ind w:left="1800" w:right="67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show of hands, every shareholder who (being an individual) is present in person and (being a corporation) is present by a duly authorized representative shall have one vote;</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71"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and</w:t>
      </w:r>
    </w:p>
    <w:p>
      <w:pPr>
        <w:spacing w:after="0" w:line="80"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every shareholder who is present in person or by proxy shall have one vote for each share of which he is the holder.</w:t>
      </w:r>
    </w:p>
    <w:p>
      <w:pPr>
        <w:spacing w:after="0" w:line="94"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At any general meeting a resolution put to the vote of the meeting shall be decided on a show of hands unless a poll is demanded. Subject to the provisions of the Companies Act 2006, as described in “Differences in Corporate Law — Voting Rights” below, a poll may be demanded by:</w:t>
      </w: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41" w:name="page42"/>
    <w:bookmarkEnd w:id="4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shareholders present in person or by proxy and entitled to vote;</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shareholder(s) present in person or by proxy and representing in the aggregate not less than one-tenth of the total voting rights of all shareholders having the right to attend and vote at the meeting (excluding the shares held in treasury); or</w:t>
      </w:r>
    </w:p>
    <w:p>
      <w:pPr>
        <w:spacing w:after="0" w:line="54" w:lineRule="exact"/>
        <w:rPr>
          <w:rFonts w:ascii="Times New Roman" w:cs="Times New Roman" w:eastAsia="Times New Roman" w:hAnsi="Times New Roman"/>
          <w:sz w:val="18"/>
          <w:szCs w:val="18"/>
          <w:color w:val="auto"/>
        </w:rPr>
      </w:pPr>
    </w:p>
    <w:p>
      <w:pPr>
        <w:ind w:left="1800" w:right="559" w:hanging="180"/>
        <w:spacing w:after="0" w:line="263"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shareholder(s) present in person or by proxy and holding shares conferring a right to attend and vote at the meeting on which there have been paid up sums in the aggregate equal to not less than one-tenth of the total sums paid up on all shares conferring that right (excluding the shares held in treasury).</w:t>
      </w:r>
    </w:p>
    <w:p>
      <w:pPr>
        <w:spacing w:after="0" w:line="3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Restrictions on Voting</w:t>
      </w:r>
    </w:p>
    <w:p>
      <w:pPr>
        <w:spacing w:after="0" w:line="160" w:lineRule="exact"/>
        <w:rPr>
          <w:sz w:val="20"/>
          <w:szCs w:val="20"/>
          <w:color w:val="auto"/>
        </w:rPr>
      </w:pPr>
    </w:p>
    <w:p>
      <w:pPr>
        <w:ind w:left="1260" w:right="559" w:firstLine="360"/>
        <w:spacing w:after="0" w:line="264" w:lineRule="auto"/>
        <w:rPr>
          <w:sz w:val="20"/>
          <w:szCs w:val="20"/>
          <w:color w:val="auto"/>
        </w:rPr>
      </w:pPr>
      <w:r>
        <w:rPr>
          <w:rFonts w:ascii="Times New Roman" w:cs="Times New Roman" w:eastAsia="Times New Roman" w:hAnsi="Times New Roman"/>
          <w:sz w:val="18"/>
          <w:szCs w:val="18"/>
          <w:color w:val="auto"/>
        </w:rPr>
        <w:t>No shareholder shall be entitled to vote at any general meeting or at any separate class meeting in respect of any share held by him unless all calls or other sums payable by him in respect of that share have been paid.</w:t>
      </w:r>
    </w:p>
    <w:p>
      <w:pPr>
        <w:spacing w:after="0" w:line="314" w:lineRule="exact"/>
        <w:rPr>
          <w:sz w:val="20"/>
          <w:szCs w:val="20"/>
          <w:color w:val="auto"/>
        </w:rPr>
      </w:pPr>
    </w:p>
    <w:p>
      <w:pPr>
        <w:jc w:val="both"/>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board may from time to time make calls upon the shareholders in respect of any money unpaid on their shares and each shareholder shall (subject to at least 14 days’ notice specifying the time or times and place of payment) pay at the time or times so specified the amount called on his shares.</w:t>
      </w:r>
    </w:p>
    <w:p>
      <w:pPr>
        <w:spacing w:after="0" w:line="109"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No holders of non-voting ordinary shares shall be entitled to receive notice of, attend or vote at any general meeting.</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6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We may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profits and, if at any time, our share capital is divided into different classes the board may pay such interim dividends in respect of those shares which confer on the holders thereof deferred or non-preferential rights with regard to dividends.</w:t>
      </w:r>
    </w:p>
    <w:p>
      <w:pPr>
        <w:spacing w:after="0" w:line="114"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323"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No dividend or other moneys payable by us on or in respect of any share shall bear interest against us. Any dividend unclaimed after a period of 12 years from the date such dividend became due for payment shall, if the Board so resolved, be forfeited and shall revert to us.</w:t>
      </w:r>
    </w:p>
    <w:p>
      <w:pPr>
        <w:spacing w:after="0" w:line="102"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10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Any general meeting declaring a dividend may by ordinary resolution of shareholders, upon the recommendation of the board, direct payment or satisfaction of such dividend wholly or in part by the distribution of specific assets other than cash, and in particular of paid up shares or debentures of any other company. The directors may, if authorized by ordinary resolution of shareholders, offer any holders of ordinary shares the right to elect to receive in lieu of a dividend an allotment of ordinary shares credited as fully paid up, subject to such exclusions as the Board may deem necessary or desirable.</w:t>
      </w:r>
    </w:p>
    <w:p>
      <w:pPr>
        <w:spacing w:after="0" w:line="114"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No shareholder shall be entitled to receive any dividend or other distribution in respect of any share held by him unless all calls or other sums payable by him in respect of that share have been paid.</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160"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There is no specific provision in our articles of association that would have the effect of delaying, deferring or preventing a change of control.</w:t>
      </w:r>
    </w:p>
    <w:p>
      <w:pPr>
        <w:sectPr>
          <w:pgSz w:w="11900" w:h="16838" w:orient="portrait"/>
          <w:cols w:equalWidth="0" w:num="1">
            <w:col w:w="9879"/>
          </w:cols>
          <w:pgMar w:left="580" w:top="114"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Distributions on Winding Up</w:t>
      </w:r>
    </w:p>
    <w:p>
      <w:pPr>
        <w:spacing w:after="0" w:line="16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On a winding up, the liquidator may, with the consent by a special resolution of shareholders and any other resolution of the shareholders (excluding us to the extent we are a shareholder by virtue only of our holding of shares as treasury shares) in proportion to their shareholdings in specie or in kind or sanction of the court required by the Companies Act 2006 and/or the Insolvency Act 1986, divide amongst the shareholders the whole or any part of our assets (whether they shall consist of property of the same kind or not) and may set such values as he deems fair upon any property to be divided and may determine how such division shall be carried out as between the shareholders or different classes of shareholder. The liquidator may vest the whole or any part of such assets in trustees upon such trusts for the benefit of the shareholders as the liquidator shall think fit, but no shareholder shall be compelled to accept any shares or other assets upon which there is any liability or potential liability.</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Variation of Rights</w:t>
      </w:r>
    </w:p>
    <w:p>
      <w:pPr>
        <w:spacing w:after="0" w:line="16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All or any of the rights and restrictions attached to any class of shares issued may be altered, added to or revoked with the consent in writing of the holders of not less than three-fourths in nominal value of the issued shares of that class (excluding any shares held as treasury shares) or by special resolution passed at a separate general meeting of the holders of such shares, subject to the Companies Act 2006 and the terms of their issue. The Companies Act 2006 provides a right to object to the variation of the share capital by the shareholders who did not vote in favor of the variation. Should an aggregate of 15% of the shareholders of the issued shares in question apply to the court to have the variation cancelled, the variation shall have no effect unless and until it is confirmed by the court.</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Alteration to Share Capital</w:t>
      </w:r>
    </w:p>
    <w:p>
      <w:pPr>
        <w:spacing w:after="0" w:line="14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We may, by ordinary resolution of shareholders, consolidate and divide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Companies Act 2006. We may redeem or purchase all or any of our shares as described in “— Other U.K. Law Considerations — Purchase of Own Shares.”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Preemption Rights</w:t>
      </w:r>
    </w:p>
    <w:p>
      <w:pPr>
        <w:spacing w:after="0" w:line="160"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In certain circumstances, our shareholders may have statutory preemption rights under the Companies Act 2006 in respect of the allotment of new shares as described in “— Preemptive Rights” and “— Differences in Corporate Law — Preemptive Rights” below.</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Any certificated shareholder may transfer all or any of his shares by an instrument of transfer in the usual common form or in any other manner which is permitted by the Companies Act 2006 and approved by the board. Any written instrument of transfer shall be signed by or on behalf of the transferor and (in the case of a partly paid share) the transferee.</w:t>
      </w:r>
    </w:p>
    <w:p>
      <w:pPr>
        <w:spacing w:after="0" w:line="99"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All transfers of uncertificated shares shall be made in accordance with and subject to the provisions of the Uncertificated Securities Regulations 2001 and the facilities and requirements of its relevant system. The Uncertificated Securities Regulations 2001 permit shares to be issued and held in uncertificated form and transferred by means of a computer-based system.</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may decline to register any transfer of any share:</w:t>
      </w:r>
    </w:p>
    <w:p>
      <w:pPr>
        <w:spacing w:after="0" w:line="117" w:lineRule="exact"/>
        <w:rPr>
          <w:sz w:val="20"/>
          <w:szCs w:val="20"/>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not a fully paid share;</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person known to be a minor, bankrupt or person who is mentally disordered or a patient for the purpose of any statute relating to mental health;</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entity which is not a natural or legal person;</w:t>
      </w:r>
    </w:p>
    <w:p>
      <w:pPr>
        <w:sectPr>
          <w:pgSz w:w="11900" w:h="16838" w:orient="portrait"/>
          <w:cols w:equalWidth="0" w:num="1">
            <w:col w:w="9879"/>
          </w:cols>
          <w:pgMar w:left="580" w:top="114"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800" w:right="579" w:hanging="180"/>
        <w:spacing w:after="0" w:line="26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any written instrument of transfer, duly stamped, is lodged with us at our registered office or such other place as the board may appoint accompanied by the certificate for the shares to which it relates;</w:t>
      </w:r>
    </w:p>
    <w:p>
      <w:pPr>
        <w:spacing w:after="0" w:line="54"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there is provided such evidence as the board may reasonably require to show the right of the transferor to make the transfer and if the instrument of transfer is executed by some other person on his behalf, the authority of that person to do so;</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in respect of more than one class of share; and</w:t>
      </w:r>
    </w:p>
    <w:p>
      <w:pPr>
        <w:spacing w:after="0" w:line="10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exceeds four.</w:t>
      </w:r>
    </w:p>
    <w:p>
      <w:pPr>
        <w:spacing w:after="0" w:line="81" w:lineRule="exact"/>
        <w:rPr>
          <w:sz w:val="20"/>
          <w:szCs w:val="20"/>
          <w:color w:val="auto"/>
        </w:rPr>
      </w:pPr>
    </w:p>
    <w:p>
      <w:pPr>
        <w:jc w:val="both"/>
        <w:ind w:left="1260" w:right="999" w:firstLine="360"/>
        <w:spacing w:after="0" w:line="258" w:lineRule="auto"/>
        <w:rPr>
          <w:sz w:val="20"/>
          <w:szCs w:val="20"/>
          <w:color w:val="auto"/>
        </w:rPr>
      </w:pPr>
      <w:r>
        <w:rPr>
          <w:rFonts w:ascii="Times New Roman" w:cs="Times New Roman" w:eastAsia="Times New Roman" w:hAnsi="Times New Roman"/>
          <w:sz w:val="18"/>
          <w:szCs w:val="18"/>
          <w:color w:val="auto"/>
        </w:rPr>
        <w:t>If the board declines to register a transfer it shall, as soon as practicable and in any event within two months after the date on which the transfer is lodged, send to the transferee notice of the refusal, together with reasons for the refusal.</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Annual General Meetings</w:t>
      </w:r>
    </w:p>
    <w:p>
      <w:pPr>
        <w:spacing w:after="0" w:line="146"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In accordance with the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Companies Act 2006, as described in “— Differences in Corporate Law — Annual General Meeting” and “— Differences in Corporate Law — Notice of General Meetings” below.</w:t>
      </w:r>
    </w:p>
    <w:p>
      <w:pPr>
        <w:spacing w:after="0" w:line="325"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The arrangements for the calling of general meetings are described in “— Differences in Corporate Law — Notice of General Meetings” below.</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Quorum of General Meetings</w:t>
      </w:r>
    </w:p>
    <w:p>
      <w:pPr>
        <w:spacing w:after="0" w:line="146" w:lineRule="exact"/>
        <w:rPr>
          <w:sz w:val="20"/>
          <w:szCs w:val="20"/>
          <w:color w:val="auto"/>
        </w:rPr>
      </w:pPr>
    </w:p>
    <w:p>
      <w:pPr>
        <w:ind w:left="1260" w:right="419" w:firstLine="360"/>
        <w:spacing w:after="0" w:line="225" w:lineRule="auto"/>
        <w:rPr>
          <w:sz w:val="20"/>
          <w:szCs w:val="20"/>
          <w:color w:val="auto"/>
        </w:rPr>
      </w:pPr>
      <w:r>
        <w:rPr>
          <w:rFonts w:ascii="Times New Roman" w:cs="Times New Roman" w:eastAsia="Times New Roman" w:hAnsi="Times New Roman"/>
          <w:sz w:val="18"/>
          <w:szCs w:val="18"/>
          <w:color w:val="auto"/>
        </w:rPr>
        <w:t>No business shall be transacted at any general meeting unless a quorum is present. At least two shareholders present in person or by proxy and entitled to vote, holding or representing at least 33</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w:t>
      </w:r>
    </w:p>
    <w:p>
      <w:pPr>
        <w:spacing w:after="0" w:line="2" w:lineRule="exact"/>
        <w:rPr>
          <w:sz w:val="20"/>
          <w:szCs w:val="20"/>
          <w:color w:val="auto"/>
        </w:rPr>
      </w:pPr>
    </w:p>
    <w:p>
      <w:pPr>
        <w:ind w:left="1260" w:right="639"/>
        <w:spacing w:after="0" w:line="243" w:lineRule="auto"/>
        <w:rPr>
          <w:sz w:val="20"/>
          <w:szCs w:val="20"/>
          <w:color w:val="auto"/>
        </w:rPr>
      </w:pPr>
      <w:r>
        <w:rPr>
          <w:rFonts w:ascii="Times New Roman" w:cs="Times New Roman" w:eastAsia="Times New Roman" w:hAnsi="Times New Roman"/>
          <w:sz w:val="18"/>
          <w:szCs w:val="18"/>
          <w:color w:val="auto"/>
        </w:rPr>
        <w:t>issued and outstanding shares of the Company’s ordinary voting shares present at such general meeting in person or by proxy, shall be a quorum for all purposes.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Class Meetings</w:t>
      </w:r>
    </w:p>
    <w:p>
      <w:pPr>
        <w:spacing w:after="0" w:line="146"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The provisions in the Articles of Association relating to general meetings apply to every separate general meeting of the holders of a class of shares except that:</w:t>
      </w:r>
    </w:p>
    <w:p>
      <w:pPr>
        <w:spacing w:after="0" w:line="40" w:lineRule="exact"/>
        <w:rPr>
          <w:sz w:val="20"/>
          <w:szCs w:val="20"/>
          <w:color w:val="auto"/>
        </w:rPr>
      </w:pPr>
    </w:p>
    <w:p>
      <w:pPr>
        <w:ind w:left="1800" w:right="419" w:hanging="180"/>
        <w:spacing w:after="0" w:line="265"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for such class meeting shall be two holders in person or by proxy representing not less than 33</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in nominal value of the issued shares of the class (excluding any shares held in treasury);</w:t>
      </w:r>
    </w:p>
    <w:p>
      <w:pPr>
        <w:ind w:left="1800" w:right="499" w:hanging="180"/>
        <w:spacing w:after="0" w:line="258"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class meeting, a holder of shares of the class present in person or by proxy may demand a poll and shall on a poll be entitled to one vote for every share of the class held by him; and</w:t>
      </w:r>
    </w:p>
    <w:p>
      <w:pPr>
        <w:spacing w:after="0" w:line="4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adjourned meeting of such holders a quorum is not present at the meeting, one holder of shares of the class present in person or by proxy at an adjourned meeting constitutes a quorum.</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Number of Directors</w:t>
      </w:r>
    </w:p>
    <w:p>
      <w:pPr>
        <w:spacing w:after="0" w:line="160"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We may not have less than two directors on the board of directors. We may, by ordinary resolution of the shareholders, vary the minimum and maximum number of directors from time to time.</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Appointment of Directors</w:t>
      </w:r>
    </w:p>
    <w:p>
      <w:pPr>
        <w:spacing w:after="0" w:line="146"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Articles of Association, we may, by ordinary resolution of the shareholders, elect any person to be a director, either to fill a casual vacancy or as an addition to the</w:t>
      </w:r>
    </w:p>
    <w:p>
      <w:pPr>
        <w:sectPr>
          <w:pgSz w:w="11900" w:h="16838" w:orient="portrait"/>
          <w:cols w:equalWidth="0" w:num="1">
            <w:col w:w="9879"/>
          </w:cols>
          <w:pgMar w:left="580" w:top="114" w:right="1440" w:bottom="1440" w:gutter="0" w:footer="0" w:header="0"/>
        </w:sectPr>
      </w:pPr>
    </w:p>
    <w:p>
      <w:pPr>
        <w:spacing w:after="0" w:line="32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1139"/>
        <w:spacing w:after="0" w:line="258" w:lineRule="auto"/>
        <w:rPr>
          <w:sz w:val="20"/>
          <w:szCs w:val="20"/>
          <w:color w:val="auto"/>
        </w:rPr>
      </w:pPr>
      <w:r>
        <w:rPr>
          <w:rFonts w:ascii="Times New Roman" w:cs="Times New Roman" w:eastAsia="Times New Roman" w:hAnsi="Times New Roman"/>
          <w:sz w:val="18"/>
          <w:szCs w:val="18"/>
          <w:color w:val="auto"/>
        </w:rPr>
        <w:t>existing board. However, any person that is not a director retiring from the existing board must be recommended by a shareholder not less than seven and not more than 21 days before the day of the appointment in order to be eligible for election.</w:t>
      </w:r>
    </w:p>
    <w:p>
      <w:pPr>
        <w:spacing w:after="0" w:line="10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the maximum number fixed by or in accordance with the Articles of Association.</w:t>
      </w:r>
    </w:p>
    <w:p>
      <w:pPr>
        <w:spacing w:after="0" w:line="110"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Any director appointed by the board will hold office only until the earlier to occur of the close of the next following annual general meeting and someone being appointed in his stead at that meeting. Such a director is eligible for re-election at that meeting but shall not be taken into account in determining the directors or the number of directors who are to retire by rotation at such meeting.</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Rotation of Directors</w:t>
      </w:r>
    </w:p>
    <w:p>
      <w:pPr>
        <w:spacing w:after="0" w:line="160"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At every annual general meeting, one-third of the directors or, if their number is not a multiple of three, then the number nearest to and not exceeding one-third, shall retire from office.</w:t>
      </w:r>
    </w:p>
    <w:p>
      <w:pPr>
        <w:spacing w:after="0" w:line="95"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directors to retire on each occasion shall be those subject to retirement by rotation who have been longest in office since their last election, but as between persons who became or were re-elected directors on the same day those to retire shall (unless they otherwise agree amongst themselves) be determined by lot.</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director who retires at the annual general meeting shall be eligible for re-election.</w:t>
      </w:r>
    </w:p>
    <w:p>
      <w:pPr>
        <w:spacing w:after="0" w:line="158"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Directors’ Interests</w:t>
      </w:r>
    </w:p>
    <w:p>
      <w:pPr>
        <w:spacing w:after="0" w:line="146"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duty to avoid a situation in which he has, or can have, a direct or indirect interest that conflicts, or possibly may conflict, with our interests. A director shall not, save as otherwise agreed by him, be accountable to us for any benefit which he derives from any matter authorized by the directors and any contract, transaction or arrangement relating thereto shall not be liable to be avoided on the grounds of any such benefit.</w:t>
      </w:r>
    </w:p>
    <w:p>
      <w:pPr>
        <w:spacing w:after="0" w:line="112"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Subject to the requirements under sections 175, 177 and 182 of the Companies Act 2006, a director who is any way, whether directly or indirectly, interested in a proposed or existing transaction or arrangement with us shall declare the nature of his interest at a meeting of the directors.</w:t>
      </w:r>
    </w:p>
    <w:p>
      <w:pPr>
        <w:spacing w:after="0" w:line="10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the case of interests arising where a director is in any way, directly or indirectly, interested in (a) a proposed transaction or arrangement with us or (b) a transaction or arrangement that has been entered into by us and save as otherwise provided by the Articles of Association, such director shall not vote at a meeting of the board or of a committee of the board on any resolution concerning such matter in which he has a material interest (otherwise than by virtue of his interest in shares, debentures or other securities of, or otherwise in or through, us) unless his interest or duty arises only because the case falls within one or more of the following paragraphs:</w:t>
      </w:r>
    </w:p>
    <w:p>
      <w:pPr>
        <w:spacing w:after="0" w:line="285" w:lineRule="exact"/>
        <w:rPr>
          <w:sz w:val="20"/>
          <w:szCs w:val="20"/>
          <w:color w:val="auto"/>
        </w:rPr>
      </w:pPr>
    </w:p>
    <w:p>
      <w:pPr>
        <w:jc w:val="both"/>
        <w:ind w:left="1800" w:right="59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relates to the giving of any security, guarantee or indemnity to the director in respect of money lent or obligations incurred by the director at the request of or for the benefit of us or our subsidiaries;</w:t>
      </w:r>
    </w:p>
    <w:p>
      <w:pPr>
        <w:spacing w:after="0" w:line="54" w:lineRule="exact"/>
        <w:rPr>
          <w:rFonts w:ascii="Times New Roman" w:cs="Times New Roman" w:eastAsia="Times New Roman" w:hAnsi="Times New Roman"/>
          <w:sz w:val="18"/>
          <w:szCs w:val="18"/>
          <w:color w:val="auto"/>
        </w:rPr>
      </w:pPr>
    </w:p>
    <w:p>
      <w:pPr>
        <w:ind w:left="1800" w:right="639" w:hanging="180"/>
        <w:spacing w:after="0" w:line="263"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relates to the giving to a third party of a security or indemnity in respect of a debt or obligation of ours or any of our subsidiaries for which the director or a person connected with him has assumed responsibility in whole or part under a guarantee or indemnity or by the giving of security;</w:t>
      </w:r>
    </w:p>
    <w:p>
      <w:pPr>
        <w:spacing w:after="0" w:line="291" w:lineRule="exact"/>
        <w:rPr>
          <w:rFonts w:ascii="Times New Roman" w:cs="Times New Roman" w:eastAsia="Times New Roman" w:hAnsi="Times New Roman"/>
          <w:sz w:val="18"/>
          <w:szCs w:val="18"/>
          <w:color w:val="auto"/>
        </w:rPr>
      </w:pPr>
    </w:p>
    <w:p>
      <w:pPr>
        <w:ind w:left="1800" w:right="95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interest arises by virtue of any offer of shares or debentures or other securities by us or our subsidiaries for subscription or purchase in which offer the director is or may be entitled to participate</w:t>
      </w:r>
    </w:p>
    <w:p>
      <w:pPr>
        <w:sectPr>
          <w:pgSz w:w="11900" w:h="16838" w:orient="portrait"/>
          <w:cols w:equalWidth="0" w:num="1">
            <w:col w:w="9879"/>
          </w:cols>
          <w:pgMar w:left="580" w:top="114"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739"/>
        <w:spacing w:after="0" w:line="282" w:lineRule="auto"/>
        <w:rPr>
          <w:sz w:val="20"/>
          <w:szCs w:val="20"/>
          <w:color w:val="auto"/>
        </w:rPr>
      </w:pPr>
      <w:r>
        <w:rPr>
          <w:rFonts w:ascii="Times New Roman" w:cs="Times New Roman" w:eastAsia="Times New Roman" w:hAnsi="Times New Roman"/>
          <w:sz w:val="18"/>
          <w:szCs w:val="18"/>
          <w:color w:val="auto"/>
        </w:rPr>
        <w:t>as a holder of securities or in the director is interested as a participant in the underwriting or sub-underwriting thereof;</w:t>
      </w:r>
    </w:p>
    <w:p>
      <w:pPr>
        <w:spacing w:after="0" w:line="81" w:lineRule="exact"/>
        <w:rPr>
          <w:sz w:val="20"/>
          <w:szCs w:val="20"/>
          <w:color w:val="auto"/>
        </w:rPr>
      </w:pPr>
    </w:p>
    <w:p>
      <w:pPr>
        <w:ind w:left="1800" w:right="419" w:hanging="180"/>
        <w:spacing w:after="0" w:line="258"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relates in any way to any other company in which he is interested, directly or indirectly and whether as an officer or shareholder or otherwise howsoever, provided that he and any persons connected with him do not to his knowledge hold an interest in shares representing one per cent or more of any class of the equity share capital of such company or of the voting rights available to shareholder of such company;</w:t>
      </w:r>
    </w:p>
    <w:p>
      <w:pPr>
        <w:spacing w:after="0" w:line="88"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relates in any way to an arrangement in whole or in part for the benefit of our employees or any employees of our subsidiaries which does not award him as such any privilege or benefit not generally awarded to the employees to whom such arrangement relates;</w:t>
      </w:r>
    </w:p>
    <w:p>
      <w:pPr>
        <w:spacing w:after="0" w:line="81" w:lineRule="exact"/>
        <w:rPr>
          <w:rFonts w:ascii="Times New Roman" w:cs="Times New Roman" w:eastAsia="Times New Roman" w:hAnsi="Times New Roman"/>
          <w:sz w:val="18"/>
          <w:szCs w:val="18"/>
          <w:color w:val="auto"/>
        </w:rPr>
      </w:pPr>
    </w:p>
    <w:p>
      <w:pPr>
        <w:ind w:left="1800" w:right="619" w:hanging="180"/>
        <w:spacing w:after="0" w:line="258"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relates to the adoption, modification or operation of a superannuation fund or retirement, death or disability benefits scheme or employees’ share scheme under which he may benefit and which has been approved by or is subject to and conditional upon approval by the U.K. tax authorities for taxation purposes and which does not award him any privilege or benefit not awarded to the employee to whom the scheme relates; or</w:t>
      </w:r>
    </w:p>
    <w:p>
      <w:pPr>
        <w:spacing w:after="0" w:line="102" w:lineRule="exact"/>
        <w:rPr>
          <w:rFonts w:ascii="Times New Roman" w:cs="Times New Roman" w:eastAsia="Times New Roman" w:hAnsi="Times New Roman"/>
          <w:sz w:val="18"/>
          <w:szCs w:val="18"/>
          <w:color w:val="auto"/>
        </w:rPr>
      </w:pPr>
    </w:p>
    <w:p>
      <w:pPr>
        <w:ind w:left="1800" w:right="419" w:hanging="180"/>
        <w:spacing w:after="0" w:line="263"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relates in any way to the purchase or maintenance for the directors of insurance against any liability which by virtue of any rule of law would otherwise attach to all or any of them in respect of any negligence, default, breach of duty or breach of trust in relation to us or any of our subsidiaries.</w:t>
      </w:r>
    </w:p>
    <w:p>
      <w:pPr>
        <w:spacing w:after="0" w:line="319"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A director shall not be counted in the quorum present at a meeting in relation to a resolution on which he is not entitled to vote.</w:t>
      </w:r>
    </w:p>
    <w:p>
      <w:pPr>
        <w:spacing w:after="0" w:line="94"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the right of a director to vote or be counted in the quorum, and such question is not resolved by his voluntarily agreeing to abstain from voting or not to be counted in the quorum, the question shall be determined by a majority of votes of the remaining directors present at the meeting or if there is an equality of votes, the Chairman shall have a second or casting vote and his ruling in relation to any director other than himself shall be final and conclusive except in a case where the nature or extent of the interest of the director concerned has not been fairly disclosed.</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Directors’ Fees and Remuneration</w:t>
      </w:r>
    </w:p>
    <w:p>
      <w:pPr>
        <w:spacing w:after="0" w:line="160"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Each of the directors shall be paid a fee at such rate as may from time to time be determined by the board (or for the avoidance of doubt any duly authorized committee of the board) provided that the aggregate of all such fees so paid to directors shall not exceed £500,000 per annum, or such higher amount as may from time to time be determined by ordinary resolution of shareholders.</w:t>
      </w:r>
    </w:p>
    <w:p>
      <w:pPr>
        <w:spacing w:after="0" w:line="9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Each director may be paid his traveling, hotel and incidental expenses of attending and returning from meetings of the board or committees of the board or general meetings or separate meetings of the holders class of shares or of debentures and shall be paid all expenses properly incurred by him in the conduct of our business or in the discharge of his duties as a director. Any director who, by request, performs special or extra services which in the opinion of the board go beyond the ordinary duties of a director may be paid such extra remuneration as the board may determine.</w:t>
      </w:r>
    </w:p>
    <w:p>
      <w:pPr>
        <w:spacing w:after="0" w:line="120"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An executive director shall receive such remuneration as the board may determine, and either in addition to or in lieu of his remuneration as a director as detailed above.</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Borrowing Powers</w:t>
      </w:r>
    </w:p>
    <w:p>
      <w:pPr>
        <w:spacing w:after="0" w:line="16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board may exercise all the powers to borrow money and to mortgage or charge our undertaking, property and assets (present or future) and uncalled capital or any part thereof and to issue debentures and other securities, whether outright or as collateral security for any debt, liability or obligation of us or of any third party.</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Indemnity</w:t>
      </w:r>
    </w:p>
    <w:p>
      <w:pPr>
        <w:spacing w:after="0" w:line="16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Every director, alternate director, other officer or auditor of our group may be indemnified against all costs, charges, expenses, losses and liabilities incurred by him in connection with any negligence, default, breach of duty or breach of trust by him in relation to us or in relation to the actual or purported execution or discharge of his duties or the exercise or purported exercise of his powers or otherwise in relation to such members of our group.</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U.K. Law Considerations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Mandatory Purchases and Acquisitions</w:t>
      </w:r>
    </w:p>
    <w:p>
      <w:pPr>
        <w:spacing w:after="0" w:line="146"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Pursuant to Sections 979 to 991 of the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Companies Act 2006 must, in general, be the same as the consideration that was available under the takeover offer.</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Sell Out</w:t>
      </w:r>
    </w:p>
    <w:p>
      <w:pPr>
        <w:spacing w:after="0" w:line="146"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rights to be bought out, the offeror is required to acquire those shares on the terms of this offer or on such other terms as may be agreed.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Disclosure of Interest in Shares</w:t>
      </w:r>
    </w:p>
    <w:p>
      <w:pPr>
        <w:spacing w:after="0" w:line="160"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Pursuant to Part 22 of the Companies Act 2006, we are empowered by notice in writing to any person whom we know or have reasonable cause to believe to be interested in our shares, or at any time during the three years immediately preceding the date on which the notice is issued has been so interested, within a reasonable time to disclose to us particulars of that person’s interest and (so far as is within his knowledge) particulars of any other interest that subsists or subsisted in those shares.</w:t>
      </w:r>
    </w:p>
    <w:p>
      <w:pPr>
        <w:spacing w:after="0" w:line="10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Under the Articles of Association, if a person defaults in supplying us with the required particulars in relation to the shares in question, or default shares within the prescribed period, the directors may by notice direct that:</w:t>
      </w:r>
    </w:p>
    <w:p>
      <w:pPr>
        <w:spacing w:after="0" w:line="108" w:lineRule="exact"/>
        <w:rPr>
          <w:sz w:val="20"/>
          <w:szCs w:val="20"/>
          <w:color w:val="auto"/>
        </w:rPr>
      </w:pPr>
    </w:p>
    <w:p>
      <w:pPr>
        <w:ind w:left="1620" w:right="439"/>
        <w:spacing w:after="0" w:line="266" w:lineRule="auto"/>
        <w:tabs>
          <w:tab w:leader="none" w:pos="176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default shares, the relevant member shall not be entitled to attend or vote (either in person or by proxy) at any general meeting or of a general meeting of the holders of a class of shares or upon any poll or to exercise any right conferred by the default shares;</w:t>
      </w:r>
    </w:p>
    <w:p>
      <w:pPr>
        <w:spacing w:after="0" w:line="108" w:lineRule="exact"/>
        <w:rPr>
          <w:rFonts w:ascii="Times New Roman" w:cs="Times New Roman" w:eastAsia="Times New Roman" w:hAnsi="Times New Roman"/>
          <w:sz w:val="18"/>
          <w:szCs w:val="18"/>
          <w:color w:val="auto"/>
        </w:rPr>
      </w:pPr>
    </w:p>
    <w:p>
      <w:pPr>
        <w:ind w:left="1620" w:right="619"/>
        <w:spacing w:after="0" w:line="282" w:lineRule="auto"/>
        <w:tabs>
          <w:tab w:leader="none" w:pos="176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default shares represent at least 0.25% of their class, (a) any dividend or other money payable in respect of the default shares shall be retained by us without liability to pay interest, and/or</w:t>
      </w:r>
    </w:p>
    <w:p>
      <w:pPr>
        <w:sectPr>
          <w:pgSz w:w="11900" w:h="16838" w:orient="portrait"/>
          <w:cols w:equalWidth="0" w:num="1">
            <w:col w:w="9879"/>
          </w:cols>
          <w:pgMar w:left="580" w:top="114"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739"/>
        <w:spacing w:after="0" w:line="281" w:lineRule="auto"/>
        <w:tabs>
          <w:tab w:leader="none" w:pos="188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transfers by the relevant member of any default shares may be registered (unless the member himself is not in default and the member proves to the satisfaction of the Board that no person in default as regards supplying such information is interested in any of the default shares); and/or</w:t>
      </w:r>
    </w:p>
    <w:p>
      <w:pPr>
        <w:spacing w:after="0" w:line="96" w:lineRule="exact"/>
        <w:rPr>
          <w:sz w:val="20"/>
          <w:szCs w:val="20"/>
          <w:color w:val="auto"/>
        </w:rPr>
      </w:pPr>
    </w:p>
    <w:p>
      <w:pPr>
        <w:ind w:left="1620" w:right="579"/>
        <w:spacing w:after="0" w:line="267" w:lineRule="auto"/>
        <w:tabs>
          <w:tab w:leader="none" w:pos="176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held by the relevant member in uncertificated form shall be converted into certificated form and that member shall not after that be entitled to convert all or any shares held by him into uncertificated form (unless the member himself is not in default as regards supplying the information required and the member proves to the satisfaction of the board that, after due and careful inquiry, the member is satisfied that none of the shares he is proposing to convert into uncertificated form is a default share).</w:t>
      </w: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Purchase of Own Shares</w:t>
      </w:r>
    </w:p>
    <w:p>
      <w:pPr>
        <w:spacing w:after="0" w:line="160" w:lineRule="exact"/>
        <w:rPr>
          <w:sz w:val="20"/>
          <w:szCs w:val="20"/>
          <w:color w:val="auto"/>
        </w:rPr>
      </w:pPr>
    </w:p>
    <w:p>
      <w:pPr>
        <w:ind w:left="1260" w:right="439" w:firstLine="360"/>
        <w:spacing w:after="0" w:line="267" w:lineRule="auto"/>
        <w:rPr>
          <w:sz w:val="20"/>
          <w:szCs w:val="20"/>
          <w:color w:val="auto"/>
        </w:rPr>
      </w:pPr>
      <w:r>
        <w:rPr>
          <w:rFonts w:ascii="Times New Roman" w:cs="Times New Roman" w:eastAsia="Times New Roman" w:hAnsi="Times New Roman"/>
          <w:sz w:val="18"/>
          <w:szCs w:val="18"/>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334" w:lineRule="exact"/>
        <w:rPr>
          <w:sz w:val="20"/>
          <w:szCs w:val="20"/>
          <w:color w:val="auto"/>
        </w:rPr>
      </w:pPr>
    </w:p>
    <w:p>
      <w:pPr>
        <w:ind w:left="1260" w:right="439" w:firstLine="360"/>
        <w:spacing w:after="0" w:line="274" w:lineRule="auto"/>
        <w:rPr>
          <w:sz w:val="20"/>
          <w:szCs w:val="20"/>
          <w:color w:val="auto"/>
        </w:rPr>
      </w:pPr>
      <w:r>
        <w:rPr>
          <w:rFonts w:ascii="Times New Roman" w:cs="Times New Roman" w:eastAsia="Times New Roman" w:hAnsi="Times New Roman"/>
          <w:sz w:val="18"/>
          <w:szCs w:val="18"/>
          <w:color w:val="auto"/>
        </w:rPr>
        <w:t>Subject to the above, we may purchase our own shares in the manner prescribed below. We may make a market purchase of our own fully paid shares pursuant to an ordinary resolution of shareholders. The resolution authorizing the purchase must:</w:t>
      </w:r>
    </w:p>
    <w:p>
      <w:pPr>
        <w:spacing w:after="0" w:line="88"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30"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94"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had not done so. The resolution authorizing the purchase must specify a date, not being later than five years after the passing of the resolution, on which the authority to purchase is to expire.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Distributions and Dividends</w:t>
      </w:r>
    </w:p>
    <w:p>
      <w:pPr>
        <w:spacing w:after="0" w:line="146"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Under the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12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It is not sufficient that we, as a public company, have made a distributable profit for the purpose of</w:t>
      </w:r>
    </w:p>
    <w:p>
      <w:pPr>
        <w:spacing w:after="0" w:line="27" w:lineRule="exact"/>
        <w:rPr>
          <w:sz w:val="20"/>
          <w:szCs w:val="20"/>
          <w:color w:val="auto"/>
        </w:rPr>
      </w:pPr>
    </w:p>
    <w:p>
      <w:pPr>
        <w:ind w:left="1260" w:right="439"/>
        <w:spacing w:after="0" w:line="271" w:lineRule="auto"/>
        <w:rPr>
          <w:sz w:val="20"/>
          <w:szCs w:val="20"/>
          <w:color w:val="auto"/>
        </w:rPr>
      </w:pPr>
      <w:r>
        <w:rPr>
          <w:rFonts w:ascii="Times New Roman" w:cs="Times New Roman" w:eastAsia="Times New Roman" w:hAnsi="Times New Roman"/>
          <w:sz w:val="18"/>
          <w:szCs w:val="18"/>
          <w:color w:val="auto"/>
        </w:rPr>
        <w:t>making a distribution. An additional capital maintenance requirement is imposed on us to ensure that the net worth of the company is at least equal to the amount of its capital. A public company can only make a distribution:</w:t>
      </w:r>
    </w:p>
    <w:p>
      <w:pPr>
        <w:spacing w:after="0" w:line="77" w:lineRule="exact"/>
        <w:rPr>
          <w:sz w:val="20"/>
          <w:szCs w:val="20"/>
          <w:color w:val="auto"/>
        </w:rPr>
      </w:pPr>
    </w:p>
    <w:p>
      <w:pPr>
        <w:ind w:left="1800" w:right="73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ectPr>
          <w:pgSz w:w="11900" w:h="16838" w:orient="portrait"/>
          <w:cols w:equalWidth="0" w:num="1">
            <w:col w:w="9879"/>
          </w:cols>
          <w:pgMar w:left="580" w:top="114"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Takeovers and Mergers</w:t>
      </w:r>
    </w:p>
    <w:p>
      <w:pPr>
        <w:spacing w:after="0" w:line="160"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Following our delisting from AIM, the U.K. Panel on Takeovers and Mergers has confirmed to us that the U.K. City Code on Takeovers and Mergers or the Code will not apply to us. However, we may become subject to the Code in the future if any changes to the board composition results in the majority of our directors being resident in the United Kingdom, Channel Islands or the Isle of Man. We have incorporated certain takeover protections in our articles of association so that we are able to defend ourselves and our shareholders from hostile takeovers.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60"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applicable provisions of the Companies Act 2006 differ from laws applicable to U.S. corporations and their shareholders. Set forth below is a summary of certain differences between the provisions of the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ectPr>
          <w:pgSz w:w="11900" w:h="16838" w:orient="portrait"/>
          <w:cols w:equalWidth="0" w:num="1">
            <w:col w:w="9879"/>
          </w:cols>
          <w:pgMar w:left="580" w:top="114" w:right="1440" w:bottom="1440" w:gutter="0" w:footer="0" w:header="0"/>
        </w:sectPr>
      </w:pPr>
    </w:p>
    <w:p>
      <w:pPr>
        <w:spacing w:after="0" w:line="368" w:lineRule="exact"/>
        <w:rPr>
          <w:sz w:val="20"/>
          <w:szCs w:val="20"/>
          <w:color w:val="auto"/>
        </w:rPr>
      </w:pPr>
    </w:p>
    <w:p>
      <w:pPr>
        <w:ind w:left="1260"/>
        <w:spacing w:after="0"/>
        <w:tabs>
          <w:tab w:leader="none" w:pos="210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​Number of Directors</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0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England and Wales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0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Under the Companies Act 2006, a</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Under Delaware law, a corporation</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public limited company must have at</w:t>
            </w:r>
          </w:p>
        </w:tc>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must have at least one director and the</w:t>
            </w:r>
          </w:p>
        </w:tc>
        <w:tc>
          <w:tcPr>
            <w:tcW w:w="6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least two directors and the number of</w:t>
            </w: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number of directors shall be fixed by or</w:t>
            </w:r>
          </w:p>
        </w:tc>
        <w:tc>
          <w:tcPr>
            <w:tcW w:w="60" w:type="dxa"/>
            <w:vAlign w:val="bottom"/>
          </w:tcPr>
          <w:p>
            <w:pPr>
              <w:spacing w:after="0"/>
              <w:rPr>
                <w:sz w:val="18"/>
                <w:szCs w:val="18"/>
                <w:color w:val="auto"/>
              </w:rPr>
            </w:pP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directors may be fixed by or in the</w:t>
            </w:r>
          </w:p>
        </w:tc>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 the manner provided in the bylaws.</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manner provided in a company’s</w:t>
            </w:r>
          </w:p>
        </w:tc>
        <w:tc>
          <w:tcPr>
            <w:tcW w:w="2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articles of association.</w:t>
            </w: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2820" w:space="160"/>
            <w:col w:w="6899"/>
          </w:cols>
          <w:pgMar w:left="580" w:top="114"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​Removal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​Vacancies on the</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Under the Companies Act 2006, shareholders may remove a director without cause by an ordinary resolution (which is passed by a simple majority of those voting in person or by proxy at a general meeting) irrespective of any provisions of any service contract the director has with the company, provided 28 clear days’ notice of the resolution has been given to the company and its shareholders. On receipt of notice of an intended resolution to remove a director, the company must forthwith send a copy of the notice to the director concerned. Certain other procedural requirements under the Companies Act 2006 must also be followed such as allowing the director to make representations against his or her removal either at the meeting or in writing.</w:t>
      </w:r>
    </w:p>
    <w:p>
      <w:pPr>
        <w:spacing w:after="0" w:line="23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Under English law, the procedure by which directors, other than a company’s initial directors, are appointed is generally set out in a company’s articles of association, provided that where two or more</w:t>
      </w:r>
    </w:p>
    <w:p>
      <w:pPr>
        <w:spacing w:after="0" w:line="200" w:lineRule="exact"/>
        <w:rPr>
          <w:sz w:val="20"/>
          <w:szCs w:val="20"/>
          <w:color w:val="auto"/>
        </w:rPr>
      </w:pPr>
    </w:p>
    <w:p>
      <w:pPr>
        <w:spacing w:after="0" w:line="2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12" w:right="40" w:hanging="212"/>
        <w:spacing w:after="0" w:line="266" w:lineRule="auto"/>
        <w:tabs>
          <w:tab w:leader="none" w:pos="10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217" w:lineRule="exact"/>
        <w:rPr>
          <w:rFonts w:ascii="Times New Roman" w:cs="Times New Roman" w:eastAsia="Times New Roman" w:hAnsi="Times New Roman"/>
          <w:sz w:val="18"/>
          <w:szCs w:val="18"/>
          <w:color w:val="auto"/>
        </w:rPr>
      </w:pPr>
    </w:p>
    <w:p>
      <w:pPr>
        <w:ind w:left="212" w:hanging="212"/>
        <w:spacing w:after="0" w:line="274" w:lineRule="auto"/>
        <w:tabs>
          <w:tab w:leader="none" w:pos="10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Under Delaware law, vacancies and newly created directorships may be filled by a majority of the directors then in office (even though less than a quorum) or by a sole remaining director unless (a) otherwise provided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5">
            <w:col w:w="2880" w:space="100"/>
            <w:col w:w="160" w:space="60"/>
            <w:col w:w="3020" w:space="8"/>
            <w:col w:w="3232" w:space="0"/>
            <w:col w:w="419"/>
          </w:cols>
          <w:pgMar w:left="580" w:top="114" w:right="1440"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60"/>
        <w:spacing w:after="0"/>
        <w:tabs>
          <w:tab w:leader="none" w:pos="210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​Annual General</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tabs>
          <w:tab w:leader="none" w:pos="1140" w:val="left"/>
          <w:tab w:leader="none" w:pos="3280" w:val="left"/>
          <w:tab w:leader="none" w:pos="4680" w:val="left"/>
          <w:tab w:leader="none" w:pos="64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England and Wales</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29210</wp:posOffset>
            </wp:positionV>
            <wp:extent cx="39776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persons are appointed as directors of a  ​ ​ in the certificate of incorporation or by-​</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public limited company by resolution</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laws of the corporation or (b) the</w:t>
            </w:r>
          </w:p>
        </w:tc>
        <w:tc>
          <w:tcPr>
            <w:tcW w:w="60" w:type="dxa"/>
            <w:vAlign w:val="bottom"/>
          </w:tcPr>
          <w:p>
            <w:pPr>
              <w:spacing w:after="0"/>
              <w:rPr>
                <w:sz w:val="19"/>
                <w:szCs w:val="19"/>
                <w:color w:val="auto"/>
              </w:rPr>
            </w:pPr>
          </w:p>
        </w:tc>
      </w:tr>
      <w:tr>
        <w:trPr>
          <w:trHeight w:val="229"/>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the shareholders, resolutions</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 of incorporation directs that</w:t>
            </w:r>
          </w:p>
        </w:tc>
        <w:tc>
          <w:tcPr>
            <w:tcW w:w="60" w:type="dxa"/>
            <w:vAlign w:val="bottom"/>
          </w:tcPr>
          <w:p>
            <w:pPr>
              <w:spacing w:after="0"/>
              <w:rPr>
                <w:sz w:val="19"/>
                <w:szCs w:val="19"/>
                <w:color w:val="auto"/>
              </w:rPr>
            </w:pPr>
          </w:p>
        </w:tc>
      </w:tr>
      <w:tr>
        <w:trPr>
          <w:trHeight w:val="230"/>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appointing each director must be voted</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 particular class of stock is to elect</w:t>
            </w:r>
          </w:p>
        </w:tc>
        <w:tc>
          <w:tcPr>
            <w:tcW w:w="60" w:type="dxa"/>
            <w:vAlign w:val="bottom"/>
          </w:tcPr>
          <w:p>
            <w:pPr>
              <w:spacing w:after="0"/>
              <w:rPr>
                <w:sz w:val="19"/>
                <w:szCs w:val="19"/>
                <w:color w:val="auto"/>
              </w:rPr>
            </w:pPr>
          </w:p>
        </w:tc>
      </w:tr>
      <w:tr>
        <w:trPr>
          <w:trHeight w:val="229"/>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on individually.</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such director, in which case a majority</w:t>
            </w:r>
          </w:p>
        </w:tc>
        <w:tc>
          <w:tcPr>
            <w:tcW w:w="60" w:type="dxa"/>
            <w:vAlign w:val="bottom"/>
          </w:tcPr>
          <w:p>
            <w:pPr>
              <w:spacing w:after="0"/>
              <w:rPr>
                <w:sz w:val="19"/>
                <w:szCs w:val="19"/>
                <w:color w:val="auto"/>
              </w:rPr>
            </w:pPr>
          </w:p>
        </w:tc>
      </w:tr>
      <w:tr>
        <w:trPr>
          <w:trHeight w:val="216"/>
        </w:trPr>
        <w:tc>
          <w:tcPr>
            <w:tcW w:w="3240" w:type="dxa"/>
            <w:vAlign w:val="bottom"/>
          </w:tcPr>
          <w:p>
            <w:pPr>
              <w:spacing w:after="0"/>
              <w:rPr>
                <w:sz w:val="18"/>
                <w:szCs w:val="18"/>
                <w:color w:val="auto"/>
              </w:rPr>
            </w:pP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the other directors elected by such</w:t>
            </w:r>
          </w:p>
        </w:tc>
        <w:tc>
          <w:tcPr>
            <w:tcW w:w="60" w:type="dxa"/>
            <w:vAlign w:val="bottom"/>
          </w:tcPr>
          <w:p>
            <w:pPr>
              <w:spacing w:after="0"/>
              <w:rPr>
                <w:sz w:val="18"/>
                <w:szCs w:val="18"/>
                <w:color w:val="auto"/>
              </w:rPr>
            </w:pPr>
          </w:p>
        </w:tc>
      </w:tr>
      <w:tr>
        <w:trPr>
          <w:trHeight w:val="230"/>
        </w:trPr>
        <w:tc>
          <w:tcPr>
            <w:tcW w:w="3240" w:type="dxa"/>
            <w:vAlign w:val="bottom"/>
          </w:tcPr>
          <w:p>
            <w:pPr>
              <w:spacing w:after="0"/>
              <w:rPr>
                <w:sz w:val="19"/>
                <w:szCs w:val="19"/>
                <w:color w:val="auto"/>
              </w:rPr>
            </w:pP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or a sole remaining director</w:t>
            </w:r>
          </w:p>
        </w:tc>
        <w:tc>
          <w:tcPr>
            <w:tcW w:w="60" w:type="dxa"/>
            <w:vAlign w:val="bottom"/>
          </w:tcPr>
          <w:p>
            <w:pPr>
              <w:spacing w:after="0"/>
              <w:rPr>
                <w:sz w:val="19"/>
                <w:szCs w:val="19"/>
                <w:color w:val="auto"/>
              </w:rPr>
            </w:pPr>
          </w:p>
        </w:tc>
      </w:tr>
      <w:tr>
        <w:trPr>
          <w:trHeight w:val="229"/>
        </w:trPr>
        <w:tc>
          <w:tcPr>
            <w:tcW w:w="3240" w:type="dxa"/>
            <w:vAlign w:val="bottom"/>
          </w:tcPr>
          <w:p>
            <w:pPr>
              <w:spacing w:after="0"/>
              <w:rPr>
                <w:sz w:val="19"/>
                <w:szCs w:val="19"/>
                <w:color w:val="auto"/>
              </w:rPr>
            </w:pP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elected by such class, will fill such</w:t>
            </w:r>
          </w:p>
        </w:tc>
        <w:tc>
          <w:tcPr>
            <w:tcW w:w="60" w:type="dxa"/>
            <w:vAlign w:val="bottom"/>
          </w:tcPr>
          <w:p>
            <w:pPr>
              <w:spacing w:after="0"/>
              <w:rPr>
                <w:sz w:val="19"/>
                <w:szCs w:val="19"/>
                <w:color w:val="auto"/>
              </w:rPr>
            </w:pPr>
          </w:p>
        </w:tc>
      </w:tr>
      <w:tr>
        <w:trPr>
          <w:trHeight w:val="229"/>
        </w:trPr>
        <w:tc>
          <w:tcPr>
            <w:tcW w:w="3240" w:type="dxa"/>
            <w:vAlign w:val="bottom"/>
          </w:tcPr>
          <w:p>
            <w:pPr>
              <w:spacing w:after="0"/>
              <w:rPr>
                <w:sz w:val="19"/>
                <w:szCs w:val="19"/>
                <w:color w:val="auto"/>
              </w:rPr>
            </w:pP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vacancy.</w:t>
            </w:r>
          </w:p>
        </w:tc>
        <w:tc>
          <w:tcPr>
            <w:tcW w:w="60" w:type="dxa"/>
            <w:vAlign w:val="bottom"/>
          </w:tcPr>
          <w:p>
            <w:pPr>
              <w:spacing w:after="0"/>
              <w:rPr>
                <w:sz w:val="19"/>
                <w:szCs w:val="19"/>
                <w:color w:val="auto"/>
              </w:rPr>
            </w:pPr>
          </w:p>
        </w:tc>
      </w:tr>
      <w:tr>
        <w:trPr>
          <w:trHeight w:val="25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 ​ Under the Companies Act 2006, a</w:t>
            </w: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 ​ Under Delaware law, the annual</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public limited company must hold an</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meeting of stockholders shall be held at</w:t>
            </w:r>
          </w:p>
        </w:tc>
        <w:tc>
          <w:tcPr>
            <w:tcW w:w="60" w:type="dxa"/>
            <w:vAlign w:val="bottom"/>
          </w:tcPr>
          <w:p>
            <w:pPr>
              <w:spacing w:after="0"/>
              <w:rPr>
                <w:sz w:val="19"/>
                <w:szCs w:val="19"/>
                <w:color w:val="auto"/>
              </w:rPr>
            </w:pPr>
          </w:p>
        </w:tc>
      </w:tr>
      <w:tr>
        <w:trPr>
          <w:trHeight w:val="230"/>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annual general meeting in each six-</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such place, on such date and at such</w:t>
            </w:r>
          </w:p>
        </w:tc>
        <w:tc>
          <w:tcPr>
            <w:tcW w:w="60" w:type="dxa"/>
            <w:vAlign w:val="bottom"/>
          </w:tcPr>
          <w:p>
            <w:pPr>
              <w:spacing w:after="0"/>
              <w:rPr>
                <w:sz w:val="19"/>
                <w:szCs w:val="19"/>
                <w:color w:val="auto"/>
              </w:rPr>
            </w:pPr>
          </w:p>
        </w:tc>
      </w:tr>
      <w:tr>
        <w:trPr>
          <w:trHeight w:val="229"/>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month period following the company’s</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time as may be designated from time to</w:t>
            </w:r>
          </w:p>
        </w:tc>
        <w:tc>
          <w:tcPr>
            <w:tcW w:w="60" w:type="dxa"/>
            <w:vAlign w:val="bottom"/>
          </w:tcPr>
          <w:p>
            <w:pPr>
              <w:spacing w:after="0"/>
              <w:rPr>
                <w:sz w:val="19"/>
                <w:szCs w:val="19"/>
                <w:color w:val="auto"/>
              </w:rPr>
            </w:pPr>
          </w:p>
        </w:tc>
      </w:tr>
      <w:tr>
        <w:trPr>
          <w:trHeight w:val="216"/>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annual accounting reference date.</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time by the board of directors or as</w:t>
            </w:r>
          </w:p>
        </w:tc>
        <w:tc>
          <w:tcPr>
            <w:tcW w:w="60" w:type="dxa"/>
            <w:vAlign w:val="bottom"/>
          </w:tcPr>
          <w:p>
            <w:pPr>
              <w:spacing w:after="0"/>
              <w:rPr>
                <w:sz w:val="18"/>
                <w:szCs w:val="18"/>
                <w:color w:val="auto"/>
              </w:rPr>
            </w:pPr>
          </w:p>
        </w:tc>
      </w:tr>
      <w:tr>
        <w:trPr>
          <w:trHeight w:val="230"/>
        </w:trPr>
        <w:tc>
          <w:tcPr>
            <w:tcW w:w="3240" w:type="dxa"/>
            <w:vAlign w:val="bottom"/>
          </w:tcPr>
          <w:p>
            <w:pPr>
              <w:spacing w:after="0"/>
              <w:rPr>
                <w:sz w:val="19"/>
                <w:szCs w:val="19"/>
                <w:color w:val="auto"/>
              </w:rPr>
            </w:pP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provided in the certificate of</w:t>
            </w:r>
          </w:p>
        </w:tc>
        <w:tc>
          <w:tcPr>
            <w:tcW w:w="60" w:type="dxa"/>
            <w:vAlign w:val="bottom"/>
          </w:tcPr>
          <w:p>
            <w:pPr>
              <w:spacing w:after="0"/>
              <w:rPr>
                <w:sz w:val="19"/>
                <w:szCs w:val="19"/>
                <w:color w:val="auto"/>
              </w:rPr>
            </w:pPr>
          </w:p>
        </w:tc>
      </w:tr>
      <w:tr>
        <w:trPr>
          <w:trHeight w:val="229"/>
        </w:trPr>
        <w:tc>
          <w:tcPr>
            <w:tcW w:w="3240" w:type="dxa"/>
            <w:vAlign w:val="bottom"/>
          </w:tcPr>
          <w:p>
            <w:pPr>
              <w:spacing w:after="0"/>
              <w:rPr>
                <w:sz w:val="19"/>
                <w:szCs w:val="19"/>
                <w:color w:val="auto"/>
              </w:rPr>
            </w:pP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incorporation or by the bylaws.</w:t>
            </w:r>
          </w:p>
        </w:tc>
        <w:tc>
          <w:tcPr>
            <w:tcW w:w="60" w:type="dxa"/>
            <w:vAlign w:val="bottom"/>
          </w:tcPr>
          <w:p>
            <w:pPr>
              <w:spacing w:after="0"/>
              <w:rPr>
                <w:sz w:val="19"/>
                <w:szCs w:val="19"/>
                <w:color w:val="auto"/>
              </w:rPr>
            </w:pPr>
          </w:p>
        </w:tc>
      </w:tr>
      <w:tr>
        <w:trPr>
          <w:trHeight w:val="25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 ​ Under the Companies Act 2006, a</w:t>
            </w: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 ​ Under Delaware law, special meetings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meeting of the shareholders of</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the stockholders may be called by</w:t>
            </w:r>
          </w:p>
        </w:tc>
        <w:tc>
          <w:tcPr>
            <w:tcW w:w="60" w:type="dxa"/>
            <w:vAlign w:val="bottom"/>
          </w:tcPr>
          <w:p>
            <w:pPr>
              <w:spacing w:after="0"/>
              <w:rPr>
                <w:sz w:val="19"/>
                <w:szCs w:val="19"/>
                <w:color w:val="auto"/>
              </w:rPr>
            </w:pPr>
          </w:p>
        </w:tc>
      </w:tr>
      <w:tr>
        <w:trPr>
          <w:trHeight w:val="230"/>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 public limited company may be called</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board of directors or by such person</w:t>
            </w:r>
          </w:p>
        </w:tc>
        <w:tc>
          <w:tcPr>
            <w:tcW w:w="60" w:type="dxa"/>
            <w:vAlign w:val="bottom"/>
          </w:tcPr>
          <w:p>
            <w:pPr>
              <w:spacing w:after="0"/>
              <w:rPr>
                <w:sz w:val="19"/>
                <w:szCs w:val="19"/>
                <w:color w:val="auto"/>
              </w:rPr>
            </w:pPr>
          </w:p>
        </w:tc>
      </w:tr>
      <w:tr>
        <w:trPr>
          <w:trHeight w:val="229"/>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 the directors.</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 persons as may be authorized by the</w:t>
            </w:r>
          </w:p>
        </w:tc>
        <w:tc>
          <w:tcPr>
            <w:tcW w:w="60" w:type="dxa"/>
            <w:vAlign w:val="bottom"/>
          </w:tcPr>
          <w:p>
            <w:pPr>
              <w:spacing w:after="0"/>
              <w:rPr>
                <w:sz w:val="19"/>
                <w:szCs w:val="19"/>
                <w:color w:val="auto"/>
              </w:rPr>
            </w:pPr>
          </w:p>
        </w:tc>
      </w:tr>
      <w:tr>
        <w:trPr>
          <w:trHeight w:val="216"/>
        </w:trPr>
        <w:tc>
          <w:tcPr>
            <w:tcW w:w="3240" w:type="dxa"/>
            <w:vAlign w:val="bottom"/>
          </w:tcPr>
          <w:p>
            <w:pPr>
              <w:spacing w:after="0"/>
              <w:rPr>
                <w:sz w:val="18"/>
                <w:szCs w:val="18"/>
                <w:color w:val="auto"/>
              </w:rPr>
            </w:pP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 of incorporation or by the</w:t>
            </w:r>
          </w:p>
        </w:tc>
        <w:tc>
          <w:tcPr>
            <w:tcW w:w="60" w:type="dxa"/>
            <w:vAlign w:val="bottom"/>
          </w:tcPr>
          <w:p>
            <w:pPr>
              <w:spacing w:after="0"/>
              <w:rPr>
                <w:sz w:val="18"/>
                <w:szCs w:val="18"/>
                <w:color w:val="auto"/>
              </w:rPr>
            </w:pPr>
          </w:p>
        </w:tc>
      </w:tr>
      <w:tr>
        <w:trPr>
          <w:trHeight w:val="230"/>
        </w:trPr>
        <w:tc>
          <w:tcPr>
            <w:tcW w:w="3240" w:type="dxa"/>
            <w:vAlign w:val="bottom"/>
          </w:tcPr>
          <w:p>
            <w:pPr>
              <w:spacing w:after="0"/>
              <w:rPr>
                <w:sz w:val="19"/>
                <w:szCs w:val="19"/>
                <w:color w:val="auto"/>
              </w:rPr>
            </w:pP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bylaws.</w:t>
            </w:r>
          </w:p>
        </w:tc>
        <w:tc>
          <w:tcPr>
            <w:tcW w:w="60" w:type="dxa"/>
            <w:vAlign w:val="bottom"/>
          </w:tcPr>
          <w:p>
            <w:pPr>
              <w:spacing w:after="0"/>
              <w:rPr>
                <w:sz w:val="19"/>
                <w:szCs w:val="19"/>
                <w:color w:val="auto"/>
              </w:rPr>
            </w:pPr>
          </w:p>
        </w:tc>
      </w:tr>
      <w:tr>
        <w:trPr>
          <w:trHeight w:val="25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Shareholders holding at least 5% of the ​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paid-up capital of the company carrying</w:t>
            </w:r>
          </w:p>
        </w:tc>
        <w:tc>
          <w:tcPr>
            <w:tcW w:w="32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voting rights at general meetings</w:t>
            </w:r>
          </w:p>
        </w:tc>
        <w:tc>
          <w:tcPr>
            <w:tcW w:w="32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(excluding nay paid up capital held as</w:t>
            </w:r>
          </w:p>
        </w:tc>
        <w:tc>
          <w:tcPr>
            <w:tcW w:w="32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shares) can require the</w:t>
            </w:r>
          </w:p>
        </w:tc>
        <w:tc>
          <w:tcPr>
            <w:tcW w:w="32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ind w:left="220"/>
        <w:spacing w:after="0"/>
        <w:rPr>
          <w:sz w:val="20"/>
          <w:szCs w:val="20"/>
          <w:color w:val="auto"/>
        </w:rPr>
      </w:pPr>
      <w:r>
        <w:rPr>
          <w:rFonts w:ascii="Times New Roman" w:cs="Times New Roman" w:eastAsia="Times New Roman" w:hAnsi="Times New Roman"/>
          <w:sz w:val="18"/>
          <w:szCs w:val="18"/>
          <w:color w:val="auto"/>
        </w:rPr>
        <w:t>directors to call a general meeting and,</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if the directors fail to do so within a</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certain period, may themselves convene</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 general meeting.</w:t>
      </w:r>
    </w:p>
    <w:p>
      <w:pPr>
        <w:spacing w:after="0" w:line="23" w:lineRule="exact"/>
        <w:rPr>
          <w:sz w:val="20"/>
          <w:szCs w:val="20"/>
          <w:color w:val="auto"/>
        </w:rPr>
      </w:pPr>
    </w:p>
    <w:p>
      <w:pPr>
        <w:sectPr>
          <w:pgSz w:w="11900" w:h="16838" w:orient="portrait"/>
          <w:cols w:equalWidth="0" w:num="2">
            <w:col w:w="2520" w:space="460"/>
            <w:col w:w="6899"/>
          </w:cols>
          <w:pgMar w:left="580" w:top="114" w:right="1440"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color w:val="auto"/>
        </w:rPr>
        <w:t>​Notice of General</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Meetings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 Under the Companies Act 2006,</w:t>
      </w:r>
    </w:p>
    <w:p>
      <w:pPr>
        <w:spacing w:after="0" w:line="50" w:lineRule="exact"/>
        <w:rPr>
          <w:sz w:val="20"/>
          <w:szCs w:val="20"/>
          <w:color w:val="auto"/>
        </w:rPr>
      </w:pPr>
    </w:p>
    <w:p>
      <w:pPr>
        <w:ind w:left="220"/>
        <w:spacing w:after="0" w:line="246" w:lineRule="auto"/>
        <w:rPr>
          <w:sz w:val="20"/>
          <w:szCs w:val="20"/>
          <w:color w:val="auto"/>
        </w:rPr>
      </w:pPr>
      <w:r>
        <w:rPr>
          <w:rFonts w:ascii="Times New Roman" w:cs="Times New Roman" w:eastAsia="Times New Roman" w:hAnsi="Times New Roman"/>
          <w:sz w:val="18"/>
          <w:szCs w:val="18"/>
          <w:color w:val="auto"/>
        </w:rPr>
        <w:t>21 clear days’ notice must be given for an annual general meeting and any resolutions to be proposed at the meeting. Subject to a company’s articles of association providing for a longer period, at least 14 clear days’ notice is required for any other general meeting. In addition, certain matters, such as the removal of directors or auditors, require special notice, which is 28 clear days’ notice. The shareholders of a company may in all cases consent to a shorter notice period, the proportion of shareholders’ consent required being 100% of those entitled to attend and vote in the case of an annual general meeting and, in the case of any other general meeting, a</w:t>
      </w:r>
    </w:p>
    <w:p>
      <w:pPr>
        <w:spacing w:after="0" w:line="20" w:lineRule="exact"/>
        <w:rPr>
          <w:sz w:val="20"/>
          <w:szCs w:val="20"/>
          <w:color w:val="auto"/>
        </w:rPr>
      </w:pPr>
      <w:r>
        <w:rPr>
          <w:sz w:val="20"/>
          <w:szCs w:val="20"/>
          <w:color w:val="auto"/>
        </w:rPr>
        <w:br w:type="column"/>
      </w:r>
    </w:p>
    <w:p>
      <w:pPr>
        <w:ind w:right="359" w:hanging="215"/>
        <w:spacing w:after="0" w:line="271" w:lineRule="auto"/>
        <w:rPr>
          <w:sz w:val="20"/>
          <w:szCs w:val="20"/>
          <w:color w:val="auto"/>
        </w:rPr>
      </w:pPr>
      <w:r>
        <w:rPr>
          <w:rFonts w:ascii="Times New Roman" w:cs="Times New Roman" w:eastAsia="Times New Roman" w:hAnsi="Times New Roman"/>
          <w:sz w:val="18"/>
          <w:szCs w:val="18"/>
          <w:color w:val="auto"/>
        </w:rPr>
        <w:t>​ ​ Under Delaware law, unless otherwise ​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pacing w:after="0" w:line="2171" w:lineRule="exact"/>
        <w:rPr>
          <w:sz w:val="20"/>
          <w:szCs w:val="20"/>
          <w:color w:val="auto"/>
        </w:rPr>
      </w:pPr>
    </w:p>
    <w:p>
      <w:pPr>
        <w:sectPr>
          <w:pgSz w:w="11900" w:h="16838" w:orient="portrait"/>
          <w:cols w:equalWidth="0" w:num="3">
            <w:col w:w="2600" w:space="380"/>
            <w:col w:w="3240" w:space="220"/>
            <w:col w:w="3439"/>
          </w:cols>
          <w:pgMar w:left="580" w:top="114" w:right="1440" w:bottom="1440" w:gutter="0" w:footer="0" w:header="0"/>
          <w:type w:val="continuous"/>
        </w:sectPr>
      </w:pPr>
    </w:p>
    <w:p>
      <w:pPr>
        <w:spacing w:after="0" w:line="1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260"/>
        <w:spacing w:after="0"/>
        <w:tabs>
          <w:tab w:leader="none" w:pos="210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1080" w:val="left"/>
          <w:tab w:leader="none" w:pos="3220" w:val="left"/>
          <w:tab w:leader="none" w:pos="4620" w:val="left"/>
          <w:tab w:leader="none" w:pos="640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England and Wales</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29210</wp:posOffset>
            </wp:positionV>
            <wp:extent cx="39776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2320" w:space="720"/>
            <w:col w:w="6839"/>
          </w:cols>
          <w:pgMar w:left="580" w:top="114" w:right="1440"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​Pre-emptive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​Authority to Allot</w:t>
      </w:r>
    </w:p>
    <w:p>
      <w:pPr>
        <w:spacing w:after="0" w:line="20" w:lineRule="exact"/>
        <w:rPr>
          <w:sz w:val="20"/>
          <w:szCs w:val="20"/>
          <w:color w:val="auto"/>
        </w:rPr>
      </w:pPr>
      <w:r>
        <w:rPr>
          <w:sz w:val="20"/>
          <w:szCs w:val="20"/>
          <w:color w:val="auto"/>
        </w:rPr>
        <w:br w:type="column"/>
      </w:r>
    </w:p>
    <w:p>
      <w:pPr>
        <w:ind w:left="212" w:right="40" w:hanging="212"/>
        <w:spacing w:after="0" w:line="252" w:lineRule="auto"/>
        <w:tabs>
          <w:tab w:leader="none" w:pos="1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majority in number of the members having a right to attend and vote at the meeting, being a majority who together hold not less than 95% in nominal value of the shares giving a right to attend and vote at the meeting.</w:t>
      </w:r>
    </w:p>
    <w:p>
      <w:pPr>
        <w:spacing w:after="0" w:line="1" w:lineRule="exact"/>
        <w:rPr>
          <w:rFonts w:ascii="Times New Roman" w:cs="Times New Roman" w:eastAsia="Times New Roman" w:hAnsi="Times New Roman"/>
          <w:sz w:val="18"/>
          <w:szCs w:val="18"/>
          <w:color w:val="auto"/>
        </w:rPr>
      </w:pPr>
    </w:p>
    <w:p>
      <w:pPr>
        <w:ind w:left="212" w:right="20" w:hanging="212"/>
        <w:spacing w:after="0" w:line="272" w:lineRule="auto"/>
        <w:tabs>
          <w:tab w:leader="none" w:pos="1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Under the Companies Act 2006, at any meeting of shareholders, a shareholder may designate another person to attend, speak and vote at the meeting on their behalf by proxy.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0" w:lineRule="exact"/>
        <w:rPr>
          <w:rFonts w:ascii="Times New Roman" w:cs="Times New Roman" w:eastAsia="Times New Roman" w:hAnsi="Times New Roman"/>
          <w:sz w:val="18"/>
          <w:szCs w:val="18"/>
          <w:color w:val="auto"/>
        </w:rPr>
      </w:pPr>
    </w:p>
    <w:p>
      <w:pPr>
        <w:ind w:left="212" w:hanging="212"/>
        <w:spacing w:after="0" w:line="267" w:lineRule="auto"/>
        <w:tabs>
          <w:tab w:leader="none" w:pos="1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Under the Companies Act 2006, “equity securities”, being (i) shares in the company other than shares that, with respect to dividends and capital, carry a right to participate only up to a specified amount in a distribution (“ordinary shares”) or (ii) rights to subscribe for, or to convert securities into, ordinary shares, proposed to be allotted for cash must be offered first to the existing equity shareholders in the company in proportion to the respective nominal value of their holdings, unless an exception applies or a special resolution to the contrary has been passed by shareholders in a general meeting or the articles of association provide otherwise in each case in accordance with the provisions of the Companies Act 2006.</w:t>
      </w:r>
    </w:p>
    <w:p>
      <w:pPr>
        <w:spacing w:after="0" w:line="206" w:lineRule="exact"/>
        <w:rPr>
          <w:rFonts w:ascii="Times New Roman" w:cs="Times New Roman" w:eastAsia="Times New Roman" w:hAnsi="Times New Roman"/>
          <w:sz w:val="18"/>
          <w:szCs w:val="18"/>
          <w:color w:val="auto"/>
        </w:rPr>
      </w:pPr>
    </w:p>
    <w:p>
      <w:pPr>
        <w:ind w:left="212" w:hanging="212"/>
        <w:spacing w:after="0" w:line="270" w:lineRule="auto"/>
        <w:tabs>
          <w:tab w:leader="none" w:pos="1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Under the Companies Act 2006, the directors of a company must not allot shares or grant of rights to subscribe for or to convert any security into shares unless an exception applies or an ordinary resolution to the contrary has been passed by shareholders in a general meeting or the articles of association provide otherwise in each case in accordance with the provisions of the Companies Act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52"/>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22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right="359" w:hanging="215"/>
        <w:spacing w:after="0" w:line="268" w:lineRule="auto"/>
        <w:rPr>
          <w:sz w:val="20"/>
          <w:szCs w:val="20"/>
          <w:color w:val="auto"/>
        </w:rPr>
      </w:pPr>
      <w:r>
        <w:rPr>
          <w:rFonts w:ascii="Times New Roman" w:cs="Times New Roman" w:eastAsia="Times New Roman" w:hAnsi="Times New Roman"/>
          <w:sz w:val="18"/>
          <w:szCs w:val="18"/>
          <w:color w:val="auto"/>
        </w:rPr>
        <w:t>​ ​ Under Delaware law, at any meeting of ​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2" w:lineRule="exact"/>
        <w:rPr>
          <w:sz w:val="20"/>
          <w:szCs w:val="20"/>
          <w:color w:val="auto"/>
        </w:rPr>
      </w:pPr>
    </w:p>
    <w:p>
      <w:pPr>
        <w:ind w:left="220" w:right="359" w:hanging="215"/>
        <w:spacing w:after="0" w:line="270" w:lineRule="auto"/>
        <w:rPr>
          <w:sz w:val="20"/>
          <w:szCs w:val="20"/>
          <w:color w:val="auto"/>
        </w:rPr>
      </w:pPr>
      <w:r>
        <w:rPr>
          <w:rFonts w:ascii="Times New Roman" w:cs="Times New Roman" w:eastAsia="Times New Roman" w:hAnsi="Times New Roman"/>
          <w:sz w:val="18"/>
          <w:szCs w:val="18"/>
          <w:color w:val="auto"/>
        </w:rPr>
        <w:t>​ ​ Under Delaware law, shareholders have ​ no preemptive rights to subscribe to additional issues of stock or to any security convertible into such stock unless, and except to the extent that, such rights are expressly provided for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 ​ Under Delaware law, if the</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corporation’s charter or certificate of</w:t>
            </w:r>
          </w:p>
        </w:tc>
        <w:tc>
          <w:tcPr>
            <w:tcW w:w="80" w:type="dxa"/>
            <w:vAlign w:val="bottom"/>
          </w:tcPr>
          <w:p>
            <w:pPr>
              <w:spacing w:after="0"/>
              <w:rPr>
                <w:sz w:val="19"/>
                <w:szCs w:val="19"/>
                <w:color w:val="auto"/>
              </w:rPr>
            </w:pPr>
          </w:p>
        </w:tc>
      </w:tr>
      <w:tr>
        <w:trPr>
          <w:trHeight w:val="230"/>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incorporation so provides, the board of</w:t>
            </w:r>
          </w:p>
        </w:tc>
        <w:tc>
          <w:tcPr>
            <w:tcW w:w="80" w:type="dxa"/>
            <w:vAlign w:val="bottom"/>
          </w:tcPr>
          <w:p>
            <w:pPr>
              <w:spacing w:after="0"/>
              <w:rPr>
                <w:sz w:val="19"/>
                <w:szCs w:val="19"/>
                <w:color w:val="auto"/>
              </w:rPr>
            </w:pPr>
          </w:p>
        </w:tc>
      </w:tr>
      <w:tr>
        <w:trPr>
          <w:trHeight w:val="230"/>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directors has the power to authorize the</w:t>
            </w:r>
          </w:p>
        </w:tc>
        <w:tc>
          <w:tcPr>
            <w:tcW w:w="80" w:type="dxa"/>
            <w:vAlign w:val="bottom"/>
          </w:tcPr>
          <w:p>
            <w:pPr>
              <w:spacing w:after="0"/>
              <w:rPr>
                <w:sz w:val="19"/>
                <w:szCs w:val="19"/>
                <w:color w:val="auto"/>
              </w:rPr>
            </w:pPr>
          </w:p>
        </w:tc>
      </w:tr>
      <w:tr>
        <w:trPr>
          <w:trHeight w:val="230"/>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stock. It may authorize</w:t>
            </w:r>
          </w:p>
        </w:tc>
        <w:tc>
          <w:tcPr>
            <w:tcW w:w="80" w:type="dxa"/>
            <w:vAlign w:val="bottom"/>
          </w:tcPr>
          <w:p>
            <w:pPr>
              <w:spacing w:after="0"/>
              <w:rPr>
                <w:sz w:val="19"/>
                <w:szCs w:val="19"/>
                <w:color w:val="auto"/>
              </w:rPr>
            </w:pPr>
          </w:p>
        </w:tc>
      </w:tr>
      <w:tr>
        <w:trPr>
          <w:trHeight w:val="216"/>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stock to be issued for</w:t>
            </w:r>
          </w:p>
        </w:tc>
        <w:tc>
          <w:tcPr>
            <w:tcW w:w="80" w:type="dxa"/>
            <w:vAlign w:val="bottom"/>
          </w:tcPr>
          <w:p>
            <w:pPr>
              <w:spacing w:after="0"/>
              <w:rPr>
                <w:sz w:val="18"/>
                <w:szCs w:val="18"/>
                <w:color w:val="auto"/>
              </w:rPr>
            </w:pPr>
          </w:p>
        </w:tc>
      </w:tr>
      <w:tr>
        <w:trPr>
          <w:trHeight w:val="230"/>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consideration consisting of cash, any</w:t>
            </w:r>
          </w:p>
        </w:tc>
        <w:tc>
          <w:tcPr>
            <w:tcW w:w="80" w:type="dxa"/>
            <w:vAlign w:val="bottom"/>
          </w:tcPr>
          <w:p>
            <w:pPr>
              <w:spacing w:after="0"/>
              <w:rPr>
                <w:sz w:val="19"/>
                <w:szCs w:val="19"/>
                <w:color w:val="auto"/>
              </w:rPr>
            </w:pPr>
          </w:p>
        </w:tc>
      </w:tr>
      <w:tr>
        <w:trPr>
          <w:trHeight w:val="229"/>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tangible or intangible property or any</w:t>
            </w:r>
          </w:p>
        </w:tc>
        <w:tc>
          <w:tcPr>
            <w:tcW w:w="80" w:type="dxa"/>
            <w:vAlign w:val="bottom"/>
          </w:tcPr>
          <w:p>
            <w:pPr>
              <w:spacing w:after="0"/>
              <w:rPr>
                <w:sz w:val="19"/>
                <w:szCs w:val="19"/>
                <w:color w:val="auto"/>
              </w:rPr>
            </w:pPr>
          </w:p>
        </w:tc>
      </w:tr>
      <w:tr>
        <w:trPr>
          <w:trHeight w:val="230"/>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 to the corporation or any</w:t>
            </w:r>
          </w:p>
        </w:tc>
        <w:tc>
          <w:tcPr>
            <w:tcW w:w="80" w:type="dxa"/>
            <w:vAlign w:val="bottom"/>
          </w:tcPr>
          <w:p>
            <w:pPr>
              <w:spacing w:after="0"/>
              <w:rPr>
                <w:sz w:val="19"/>
                <w:szCs w:val="19"/>
                <w:color w:val="auto"/>
              </w:rPr>
            </w:pPr>
          </w:p>
        </w:tc>
      </w:tr>
      <w:tr>
        <w:trPr>
          <w:trHeight w:val="230"/>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combination thereof. It may determine</w:t>
            </w:r>
          </w:p>
        </w:tc>
        <w:tc>
          <w:tcPr>
            <w:tcW w:w="80" w:type="dxa"/>
            <w:vAlign w:val="bottom"/>
          </w:tcPr>
          <w:p>
            <w:pPr>
              <w:spacing w:after="0"/>
              <w:rPr>
                <w:sz w:val="19"/>
                <w:szCs w:val="19"/>
                <w:color w:val="auto"/>
              </w:rPr>
            </w:pPr>
          </w:p>
        </w:tc>
      </w:tr>
      <w:tr>
        <w:trPr>
          <w:trHeight w:val="229"/>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amount of such consideration by</w:t>
            </w:r>
          </w:p>
        </w:tc>
        <w:tc>
          <w:tcPr>
            <w:tcW w:w="80" w:type="dxa"/>
            <w:vAlign w:val="bottom"/>
          </w:tcPr>
          <w:p>
            <w:pPr>
              <w:spacing w:after="0"/>
              <w:rPr>
                <w:sz w:val="19"/>
                <w:szCs w:val="19"/>
                <w:color w:val="auto"/>
              </w:rPr>
            </w:pPr>
          </w:p>
        </w:tc>
      </w:tr>
      <w:tr>
        <w:trPr>
          <w:trHeight w:val="216"/>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approving a formula. In the absence of</w:t>
            </w:r>
          </w:p>
        </w:tc>
        <w:tc>
          <w:tcPr>
            <w:tcW w:w="80" w:type="dxa"/>
            <w:vAlign w:val="bottom"/>
          </w:tcPr>
          <w:p>
            <w:pPr>
              <w:spacing w:after="0"/>
              <w:rPr>
                <w:sz w:val="18"/>
                <w:szCs w:val="18"/>
                <w:color w:val="auto"/>
              </w:rPr>
            </w:pPr>
          </w:p>
        </w:tc>
      </w:tr>
      <w:tr>
        <w:trPr>
          <w:trHeight w:val="234"/>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actual fraud in the transaction, the</w:t>
            </w:r>
          </w:p>
        </w:tc>
        <w:tc>
          <w:tcPr>
            <w:tcW w:w="80" w:type="dxa"/>
            <w:vAlign w:val="bottom"/>
          </w:tcPr>
          <w:p>
            <w:pPr>
              <w:spacing w:after="0"/>
              <w:rPr>
                <w:sz w:val="20"/>
                <w:szCs w:val="20"/>
                <w:color w:val="auto"/>
              </w:rPr>
            </w:pPr>
          </w:p>
        </w:tc>
      </w:tr>
    </w:tbl>
    <w:p>
      <w:pPr>
        <w:sectPr>
          <w:pgSz w:w="11900" w:h="16838" w:orient="portrait"/>
          <w:cols w:equalWidth="0" w:num="3">
            <w:col w:w="2720" w:space="268"/>
            <w:col w:w="3232" w:space="0"/>
            <w:col w:w="3659"/>
          </w:cols>
          <w:pgMar w:left="580" w:top="114" w:right="1440"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260"/>
        <w:spacing w:after="0"/>
        <w:tabs>
          <w:tab w:leader="none" w:pos="210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1080" w:val="left"/>
          <w:tab w:leader="none" w:pos="3220" w:val="left"/>
          <w:tab w:leader="none" w:pos="4620" w:val="left"/>
          <w:tab w:leader="none" w:pos="640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England and Wales</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29210</wp:posOffset>
            </wp:positionV>
            <wp:extent cx="19202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2320" w:space="720"/>
            <w:col w:w="6839"/>
          </w:cols>
          <w:pgMar w:left="580" w:top="114" w:right="1440"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7" w:lineRule="exact"/>
        <w:rPr>
          <w:sz w:val="20"/>
          <w:szCs w:val="20"/>
          <w:color w:val="auto"/>
        </w:rPr>
      </w:pPr>
    </w:p>
    <w:p>
      <w:pPr>
        <w:ind w:left="1260"/>
        <w:spacing w:after="0" w:line="329" w:lineRule="auto"/>
        <w:rPr>
          <w:sz w:val="20"/>
          <w:szCs w:val="20"/>
          <w:color w:val="auto"/>
        </w:rPr>
      </w:pPr>
      <w:r>
        <w:rPr>
          <w:rFonts w:ascii="Times New Roman" w:cs="Times New Roman" w:eastAsia="Times New Roman" w:hAnsi="Times New Roman"/>
          <w:sz w:val="18"/>
          <w:szCs w:val="18"/>
          <w:color w:val="auto"/>
        </w:rPr>
        <w:t>​Liability of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​Voting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77" w:lineRule="exact"/>
        <w:rPr>
          <w:sz w:val="20"/>
          <w:szCs w:val="20"/>
          <w:color w:val="auto"/>
        </w:rPr>
      </w:pPr>
    </w:p>
    <w:p>
      <w:pPr>
        <w:ind w:left="220" w:right="40" w:hanging="212"/>
        <w:spacing w:after="0" w:line="268" w:lineRule="auto"/>
        <w:tabs>
          <w:tab w:leader="none" w:pos="1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Under the Companies Act 2006, any provision, whether contained in a company’s articles of association or any contract or otherwise, that purports to exempt a director of a company, to any extent, from any liability that would otherwise attach to him in connection with any negligence, default, breach of duty or breach of trust in relation to the company is void.</w:t>
      </w:r>
    </w:p>
    <w:p>
      <w:pPr>
        <w:spacing w:after="0" w:line="2" w:lineRule="exact"/>
        <w:rPr>
          <w:rFonts w:ascii="Times New Roman" w:cs="Times New Roman" w:eastAsia="Times New Roman" w:hAnsi="Times New Roman"/>
          <w:sz w:val="18"/>
          <w:szCs w:val="18"/>
          <w:color w:val="auto"/>
        </w:rPr>
      </w:pPr>
    </w:p>
    <w:p>
      <w:pPr>
        <w:ind w:left="220" w:right="60" w:hanging="212"/>
        <w:spacing w:after="0" w:line="266" w:lineRule="auto"/>
        <w:tabs>
          <w:tab w:leader="none" w:pos="1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provision by which a company directly or indirectly provides an indemnity, to any extent, for a director of the company or of an associated company against any liability attaching to him in connection with any negligence, default, breach of duty or breach of trust in relation to the company of which he is a director is also void except as permitted by the Companies Act 2006, which provides exceptions for the company to</w:t>
      </w:r>
    </w:p>
    <w:p>
      <w:pPr>
        <w:spacing w:after="0" w:line="1" w:lineRule="exact"/>
        <w:rPr>
          <w:rFonts w:ascii="Times New Roman" w:cs="Times New Roman" w:eastAsia="Times New Roman" w:hAnsi="Times New Roman"/>
          <w:sz w:val="18"/>
          <w:szCs w:val="18"/>
          <w:color w:val="auto"/>
        </w:rPr>
      </w:pPr>
    </w:p>
    <w:p>
      <w:pPr>
        <w:ind w:left="220" w:right="100" w:firstLine="4"/>
        <w:spacing w:after="0" w:line="262" w:lineRule="auto"/>
        <w:tabs>
          <w:tab w:leader="none" w:pos="47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and maintain insurance against such liability; (b) provide a “qualifying third party indemnity” (being an indemnity against liability incurred by the director to a person other than the company or an associated company or criminal proceedings in which he is convicted); and (c) provide a “qualifying pension</w:t>
      </w:r>
    </w:p>
    <w:p>
      <w:pPr>
        <w:spacing w:after="0" w:line="4" w:lineRule="exact"/>
        <w:rPr>
          <w:rFonts w:ascii="Times New Roman" w:cs="Times New Roman" w:eastAsia="Times New Roman" w:hAnsi="Times New Roman"/>
          <w:sz w:val="18"/>
          <w:szCs w:val="18"/>
          <w:color w:val="auto"/>
        </w:rPr>
      </w:pPr>
    </w:p>
    <w:p>
      <w:pPr>
        <w:ind w:left="22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scheme indemnity” (being​ an indemnity against liability incurred in connection with the company’s activities as trustee of an occupational pension plan).</w:t>
      </w:r>
    </w:p>
    <w:p>
      <w:pPr>
        <w:spacing w:after="0" w:line="8" w:lineRule="exact"/>
        <w:rPr>
          <w:rFonts w:ascii="Times New Roman" w:cs="Times New Roman" w:eastAsia="Times New Roman" w:hAnsi="Times New Roman"/>
          <w:sz w:val="18"/>
          <w:szCs w:val="18"/>
          <w:color w:val="auto"/>
        </w:rPr>
      </w:pPr>
    </w:p>
    <w:p>
      <w:pPr>
        <w:ind w:left="220" w:right="20" w:hanging="212"/>
        <w:spacing w:after="0" w:line="268" w:lineRule="auto"/>
        <w:tabs>
          <w:tab w:leader="none" w:pos="1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Under English law, unless a poll is demanded by the shareholders of a company or is required by the chairman of the meeting or the company’s articles of association, shareholders shall vote on all resolutions on a show of hands. Under the Companies Act 2006, a poll may be demanded by</w:t>
      </w:r>
    </w:p>
    <w:p>
      <w:pPr>
        <w:spacing w:after="0" w:line="5" w:lineRule="exact"/>
        <w:rPr>
          <w:rFonts w:ascii="Times New Roman" w:cs="Times New Roman" w:eastAsia="Times New Roman" w:hAnsi="Times New Roman"/>
          <w:sz w:val="18"/>
          <w:szCs w:val="18"/>
          <w:color w:val="auto"/>
        </w:rPr>
      </w:pPr>
    </w:p>
    <w:p>
      <w:pPr>
        <w:ind w:left="220" w:right="320" w:firstLine="4"/>
        <w:spacing w:after="0" w:line="279" w:lineRule="auto"/>
        <w:tabs>
          <w:tab w:leader="none" w:pos="47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fewer than five shareholders having the right to vote on the resolution; (b) any</w:t>
      </w:r>
    </w:p>
    <w:p>
      <w:pPr>
        <w:spacing w:after="0" w:line="35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2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8"/>
        </w:trPr>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 ​ judgment of the directors as to the</w:t>
            </w:r>
          </w:p>
        </w:tc>
        <w:tc>
          <w:tcPr>
            <w:tcW w:w="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value of such consideration is</w:t>
            </w:r>
          </w:p>
        </w:tc>
        <w:tc>
          <w:tcPr>
            <w:tcW w:w="6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conclusive.</w:t>
            </w:r>
          </w:p>
        </w:tc>
        <w:tc>
          <w:tcPr>
            <w:tcW w:w="60" w:type="dxa"/>
            <w:vAlign w:val="bottom"/>
          </w:tcPr>
          <w:p>
            <w:pPr>
              <w:spacing w:after="0"/>
              <w:rPr>
                <w:sz w:val="18"/>
                <w:szCs w:val="18"/>
                <w:color w:val="auto"/>
              </w:rPr>
            </w:pPr>
          </w:p>
        </w:tc>
      </w:tr>
      <w:tr>
        <w:trPr>
          <w:trHeight w:val="25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Under Delaware law, a corporation’s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may include</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 provision eliminating or limiting the</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personal liability of a director to the</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corporation and its stockholders for</w:t>
            </w:r>
          </w:p>
        </w:tc>
        <w:tc>
          <w:tcPr>
            <w:tcW w:w="6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damages arising from a breach of</w:t>
            </w:r>
          </w:p>
        </w:tc>
        <w:tc>
          <w:tcPr>
            <w:tcW w:w="60" w:type="dxa"/>
            <w:vAlign w:val="bottom"/>
          </w:tcPr>
          <w:p>
            <w:pPr>
              <w:spacing w:after="0"/>
              <w:rPr>
                <w:sz w:val="18"/>
                <w:szCs w:val="18"/>
                <w:color w:val="auto"/>
              </w:rPr>
            </w:pP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fiduciary duty as a director. However,</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 provision can limit the liability of a</w:t>
            </w:r>
          </w:p>
        </w:tc>
        <w:tc>
          <w:tcPr>
            <w:tcW w:w="60" w:type="dxa"/>
            <w:vAlign w:val="bottom"/>
          </w:tcPr>
          <w:p>
            <w:pPr>
              <w:spacing w:after="0"/>
              <w:rPr>
                <w:sz w:val="19"/>
                <w:szCs w:val="19"/>
                <w:color w:val="auto"/>
              </w:rPr>
            </w:pPr>
          </w:p>
        </w:tc>
      </w:tr>
      <w:tr>
        <w:trPr>
          <w:trHeight w:val="234"/>
        </w:trPr>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director for:</w:t>
            </w:r>
          </w:p>
        </w:tc>
        <w:tc>
          <w:tcPr>
            <w:tcW w:w="60" w:type="dxa"/>
            <w:vAlign w:val="bottom"/>
          </w:tcPr>
          <w:p>
            <w:pPr>
              <w:spacing w:after="0"/>
              <w:rPr>
                <w:sz w:val="20"/>
                <w:szCs w:val="20"/>
                <w:color w:val="auto"/>
              </w:rPr>
            </w:pPr>
          </w:p>
        </w:tc>
      </w:tr>
      <w:tr>
        <w:trPr>
          <w:trHeight w:val="468"/>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any breach of the director’s duty of</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loyalty to the corporation or its</w:t>
            </w:r>
          </w:p>
        </w:tc>
        <w:tc>
          <w:tcPr>
            <w:tcW w:w="60" w:type="dxa"/>
            <w:vAlign w:val="bottom"/>
          </w:tcPr>
          <w:p>
            <w:pPr>
              <w:spacing w:after="0"/>
              <w:rPr>
                <w:sz w:val="19"/>
                <w:szCs w:val="19"/>
                <w:color w:val="auto"/>
              </w:rPr>
            </w:pPr>
          </w:p>
        </w:tc>
      </w:tr>
      <w:tr>
        <w:trPr>
          <w:trHeight w:val="234"/>
        </w:trPr>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60" w:type="dxa"/>
            <w:vAlign w:val="bottom"/>
          </w:tcPr>
          <w:p>
            <w:pPr>
              <w:spacing w:after="0"/>
              <w:rPr>
                <w:sz w:val="20"/>
                <w:szCs w:val="20"/>
                <w:color w:val="auto"/>
              </w:rPr>
            </w:pPr>
          </w:p>
        </w:tc>
      </w:tr>
      <w:tr>
        <w:trPr>
          <w:trHeight w:val="333"/>
        </w:trPr>
        <w:tc>
          <w:tcPr>
            <w:tcW w:w="22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acts or omissions not in good faith or</w:t>
            </w:r>
          </w:p>
        </w:tc>
        <w:tc>
          <w:tcPr>
            <w:tcW w:w="6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that involve intentional misconduct or a</w:t>
            </w:r>
          </w:p>
        </w:tc>
        <w:tc>
          <w:tcPr>
            <w:tcW w:w="6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knowing violation of law;</w:t>
            </w:r>
          </w:p>
        </w:tc>
        <w:tc>
          <w:tcPr>
            <w:tcW w:w="60" w:type="dxa"/>
            <w:vAlign w:val="bottom"/>
          </w:tcPr>
          <w:p>
            <w:pPr>
              <w:spacing w:after="0"/>
              <w:rPr>
                <w:sz w:val="20"/>
                <w:szCs w:val="20"/>
                <w:color w:val="auto"/>
              </w:rPr>
            </w:pPr>
          </w:p>
        </w:tc>
      </w:tr>
      <w:tr>
        <w:trPr>
          <w:trHeight w:val="333"/>
        </w:trPr>
        <w:tc>
          <w:tcPr>
            <w:tcW w:w="22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intentional or negligent payment of</w:t>
            </w:r>
          </w:p>
        </w:tc>
        <w:tc>
          <w:tcPr>
            <w:tcW w:w="60" w:type="dxa"/>
            <w:vAlign w:val="bottom"/>
          </w:tcPr>
          <w:p>
            <w:pPr>
              <w:spacing w:after="0"/>
              <w:rPr>
                <w:sz w:val="24"/>
                <w:szCs w:val="24"/>
                <w:color w:val="auto"/>
              </w:rPr>
            </w:pP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unlawful dividends or stock purchases</w:t>
            </w:r>
          </w:p>
        </w:tc>
        <w:tc>
          <w:tcPr>
            <w:tcW w:w="60" w:type="dxa"/>
            <w:vAlign w:val="bottom"/>
          </w:tcPr>
          <w:p>
            <w:pPr>
              <w:spacing w:after="0"/>
              <w:rPr>
                <w:sz w:val="19"/>
                <w:szCs w:val="19"/>
                <w:color w:val="auto"/>
              </w:rPr>
            </w:pPr>
          </w:p>
        </w:tc>
      </w:tr>
      <w:tr>
        <w:trPr>
          <w:trHeight w:val="234"/>
        </w:trPr>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or redemptions; or</w:t>
            </w:r>
          </w:p>
        </w:tc>
        <w:tc>
          <w:tcPr>
            <w:tcW w:w="60" w:type="dxa"/>
            <w:vAlign w:val="bottom"/>
          </w:tcPr>
          <w:p>
            <w:pPr>
              <w:spacing w:after="0"/>
              <w:rPr>
                <w:sz w:val="20"/>
                <w:szCs w:val="20"/>
                <w:color w:val="auto"/>
              </w:rPr>
            </w:pPr>
          </w:p>
        </w:tc>
      </w:tr>
      <w:tr>
        <w:trPr>
          <w:trHeight w:val="333"/>
        </w:trPr>
        <w:tc>
          <w:tcPr>
            <w:tcW w:w="22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any transaction from which the director</w:t>
            </w:r>
          </w:p>
        </w:tc>
        <w:tc>
          <w:tcPr>
            <w:tcW w:w="60" w:type="dxa"/>
            <w:vAlign w:val="bottom"/>
          </w:tcPr>
          <w:p>
            <w:pPr>
              <w:spacing w:after="0"/>
              <w:rPr>
                <w:sz w:val="24"/>
                <w:szCs w:val="24"/>
                <w:color w:val="auto"/>
              </w:rPr>
            </w:pPr>
          </w:p>
        </w:tc>
      </w:tr>
      <w:tr>
        <w:trPr>
          <w:trHeight w:val="234"/>
        </w:trPr>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derives an improper personal benefit.</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 ​ Delaware law provides that, unless</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otherwise provided in the certificate of</w:t>
            </w:r>
          </w:p>
        </w:tc>
        <w:tc>
          <w:tcPr>
            <w:tcW w:w="100" w:type="dxa"/>
            <w:vAlign w:val="bottom"/>
          </w:tcPr>
          <w:p>
            <w:pPr>
              <w:spacing w:after="0"/>
              <w:rPr>
                <w:sz w:val="19"/>
                <w:szCs w:val="19"/>
                <w:color w:val="auto"/>
              </w:rPr>
            </w:pPr>
          </w:p>
        </w:tc>
      </w:tr>
      <w:tr>
        <w:trPr>
          <w:trHeight w:val="230"/>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incorporation, each stockholder is</w:t>
            </w:r>
          </w:p>
        </w:tc>
        <w:tc>
          <w:tcPr>
            <w:tcW w:w="100" w:type="dxa"/>
            <w:vAlign w:val="bottom"/>
          </w:tcPr>
          <w:p>
            <w:pPr>
              <w:spacing w:after="0"/>
              <w:rPr>
                <w:sz w:val="19"/>
                <w:szCs w:val="19"/>
                <w:color w:val="auto"/>
              </w:rPr>
            </w:pPr>
          </w:p>
        </w:tc>
      </w:tr>
      <w:tr>
        <w:trPr>
          <w:trHeight w:val="229"/>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entitled to one vote for each share of</w:t>
            </w:r>
          </w:p>
        </w:tc>
        <w:tc>
          <w:tcPr>
            <w:tcW w:w="100" w:type="dxa"/>
            <w:vAlign w:val="bottom"/>
          </w:tcPr>
          <w:p>
            <w:pPr>
              <w:spacing w:after="0"/>
              <w:rPr>
                <w:sz w:val="19"/>
                <w:szCs w:val="19"/>
                <w:color w:val="auto"/>
              </w:rPr>
            </w:pPr>
          </w:p>
        </w:tc>
      </w:tr>
      <w:tr>
        <w:trPr>
          <w:trHeight w:val="234"/>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stock held by such stockholder.</w:t>
            </w:r>
          </w:p>
        </w:tc>
        <w:tc>
          <w:tcPr>
            <w:tcW w:w="100" w:type="dxa"/>
            <w:vAlign w:val="bottom"/>
          </w:tcPr>
          <w:p>
            <w:pPr>
              <w:spacing w:after="0"/>
              <w:rPr>
                <w:sz w:val="20"/>
                <w:szCs w:val="20"/>
                <w:color w:val="auto"/>
              </w:rPr>
            </w:pPr>
          </w:p>
        </w:tc>
      </w:tr>
    </w:tbl>
    <w:p>
      <w:pPr>
        <w:sectPr>
          <w:pgSz w:w="11900" w:h="16838" w:orient="portrait"/>
          <w:cols w:equalWidth="0" w:num="3">
            <w:col w:w="2860" w:space="120"/>
            <w:col w:w="3240" w:space="0"/>
            <w:col w:w="3659"/>
          </w:cols>
          <w:pgMar w:left="580" w:top="114" w:right="1440"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260"/>
        <w:spacing w:after="0"/>
        <w:tabs>
          <w:tab w:leader="none" w:pos="2100" w:val="left"/>
          <w:tab w:leader="none" w:pos="3020" w:val="left"/>
          <w:tab w:leader="none" w:pos="4120" w:val="left"/>
          <w:tab w:leader="none" w:pos="6260" w:val="left"/>
          <w:tab w:leader="none" w:pos="7660" w:val="left"/>
          <w:tab w:leader="none" w:pos="94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England and Wales</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4091940</wp:posOffset>
            </wp:positionH>
            <wp:positionV relativeFrom="paragraph">
              <wp:posOffset>29210</wp:posOffset>
            </wp:positionV>
            <wp:extent cx="19202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p>
      <w:pPr>
        <w:spacing w:after="0" w:line="66" w:lineRule="exact"/>
        <w:rPr>
          <w:sz w:val="20"/>
          <w:szCs w:val="20"/>
          <w:color w:val="auto"/>
        </w:rPr>
      </w:pPr>
    </w:p>
    <w:tbl>
      <w:tblPr>
        <w:tblLayout w:type="fixed"/>
        <w:tblInd w:w="1260" w:type="dxa"/>
        <w:tblCellMar>
          <w:top w:w="0" w:type="dxa"/>
          <w:left w:w="0" w:type="dxa"/>
          <w:bottom w:w="0" w:type="dxa"/>
          <w:right w:w="0" w:type="dxa"/>
        </w:tblCellMar>
      </w:tblPr>
      <w:tr>
        <w:trPr>
          <w:trHeight w:val="20"/>
        </w:trPr>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332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 ​ shareholder(s) representing not less</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than 10% of the total voting rights of</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all the shareholders having the right to</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vote on the resolution (excluding any</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voting rights attaching to treasury</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shares); or (c) any shareholder(s)</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holding shares in the company</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conferring a right to vote on the</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resolution (excluding any voting rights</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attaching to treasury shares) being</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shares on which an aggregate sum has</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been paid up equal to not less than 10%</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of the total sum paid up on all the</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shares conferring that right. A</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company’s articles of association may</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provide more extensive rights for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to call a poll.</w:t>
            </w:r>
          </w:p>
        </w:tc>
        <w:tc>
          <w:tcPr>
            <w:tcW w:w="0" w:type="dxa"/>
            <w:vAlign w:val="bottom"/>
          </w:tcPr>
          <w:p>
            <w:pPr>
              <w:spacing w:after="0"/>
              <w:rPr>
                <w:sz w:val="1"/>
                <w:szCs w:val="1"/>
                <w:color w:val="auto"/>
              </w:rPr>
            </w:pPr>
          </w:p>
        </w:tc>
      </w:tr>
      <w:tr>
        <w:trPr>
          <w:trHeight w:val="257"/>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 Under English law, an ordinary</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resolution is passed on a show of hands</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if it is approved by a simple majority</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(more than 50%) of the votes cast by</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present (in person or by</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proxy) and entitled to vote. If a poll is</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demanded, an ordinary resolution is</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passed if it is approved by holders</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representing a simple majority of the</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total voting rights of shareholders</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present, in person or by proxy,</w:t>
            </w:r>
          </w:p>
        </w:tc>
        <w:tc>
          <w:tcPr>
            <w:tcW w:w="0" w:type="dxa"/>
            <w:vAlign w:val="bottom"/>
          </w:tcPr>
          <w:p>
            <w:pPr>
              <w:spacing w:after="0"/>
              <w:rPr>
                <w:sz w:val="1"/>
                <w:szCs w:val="1"/>
                <w:color w:val="auto"/>
              </w:rPr>
            </w:pPr>
          </w:p>
        </w:tc>
      </w:tr>
      <w:tr>
        <w:trPr>
          <w:trHeight w:val="257"/>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 who, being entitled to vote, vote on the</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resolution. Special resolutions require</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the affirmative vote of not less than</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75% of the votes cast by shareholders</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present, in person or by proxy, at the</w:t>
            </w:r>
          </w:p>
        </w:tc>
        <w:tc>
          <w:tcPr>
            <w:tcW w:w="0" w:type="dxa"/>
            <w:vAlign w:val="bottom"/>
          </w:tcPr>
          <w:p>
            <w:pPr>
              <w:spacing w:after="0"/>
              <w:rPr>
                <w:sz w:val="1"/>
                <w:szCs w:val="1"/>
                <w:color w:val="auto"/>
              </w:rPr>
            </w:pPr>
          </w:p>
        </w:tc>
      </w:tr>
      <w:tr>
        <w:trPr>
          <w:trHeight w:val="234"/>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meeting.</w:t>
            </w:r>
          </w:p>
        </w:tc>
        <w:tc>
          <w:tcPr>
            <w:tcW w:w="0" w:type="dxa"/>
            <w:vAlign w:val="bottom"/>
          </w:tcPr>
          <w:p>
            <w:pPr>
              <w:spacing w:after="0"/>
              <w:rPr>
                <w:sz w:val="1"/>
                <w:szCs w:val="1"/>
                <w:color w:val="auto"/>
              </w:rPr>
            </w:pPr>
          </w:p>
        </w:tc>
      </w:tr>
      <w:tr>
        <w:trPr>
          <w:trHeight w:val="175"/>
        </w:trPr>
        <w:tc>
          <w:tcPr>
            <w:tcW w:w="164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Companies Act 2006 provides for</w:t>
            </w:r>
          </w:p>
        </w:tc>
        <w:tc>
          <w:tcPr>
            <w:tcW w:w="0" w:type="dxa"/>
            <w:vAlign w:val="bottom"/>
          </w:tcPr>
          <w:p>
            <w:pPr>
              <w:spacing w:after="0"/>
              <w:rPr>
                <w:sz w:val="1"/>
                <w:szCs w:val="1"/>
                <w:color w:val="auto"/>
              </w:rPr>
            </w:pPr>
          </w:p>
        </w:tc>
      </w:tr>
      <w:tr>
        <w:trPr>
          <w:trHeight w:val="76"/>
        </w:trPr>
        <w:tc>
          <w:tcPr>
            <w:tcW w:w="164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Shareholder Vote on</w:t>
            </w:r>
          </w:p>
        </w:tc>
        <w:tc>
          <w:tcPr>
            <w:tcW w:w="300" w:type="dxa"/>
            <w:vAlign w:val="bottom"/>
          </w:tcPr>
          <w:p>
            <w:pPr>
              <w:spacing w:after="0"/>
              <w:rPr>
                <w:sz w:val="6"/>
                <w:szCs w:val="6"/>
                <w:color w:val="auto"/>
              </w:rPr>
            </w:pPr>
          </w:p>
        </w:tc>
        <w:tc>
          <w:tcPr>
            <w:tcW w:w="3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Certain Transactions</w:t>
            </w: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schemes of arrangement, which are</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arrangements or compromises between</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 company and any class of</w:t>
            </w: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or creditors and used in</w:t>
            </w:r>
          </w:p>
        </w:tc>
        <w:tc>
          <w:tcPr>
            <w:tcW w:w="0" w:type="dxa"/>
            <w:vAlign w:val="bottom"/>
          </w:tcPr>
          <w:p>
            <w:pPr>
              <w:spacing w:after="0"/>
              <w:rPr>
                <w:sz w:val="1"/>
                <w:szCs w:val="1"/>
                <w:color w:val="auto"/>
              </w:rPr>
            </w:pPr>
          </w:p>
        </w:tc>
      </w:tr>
    </w:tbl>
    <w:p>
      <w:pPr>
        <w:ind w:left="3200"/>
        <w:spacing w:after="0"/>
        <w:rPr>
          <w:sz w:val="20"/>
          <w:szCs w:val="20"/>
          <w:color w:val="auto"/>
        </w:rPr>
      </w:pPr>
      <w:r>
        <w:rPr>
          <w:rFonts w:ascii="Times New Roman" w:cs="Times New Roman" w:eastAsia="Times New Roman" w:hAnsi="Times New Roman"/>
          <w:sz w:val="18"/>
          <w:szCs w:val="18"/>
          <w:color w:val="auto"/>
        </w:rPr>
        <w:t>certain types of reconstructions,</w:t>
      </w:r>
    </w:p>
    <w:p>
      <w:pPr>
        <w:spacing w:after="0" w:line="2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amalgamations, capital reorganizations</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or takeovers. These arrangements</w:t>
      </w:r>
    </w:p>
    <w:p>
      <w:pPr>
        <w:spacing w:after="0" w:line="2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require:</w:t>
      </w:r>
    </w:p>
    <w:p>
      <w:pPr>
        <w:spacing w:after="0" w:line="16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the approval at a shareholders’ or</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creditors’ meeting convened by order</w:t>
      </w:r>
    </w:p>
    <w:p>
      <w:pPr>
        <w:spacing w:after="0" w:line="2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of the court, of a majority in number</w:t>
      </w:r>
    </w:p>
    <w:p>
      <w:pPr>
        <w:spacing w:after="0" w:line="2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of shareholders or creditors</w:t>
      </w:r>
    </w:p>
    <w:p>
      <w:pPr>
        <w:spacing w:after="0" w:line="2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representing 75% in value of the</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20" w:right="359" w:hanging="215"/>
        <w:spacing w:after="0" w:line="273" w:lineRule="auto"/>
        <w:rPr>
          <w:sz w:val="20"/>
          <w:szCs w:val="20"/>
          <w:color w:val="auto"/>
        </w:rPr>
      </w:pPr>
      <w:r>
        <w:rPr>
          <w:rFonts w:ascii="Times New Roman" w:cs="Times New Roman" w:eastAsia="Times New Roman" w:hAnsi="Times New Roman"/>
          <w:sz w:val="18"/>
          <w:szCs w:val="18"/>
          <w:color w:val="auto"/>
        </w:rPr>
        <w:t>​ ​ Generally, under Delaware law, unless ​ the certificate of incorporation provides for the vote of a larger portion of the stock, completion of a merger, consolidation, sale, lease or exchange of all or substantially all of a corporation’s assets or dissolution requires:</w:t>
      </w:r>
    </w:p>
    <w:p>
      <w:pPr>
        <w:spacing w:after="0" w:line="363" w:lineRule="exact"/>
        <w:rPr>
          <w:sz w:val="20"/>
          <w:szCs w:val="20"/>
          <w:color w:val="auto"/>
        </w:rPr>
      </w:pPr>
    </w:p>
    <w:p>
      <w:pPr>
        <w:ind w:left="400" w:right="1159"/>
        <w:spacing w:after="0" w:line="282" w:lineRule="auto"/>
        <w:rPr>
          <w:sz w:val="20"/>
          <w:szCs w:val="20"/>
          <w:color w:val="auto"/>
        </w:rPr>
      </w:pPr>
      <w:r>
        <w:rPr>
          <w:rFonts w:ascii="Times New Roman" w:cs="Times New Roman" w:eastAsia="Times New Roman" w:hAnsi="Times New Roman"/>
          <w:sz w:val="18"/>
          <w:szCs w:val="18"/>
          <w:color w:val="auto"/>
        </w:rPr>
        <w:t>the approval of the board of directors; and</w:t>
      </w:r>
    </w:p>
    <w:p>
      <w:pPr>
        <w:spacing w:after="0" w:line="121" w:lineRule="exact"/>
        <w:rPr>
          <w:sz w:val="20"/>
          <w:szCs w:val="20"/>
          <w:color w:val="auto"/>
        </w:rPr>
      </w:pPr>
    </w:p>
    <w:p>
      <w:pPr>
        <w:ind w:left="400" w:right="419"/>
        <w:spacing w:after="0" w:line="271" w:lineRule="auto"/>
        <w:rPr>
          <w:sz w:val="20"/>
          <w:szCs w:val="20"/>
          <w:color w:val="auto"/>
        </w:rPr>
      </w:pPr>
      <w:r>
        <w:rPr>
          <w:rFonts w:ascii="Times New Roman" w:cs="Times New Roman" w:eastAsia="Times New Roman" w:hAnsi="Times New Roman"/>
          <w:sz w:val="18"/>
          <w:szCs w:val="18"/>
          <w:color w:val="auto"/>
        </w:rPr>
        <w:t>approval by the vote of the holders of a majority of the outstanding stock or, if the certificate of incorporation provides for more or</w:t>
      </w:r>
    </w:p>
    <w:p>
      <w:pPr>
        <w:spacing w:after="0" w:line="200" w:lineRule="exact"/>
        <w:rPr>
          <w:sz w:val="20"/>
          <w:szCs w:val="20"/>
          <w:color w:val="auto"/>
        </w:rPr>
      </w:pPr>
    </w:p>
    <w:p>
      <w:pPr>
        <w:sectPr>
          <w:pgSz w:w="11900" w:h="16838" w:orient="portrait"/>
          <w:cols w:equalWidth="0" w:num="2">
            <w:col w:w="6220" w:space="0"/>
            <w:col w:w="3659"/>
          </w:cols>
          <w:pgMar w:left="580" w:top="114" w:right="1440" w:bottom="1440" w:gutter="0" w:footer="0" w:header="0"/>
          <w:type w:val="continuous"/>
        </w:sectPr>
      </w:pPr>
    </w:p>
    <w:p>
      <w:pPr>
        <w:spacing w:after="0" w:line="1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 ​</w:t>
            </w:r>
          </w:p>
        </w:tc>
        <w:tc>
          <w:tcPr>
            <w:tcW w:w="30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England and Wales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0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held by, or debt owed to, the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than one vote per share, 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of shareholders or creditors, or</w:t>
            </w:r>
          </w:p>
        </w:tc>
        <w:tc>
          <w:tcPr>
            <w:tcW w:w="220" w:type="dxa"/>
            <w:vAlign w:val="bottom"/>
          </w:tcPr>
          <w:p>
            <w:pPr>
              <w:spacing w:after="0"/>
              <w:rPr>
                <w:sz w:val="19"/>
                <w:szCs w:val="19"/>
                <w:color w:val="auto"/>
              </w:rPr>
            </w:pPr>
          </w:p>
        </w:tc>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majority of the votes of the</w:t>
            </w:r>
          </w:p>
        </w:tc>
        <w:tc>
          <w:tcPr>
            <w:tcW w:w="60" w:type="dxa"/>
            <w:vAlign w:val="bottom"/>
          </w:tcPr>
          <w:p>
            <w:pPr>
              <w:spacing w:after="0"/>
              <w:rPr>
                <w:sz w:val="19"/>
                <w:szCs w:val="19"/>
                <w:color w:val="auto"/>
              </w:rPr>
            </w:pPr>
          </w:p>
        </w:tc>
      </w:tr>
      <w:tr>
        <w:trPr>
          <w:trHeight w:val="229"/>
        </w:trPr>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thereof present and voting,</w:t>
            </w:r>
          </w:p>
        </w:tc>
        <w:tc>
          <w:tcPr>
            <w:tcW w:w="220" w:type="dxa"/>
            <w:vAlign w:val="bottom"/>
          </w:tcPr>
          <w:p>
            <w:pPr>
              <w:spacing w:after="0"/>
              <w:rPr>
                <w:sz w:val="19"/>
                <w:szCs w:val="19"/>
                <w:color w:val="auto"/>
              </w:rPr>
            </w:pPr>
          </w:p>
        </w:tc>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stock of a corporation</w:t>
            </w:r>
          </w:p>
        </w:tc>
        <w:tc>
          <w:tcPr>
            <w:tcW w:w="60" w:type="dxa"/>
            <w:vAlign w:val="bottom"/>
          </w:tcPr>
          <w:p>
            <w:pPr>
              <w:spacing w:after="0"/>
              <w:rPr>
                <w:sz w:val="19"/>
                <w:szCs w:val="19"/>
                <w:color w:val="auto"/>
              </w:rPr>
            </w:pPr>
          </w:p>
        </w:tc>
      </w:tr>
      <w:tr>
        <w:trPr>
          <w:trHeight w:val="234"/>
        </w:trPr>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either in person or by proxy; and</w:t>
            </w:r>
          </w:p>
        </w:tc>
        <w:tc>
          <w:tcPr>
            <w:tcW w:w="220" w:type="dxa"/>
            <w:vAlign w:val="bottom"/>
          </w:tcPr>
          <w:p>
            <w:pPr>
              <w:spacing w:after="0"/>
              <w:rPr>
                <w:sz w:val="20"/>
                <w:szCs w:val="20"/>
                <w:color w:val="auto"/>
              </w:rPr>
            </w:pPr>
          </w:p>
        </w:tc>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entitled to vote on the matter.</w:t>
            </w:r>
          </w:p>
        </w:tc>
        <w:tc>
          <w:tcPr>
            <w:tcW w:w="60" w:type="dxa"/>
            <w:vAlign w:val="bottom"/>
          </w:tcPr>
          <w:p>
            <w:pPr>
              <w:spacing w:after="0"/>
              <w:rPr>
                <w:sz w:val="20"/>
                <w:szCs w:val="20"/>
                <w:color w:val="auto"/>
              </w:rPr>
            </w:pPr>
          </w:p>
        </w:tc>
      </w:tr>
      <w:tr>
        <w:trPr>
          <w:trHeight w:val="378"/>
        </w:trPr>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approval of the court.</w:t>
            </w:r>
          </w:p>
        </w:tc>
        <w:tc>
          <w:tcPr>
            <w:tcW w:w="2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9879"/>
          </w:cols>
          <w:pgMar w:left="580" w:top="114" w:right="1440" w:bottom="1440" w:gutter="0" w:footer="0" w:header="0"/>
        </w:sectPr>
      </w:pPr>
    </w:p>
    <w:p>
      <w:pPr>
        <w:ind w:left="1260"/>
        <w:spacing w:after="0" w:line="236" w:lineRule="auto"/>
        <w:rPr>
          <w:sz w:val="20"/>
          <w:szCs w:val="20"/>
          <w:color w:val="auto"/>
        </w:rPr>
      </w:pP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260"/>
        <w:spacing w:after="0" w:line="274" w:lineRule="auto"/>
        <w:rPr>
          <w:sz w:val="20"/>
          <w:szCs w:val="20"/>
          <w:color w:val="auto"/>
        </w:rPr>
      </w:pPr>
      <w:r>
        <w:rPr>
          <w:rFonts w:ascii="Times New Roman" w:cs="Times New Roman" w:eastAsia="Times New Roman" w:hAnsi="Times New Roman"/>
          <w:sz w:val="18"/>
          <w:szCs w:val="18"/>
          <w:color w:val="auto"/>
        </w:rPr>
        <w:t>Standard of Conduct for Directors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212" w:hanging="212"/>
        <w:spacing w:after="0"/>
        <w:tabs>
          <w:tab w:leader="none" w:pos="104" w:val="left"/>
        </w:tabs>
        <w:numPr>
          <w:ilvl w:val="0"/>
          <w:numId w:val="3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Under English law, a director owes various statutory and fiduciary duties to the company, including:</w:t>
      </w:r>
    </w:p>
    <w:p>
      <w:pPr>
        <w:spacing w:after="0" w:line="144" w:lineRule="exact"/>
        <w:rPr>
          <w:sz w:val="20"/>
          <w:szCs w:val="20"/>
          <w:color w:val="auto"/>
        </w:rPr>
      </w:pPr>
    </w:p>
    <w:p>
      <w:pPr>
        <w:ind w:left="392" w:right="100"/>
        <w:spacing w:after="0" w:line="274" w:lineRule="auto"/>
        <w:rPr>
          <w:sz w:val="20"/>
          <w:szCs w:val="20"/>
          <w:color w:val="auto"/>
        </w:rPr>
      </w:pPr>
      <w:r>
        <w:rPr>
          <w:rFonts w:ascii="Times New Roman" w:cs="Times New Roman" w:eastAsia="Times New Roman" w:hAnsi="Times New Roman"/>
          <w:sz w:val="18"/>
          <w:szCs w:val="18"/>
          <w:color w:val="auto"/>
        </w:rPr>
        <w:t>to act in the way he considers, in good faith, would be most likely to promote the success of the company for the benefit of its members as a whole;</w:t>
      </w:r>
    </w:p>
    <w:p>
      <w:pPr>
        <w:spacing w:after="0" w:line="114" w:lineRule="exact"/>
        <w:rPr>
          <w:sz w:val="20"/>
          <w:szCs w:val="20"/>
          <w:color w:val="auto"/>
        </w:rPr>
      </w:pPr>
    </w:p>
    <w:p>
      <w:pPr>
        <w:ind w:left="392" w:right="120"/>
        <w:spacing w:after="0" w:line="270" w:lineRule="auto"/>
        <w:rPr>
          <w:sz w:val="20"/>
          <w:szCs w:val="20"/>
          <w:color w:val="auto"/>
        </w:rPr>
      </w:pPr>
      <w:r>
        <w:rPr>
          <w:rFonts w:ascii="Times New Roman" w:cs="Times New Roman" w:eastAsia="Times New Roman" w:hAnsi="Times New Roman"/>
          <w:sz w:val="18"/>
          <w:szCs w:val="18"/>
          <w:color w:val="auto"/>
        </w:rPr>
        <w:t>to avoid a situation in which he has, or can have, a direct or indirect interest that conflicts, or possibly conflicts, with the interests of the company;</w:t>
      </w:r>
    </w:p>
    <w:p>
      <w:pPr>
        <w:spacing w:after="0" w:line="132" w:lineRule="exact"/>
        <w:rPr>
          <w:sz w:val="20"/>
          <w:szCs w:val="20"/>
          <w:color w:val="auto"/>
        </w:rPr>
      </w:pPr>
    </w:p>
    <w:p>
      <w:pPr>
        <w:ind w:left="392" w:right="100"/>
        <w:spacing w:after="0" w:line="271" w:lineRule="auto"/>
        <w:rPr>
          <w:sz w:val="20"/>
          <w:szCs w:val="20"/>
          <w:color w:val="auto"/>
        </w:rPr>
      </w:pPr>
      <w:r>
        <w:rPr>
          <w:rFonts w:ascii="Times New Roman" w:cs="Times New Roman" w:eastAsia="Times New Roman" w:hAnsi="Times New Roman"/>
          <w:sz w:val="18"/>
          <w:szCs w:val="18"/>
          <w:color w:val="auto"/>
        </w:rPr>
        <w:t>to act in accordance with the company’s constitution and only exercise his powers for the purposes for which they are conferred;</w:t>
      </w:r>
    </w:p>
    <w:p>
      <w:pPr>
        <w:spacing w:after="0" w:line="118" w:lineRule="exact"/>
        <w:rPr>
          <w:sz w:val="20"/>
          <w:szCs w:val="20"/>
          <w:color w:val="auto"/>
        </w:rPr>
      </w:pPr>
    </w:p>
    <w:p>
      <w:pPr>
        <w:ind w:left="392"/>
        <w:spacing w:after="0"/>
        <w:rPr>
          <w:sz w:val="20"/>
          <w:szCs w:val="20"/>
          <w:color w:val="auto"/>
        </w:rPr>
      </w:pPr>
      <w:r>
        <w:rPr>
          <w:rFonts w:ascii="Times New Roman" w:cs="Times New Roman" w:eastAsia="Times New Roman" w:hAnsi="Times New Roman"/>
          <w:sz w:val="18"/>
          <w:szCs w:val="18"/>
          <w:color w:val="auto"/>
        </w:rPr>
        <w:t>to exercise independent judgment;</w:t>
      </w:r>
    </w:p>
    <w:p>
      <w:pPr>
        <w:spacing w:after="0" w:line="185" w:lineRule="exact"/>
        <w:rPr>
          <w:sz w:val="20"/>
          <w:szCs w:val="20"/>
          <w:color w:val="auto"/>
        </w:rPr>
      </w:pPr>
    </w:p>
    <w:p>
      <w:pPr>
        <w:ind w:left="392" w:right="60"/>
        <w:spacing w:after="0" w:line="297" w:lineRule="auto"/>
        <w:rPr>
          <w:sz w:val="20"/>
          <w:szCs w:val="20"/>
          <w:color w:val="auto"/>
        </w:rPr>
      </w:pPr>
      <w:r>
        <w:rPr>
          <w:rFonts w:ascii="Times New Roman" w:cs="Times New Roman" w:eastAsia="Times New Roman" w:hAnsi="Times New Roman"/>
          <w:sz w:val="18"/>
          <w:szCs w:val="18"/>
          <w:color w:val="auto"/>
        </w:rPr>
        <w:t>to exercise reasonable care, skill and diligence;</w:t>
      </w:r>
    </w:p>
    <w:p>
      <w:pPr>
        <w:spacing w:after="0" w:line="95" w:lineRule="exact"/>
        <w:rPr>
          <w:sz w:val="20"/>
          <w:szCs w:val="20"/>
          <w:color w:val="auto"/>
        </w:rPr>
      </w:pPr>
    </w:p>
    <w:p>
      <w:pPr>
        <w:ind w:left="392" w:right="280"/>
        <w:spacing w:after="0" w:line="271" w:lineRule="auto"/>
        <w:rPr>
          <w:sz w:val="20"/>
          <w:szCs w:val="20"/>
          <w:color w:val="auto"/>
        </w:rPr>
      </w:pPr>
      <w:r>
        <w:rPr>
          <w:rFonts w:ascii="Times New Roman" w:cs="Times New Roman" w:eastAsia="Times New Roman" w:hAnsi="Times New Roman"/>
          <w:sz w:val="18"/>
          <w:szCs w:val="18"/>
          <w:color w:val="auto"/>
        </w:rPr>
        <w:t>not to accept benefits from a third party conferred by reason of his being a director or doing, or not doing, anything as a director; and</w:t>
      </w:r>
    </w:p>
    <w:p>
      <w:pPr>
        <w:spacing w:after="0" w:line="132" w:lineRule="exact"/>
        <w:rPr>
          <w:sz w:val="20"/>
          <w:szCs w:val="20"/>
          <w:color w:val="auto"/>
        </w:rPr>
      </w:pPr>
    </w:p>
    <w:p>
      <w:pPr>
        <w:jc w:val="both"/>
        <w:ind w:left="392" w:right="40"/>
        <w:spacing w:after="0" w:line="271" w:lineRule="auto"/>
        <w:rPr>
          <w:sz w:val="20"/>
          <w:szCs w:val="20"/>
          <w:color w:val="auto"/>
        </w:rPr>
      </w:pPr>
      <w:r>
        <w:rPr>
          <w:rFonts w:ascii="Times New Roman" w:cs="Times New Roman" w:eastAsia="Times New Roman" w:hAnsi="Times New Roman"/>
          <w:sz w:val="18"/>
          <w:szCs w:val="18"/>
          <w:color w:val="auto"/>
        </w:rPr>
        <w:t>a duty to declare any interest that he has, whether directly or indirectly, in a proposed or existing transaction or arrangement with the company.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359" w:hanging="215"/>
        <w:spacing w:after="0" w:line="258" w:lineRule="auto"/>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Delaware law does not contain specific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89" w:lineRule="exact"/>
        <w:rPr>
          <w:sz w:val="20"/>
          <w:szCs w:val="20"/>
          <w:color w:val="auto"/>
        </w:rPr>
      </w:pPr>
    </w:p>
    <w:p>
      <w:pPr>
        <w:ind w:right="439"/>
        <w:spacing w:after="0" w:line="264" w:lineRule="auto"/>
        <w:rPr>
          <w:sz w:val="20"/>
          <w:szCs w:val="20"/>
          <w:color w:val="auto"/>
        </w:rPr>
      </w:pPr>
      <w:r>
        <w:rPr>
          <w:rFonts w:ascii="Times New Roman" w:cs="Times New Roman" w:eastAsia="Times New Roman" w:hAnsi="Times New Roman"/>
          <w:sz w:val="18"/>
          <w:szCs w:val="18"/>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200" w:lineRule="exact"/>
        <w:rPr>
          <w:sz w:val="20"/>
          <w:szCs w:val="20"/>
          <w:color w:val="auto"/>
        </w:rPr>
      </w:pPr>
    </w:p>
    <w:p>
      <w:pPr>
        <w:sectPr>
          <w:pgSz w:w="11900" w:h="16838" w:orient="portrait"/>
          <w:cols w:equalWidth="0" w:num="3">
            <w:col w:w="2820" w:space="168"/>
            <w:col w:w="3232" w:space="220"/>
            <w:col w:w="3439"/>
          </w:cols>
          <w:pgMar w:left="580" w:top="114" w:right="1440" w:bottom="1440" w:gutter="0" w:footer="0" w:header="0"/>
          <w:type w:val="continuous"/>
        </w:sectPr>
      </w:pPr>
    </w:p>
    <w:p>
      <w:pPr>
        <w:spacing w:after="0" w:line="258" w:lineRule="exact"/>
        <w:rPr>
          <w:sz w:val="20"/>
          <w:szCs w:val="20"/>
          <w:color w:val="auto"/>
        </w:rPr>
      </w:pPr>
    </w:p>
    <w:p>
      <w:pPr>
        <w:ind w:left="1260"/>
        <w:spacing w:after="0"/>
        <w:tabs>
          <w:tab w:leader="none" w:pos="2960" w:val="left"/>
          <w:tab w:leader="none" w:pos="6200" w:val="left"/>
        </w:tabs>
        <w:rPr>
          <w:sz w:val="20"/>
          <w:szCs w:val="20"/>
          <w:color w:val="auto"/>
        </w:rPr>
      </w:pPr>
      <w:r>
        <w:rPr>
          <w:rFonts w:ascii="Times New Roman" w:cs="Times New Roman" w:eastAsia="Times New Roman" w:hAnsi="Times New Roman"/>
          <w:sz w:val="36"/>
          <w:szCs w:val="36"/>
          <w:color w:val="auto"/>
          <w:vertAlign w:val="superscript"/>
        </w:rPr>
        <w:t>​</w:t>
      </w:r>
      <w:r>
        <w:rPr>
          <w:sz w:val="20"/>
          <w:szCs w:val="20"/>
          <w:color w:val="auto"/>
        </w:rPr>
        <w:tab/>
      </w:r>
      <w:r>
        <w:rPr>
          <w:rFonts w:ascii="Times New Roman" w:cs="Times New Roman" w:eastAsia="Times New Roman" w:hAnsi="Times New Roman"/>
          <w:sz w:val="35"/>
          <w:szCs w:val="35"/>
          <w:color w:val="auto"/>
          <w:vertAlign w:val="superscript"/>
        </w:rPr>
        <w:t>​ ​ ​</w:t>
      </w:r>
      <w:r>
        <w:rPr>
          <w:sz w:val="20"/>
          <w:szCs w:val="20"/>
          <w:color w:val="auto"/>
        </w:rPr>
        <w:tab/>
      </w:r>
      <w:r>
        <w:rPr>
          <w:rFonts w:ascii="Times New Roman" w:cs="Times New Roman" w:eastAsia="Times New Roman" w:hAnsi="Times New Roman"/>
          <w:sz w:val="20"/>
          <w:szCs w:val="20"/>
          <w:color w:val="auto"/>
          <w:vertAlign w:val="superscript"/>
        </w:rPr>
        <w:t xml:space="preserve">​ ​ </w:t>
      </w:r>
      <w:r>
        <w:rPr>
          <w:rFonts w:ascii="Times New Roman" w:cs="Times New Roman" w:eastAsia="Times New Roman" w:hAnsi="Times New Roman"/>
          <w:sz w:val="20"/>
          <w:szCs w:val="20"/>
          <w:color w:val="auto"/>
        </w:rPr>
        <w:t xml:space="preserve">In addition, under Delaware law, when </w:t>
      </w:r>
      <w:r>
        <w:rPr>
          <w:rFonts w:ascii="Times New Roman" w:cs="Times New Roman" w:eastAsia="Times New Roman" w:hAnsi="Times New Roman"/>
          <w:sz w:val="20"/>
          <w:szCs w:val="20"/>
          <w:color w:val="auto"/>
          <w:vertAlign w:val="superscript"/>
        </w:rPr>
        <w:t>​</w:t>
      </w:r>
    </w:p>
    <w:p>
      <w:pPr>
        <w:spacing w:after="0" w:line="2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260"/>
        <w:spacing w:after="0"/>
        <w:tabs>
          <w:tab w:leader="none" w:pos="2100" w:val="left"/>
          <w:tab w:leader="none" w:pos="3020" w:val="left"/>
          <w:tab w:leader="none" w:pos="4120" w:val="left"/>
          <w:tab w:leader="none" w:pos="6260" w:val="left"/>
          <w:tab w:leader="none" w:pos="7660" w:val="left"/>
          <w:tab w:leader="none" w:pos="94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England and Wales</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ectPr>
          <w:pgSz w:w="11900" w:h="16838" w:orient="portrait"/>
          <w:cols w:equalWidth="0" w:num="1">
            <w:col w:w="9879"/>
          </w:cols>
          <w:pgMar w:left="580" w:top="114" w:right="1440" w:bottom="1440" w:gutter="0" w:footer="0" w:header="0"/>
        </w:sectPr>
      </w:pP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2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8"/>
        </w:trPr>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 ​ ​</w:t>
            </w:r>
          </w:p>
        </w:tc>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 ​ the board of directors of a Delaware</w:t>
            </w:r>
          </w:p>
        </w:tc>
        <w:tc>
          <w:tcPr>
            <w:tcW w:w="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corporation approves the sale or break-</w:t>
            </w:r>
          </w:p>
        </w:tc>
        <w:tc>
          <w:tcPr>
            <w:tcW w:w="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up of a corporation, the board of</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directors may, in certain circumstances,</w:t>
            </w:r>
          </w:p>
        </w:tc>
        <w:tc>
          <w:tcPr>
            <w:tcW w:w="6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have a duty to obtain the highest value</w:t>
            </w:r>
          </w:p>
        </w:tc>
        <w:tc>
          <w:tcPr>
            <w:tcW w:w="60" w:type="dxa"/>
            <w:vAlign w:val="bottom"/>
          </w:tcPr>
          <w:p>
            <w:pPr>
              <w:spacing w:after="0"/>
              <w:rPr>
                <w:sz w:val="18"/>
                <w:szCs w:val="18"/>
                <w:color w:val="auto"/>
              </w:rPr>
            </w:pPr>
          </w:p>
        </w:tc>
      </w:tr>
      <w:tr>
        <w:trPr>
          <w:trHeight w:val="229"/>
        </w:trPr>
        <w:tc>
          <w:tcPr>
            <w:tcW w:w="2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reasonably available to the</w:t>
            </w:r>
          </w:p>
        </w:tc>
        <w:tc>
          <w:tcPr>
            <w:tcW w:w="60" w:type="dxa"/>
            <w:vAlign w:val="bottom"/>
          </w:tcPr>
          <w:p>
            <w:pPr>
              <w:spacing w:after="0"/>
              <w:rPr>
                <w:sz w:val="19"/>
                <w:szCs w:val="19"/>
                <w:color w:val="auto"/>
              </w:rPr>
            </w:pPr>
          </w:p>
        </w:tc>
      </w:tr>
      <w:tr>
        <w:trPr>
          <w:trHeight w:val="234"/>
        </w:trPr>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6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2260" w:space="720"/>
            <w:col w:w="6899"/>
          </w:cols>
          <w:pgMar w:left="580" w:top="114"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​Stockholder Suits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left="212" w:hanging="212"/>
        <w:spacing w:after="0" w:line="268" w:lineRule="auto"/>
        <w:tabs>
          <w:tab w:leader="none" w:pos="10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Under English law, generally, the company, rather than its shareholders, is the proper claimant in an action in respect of a wrong done to the company or where there is an irregularity in the company’s internal management. Notwithstanding this general position, the Companies Act 2006 provides that</w:t>
      </w:r>
    </w:p>
    <w:p>
      <w:pPr>
        <w:ind w:left="212" w:right="20" w:firstLine="4"/>
        <w:spacing w:after="0" w:line="265" w:lineRule="auto"/>
        <w:tabs>
          <w:tab w:leader="none" w:pos="44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may allow a shareholder to bring a derivative claim (that is, an action in respect of and on behalf of the company) in respect of a cause of action arising from a director’s negligence, default, breach of duty or breach of trust and (ii) a shareholder may bring a claim for a court order where the company’s affairs have been or are being conducted in a manner that is unfairly prejudicial to some of its shareholders.</w:t>
      </w:r>
    </w:p>
    <w:p>
      <w:pPr>
        <w:spacing w:after="0" w:line="200" w:lineRule="exact"/>
        <w:rPr>
          <w:rFonts w:ascii="Times New Roman" w:cs="Times New Roman" w:eastAsia="Times New Roman" w:hAnsi="Times New Roman"/>
          <w:sz w:val="18"/>
          <w:szCs w:val="18"/>
          <w:color w:val="auto"/>
        </w:rPr>
      </w:pPr>
    </w:p>
    <w:p>
      <w:pPr>
        <w:spacing w:after="0" w:line="291" w:lineRule="exact"/>
        <w:rPr>
          <w:rFonts w:ascii="Times New Roman" w:cs="Times New Roman" w:eastAsia="Times New Roman" w:hAnsi="Times New Roman"/>
          <w:sz w:val="18"/>
          <w:szCs w:val="18"/>
          <w:color w:val="auto"/>
        </w:rPr>
      </w:pPr>
    </w:p>
    <w:p>
      <w:pPr>
        <w:ind w:left="112" w:hanging="112"/>
        <w:spacing w:after="0"/>
        <w:tabs>
          <w:tab w:leader="none" w:pos="1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52"/>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59" w:hanging="215"/>
        <w:spacing w:after="0" w:line="280" w:lineRule="auto"/>
        <w:rPr>
          <w:sz w:val="20"/>
          <w:szCs w:val="20"/>
          <w:color w:val="auto"/>
        </w:rPr>
      </w:pPr>
      <w:r>
        <w:rPr>
          <w:rFonts w:ascii="Times New Roman" w:cs="Times New Roman" w:eastAsia="Times New Roman" w:hAnsi="Times New Roman"/>
          <w:sz w:val="18"/>
          <w:szCs w:val="18"/>
          <w:color w:val="auto"/>
        </w:rPr>
        <w:t>​ ​ Under Delaware law, a stockholder may​ initiate a derivative action to enforce a right of a corporation if the corporation fails to enforce the right itself. The complaint must:</w:t>
      </w:r>
    </w:p>
    <w:p>
      <w:pPr>
        <w:spacing w:after="0" w:line="111" w:lineRule="exact"/>
        <w:rPr>
          <w:sz w:val="20"/>
          <w:szCs w:val="20"/>
          <w:color w:val="auto"/>
        </w:rPr>
      </w:pPr>
    </w:p>
    <w:p>
      <w:pPr>
        <w:ind w:left="180" w:right="419"/>
        <w:spacing w:after="0" w:line="269" w:lineRule="auto"/>
        <w:rPr>
          <w:sz w:val="20"/>
          <w:szCs w:val="20"/>
          <w:color w:val="auto"/>
        </w:rPr>
      </w:pPr>
      <w:r>
        <w:rPr>
          <w:rFonts w:ascii="Times New Roman" w:cs="Times New Roman" w:eastAsia="Times New Roman" w:hAnsi="Times New Roman"/>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134" w:lineRule="exact"/>
        <w:rPr>
          <w:sz w:val="20"/>
          <w:szCs w:val="20"/>
          <w:color w:val="auto"/>
        </w:rPr>
      </w:pPr>
    </w:p>
    <w:p>
      <w:pPr>
        <w:ind w:left="180" w:right="599"/>
        <w:spacing w:after="0" w:line="269" w:lineRule="auto"/>
        <w:rPr>
          <w:sz w:val="20"/>
          <w:szCs w:val="20"/>
          <w:color w:val="auto"/>
        </w:rPr>
      </w:pPr>
      <w:r>
        <w:rPr>
          <w:rFonts w:ascii="Times New Roman" w:cs="Times New Roman" w:eastAsia="Times New Roman" w:hAnsi="Times New Roman"/>
          <w:sz w:val="18"/>
          <w:szCs w:val="18"/>
          <w:color w:val="auto"/>
        </w:rPr>
        <w:t>allege with particularity the efforts made by the plaintiff to obtain the action the plaintiff desires from the directors and the reasons for the plaintiff’s failure to obtain the action; or</w:t>
      </w:r>
    </w:p>
    <w:p>
      <w:pPr>
        <w:spacing w:after="0" w:line="120" w:lineRule="exact"/>
        <w:rPr>
          <w:sz w:val="20"/>
          <w:szCs w:val="20"/>
          <w:color w:val="auto"/>
        </w:rPr>
      </w:pPr>
    </w:p>
    <w:p>
      <w:pPr>
        <w:ind w:left="180" w:right="579"/>
        <w:spacing w:after="0" w:line="289" w:lineRule="auto"/>
        <w:rPr>
          <w:sz w:val="20"/>
          <w:szCs w:val="20"/>
          <w:color w:val="auto"/>
        </w:rPr>
      </w:pPr>
      <w:r>
        <w:rPr>
          <w:rFonts w:ascii="Times New Roman" w:cs="Times New Roman" w:eastAsia="Times New Roman" w:hAnsi="Times New Roman"/>
          <w:sz w:val="18"/>
          <w:szCs w:val="18"/>
          <w:color w:val="auto"/>
        </w:rPr>
        <w:t>state the reasons for not making the effort.</w:t>
      </w:r>
    </w:p>
    <w:p>
      <w:pPr>
        <w:spacing w:after="0" w:line="1" w:lineRule="exact"/>
        <w:rPr>
          <w:sz w:val="20"/>
          <w:szCs w:val="20"/>
          <w:color w:val="auto"/>
        </w:rPr>
      </w:pPr>
    </w:p>
    <w:p>
      <w:pPr>
        <w:ind w:right="359" w:hanging="215"/>
        <w:spacing w:after="0" w:line="275" w:lineRule="auto"/>
        <w:rPr>
          <w:sz w:val="20"/>
          <w:szCs w:val="20"/>
          <w:color w:val="auto"/>
        </w:rPr>
      </w:pPr>
      <w:r>
        <w:rPr>
          <w:rFonts w:ascii="Times New Roman" w:cs="Times New Roman" w:eastAsia="Times New Roman" w:hAnsi="Times New Roman"/>
          <w:sz w:val="18"/>
          <w:szCs w:val="18"/>
          <w:color w:val="auto"/>
        </w:rPr>
        <w:t>​ ​ Additionally, the plaintiff must remain ​ a stockholder through the duration of the derivative suit. The action will not be dismissed or compromised without the approval of the Delaware Court of Chancery.</w:t>
      </w:r>
    </w:p>
    <w:p>
      <w:pPr>
        <w:sectPr>
          <w:pgSz w:w="11900" w:h="16838" w:orient="portrait"/>
          <w:cols w:equalWidth="0" w:num="3">
            <w:col w:w="2600" w:space="388"/>
            <w:col w:w="3232" w:space="220"/>
            <w:col w:w="3439"/>
          </w:cols>
          <w:pgMar w:left="580" w:top="114" w:right="1440"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162"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We are providing you with a summary description of the material terms of our ADSs and of the material rights of owners of our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We have registered 100,000,000 of our ADSs with the SEC under a registration statement on Form F-6 (Reg. No. 333-217353), or the F-6 Registration Statement.</w:t>
      </w:r>
    </w:p>
    <w:p>
      <w:pPr>
        <w:spacing w:after="0" w:line="11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Citibank, N.A., or Citibank, has agreed to act as the depositary for our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 Branch, located at 25 Canada Square, Canary Wharf, London, E14 5LB, United Kingdom.</w:t>
      </w:r>
    </w:p>
    <w:p>
      <w:pPr>
        <w:spacing w:after="0" w:line="114" w:lineRule="exact"/>
        <w:rPr>
          <w:sz w:val="20"/>
          <w:szCs w:val="20"/>
          <w:color w:val="auto"/>
        </w:rPr>
      </w:pPr>
    </w:p>
    <w:p>
      <w:pPr>
        <w:ind w:left="1260" w:right="519" w:firstLine="360"/>
        <w:spacing w:after="0" w:line="219" w:lineRule="exact"/>
        <w:rPr>
          <w:sz w:val="20"/>
          <w:szCs w:val="20"/>
          <w:color w:val="auto"/>
        </w:rPr>
      </w:pPr>
      <w:r>
        <w:rPr>
          <w:rFonts w:ascii="Times New Roman" w:cs="Times New Roman" w:eastAsia="Times New Roman" w:hAnsi="Times New Roman"/>
          <w:sz w:val="18"/>
          <w:szCs w:val="18"/>
          <w:color w:val="auto"/>
        </w:rPr>
        <w:t>We have appointed Citibank as depositary pursuant to a deposit agreement. A copy of the deposit agreement is on file with the SEC under cover of the F-6 Registration Statement. You may obtain a copy of the deposit agreement from the SEC’s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Please refer to registration number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217353 when retrieving such copy.</w:t>
      </w:r>
    </w:p>
    <w:p>
      <w:pPr>
        <w:spacing w:after="0" w:line="99"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Each ADS represents the right to receive, and to exercise the beneficial ownership interests in, eight of our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 -ordinary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1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108"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336"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w:t>
      </w:r>
    </w:p>
    <w:p>
      <w:pPr>
        <w:sectPr>
          <w:pgSz w:w="11900" w:h="16838" w:orient="portrait"/>
          <w:cols w:equalWidth="0" w:num="1">
            <w:col w:w="9879"/>
          </w:cols>
          <w:pgMar w:left="580" w:top="114"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deposit agreement. To exercise any shareholder rights not contemplated in the deposit agreement you will, as an ADS owner, need to arrange for the cancellation of your ADSs and become a direct shareholder.</w:t>
      </w:r>
    </w:p>
    <w:p>
      <w:pPr>
        <w:spacing w:after="0" w:line="81" w:lineRule="exact"/>
        <w:rPr>
          <w:sz w:val="20"/>
          <w:szCs w:val="20"/>
          <w:color w:val="auto"/>
        </w:rPr>
      </w:pPr>
    </w:p>
    <w:p>
      <w:pPr>
        <w:ind w:left="1260" w:right="519" w:firstLine="360"/>
        <w:spacing w:after="0" w:line="241" w:lineRule="auto"/>
        <w:rPr>
          <w:sz w:val="20"/>
          <w:szCs w:val="20"/>
          <w:color w:val="auto"/>
        </w:rPr>
      </w:pPr>
      <w:r>
        <w:rPr>
          <w:rFonts w:ascii="Times New Roman" w:cs="Times New Roman" w:eastAsia="Times New Roman" w:hAnsi="Times New Roman"/>
          <w:sz w:val="18"/>
          <w:szCs w:val="18"/>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DRS reflects the uncertificated (book-entry) registration of ownership of ADSs by the depositary. Under the DRS, ownership of ADSs is evidenced by periodic statements issued by the depositary to the holders of the ADSs. The DRS includes automated transfers between the depositary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an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333"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As a holder of ADSs, you generally have the right to receive the distributions we make on the ordinary shares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deducting the applicable fees, taxes and expenses.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of Cash</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Whenever we make a cash distribution for the ordinary shares on deposit with the custodian, we will deposit the funds with the custodian. Upon receipt of confirmation of the deposit of the requisite funds, the depositary will arrange for the funds to be converted into U.S. dollars and for the distribution of the U.S. dollars to the holders, subject to the laws and regulations of England and Wales.</w:t>
      </w:r>
    </w:p>
    <w:p>
      <w:pPr>
        <w:spacing w:after="0" w:line="112"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ordinary shares on deposit.</w:t>
      </w:r>
    </w:p>
    <w:p>
      <w:pPr>
        <w:spacing w:after="0" w:line="319"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of Shares</w:t>
      </w:r>
    </w:p>
    <w:p>
      <w:pPr>
        <w:spacing w:after="0" w:line="162"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Whenever we make a free distribution of ordinary shares for the ordinary shares on deposit with the custodian, we will deposit the applicable number of ordinary shares with the custodian. Upon receipt of</w:t>
      </w:r>
    </w:p>
    <w:p>
      <w:pPr>
        <w:sectPr>
          <w:pgSz w:w="11900" w:h="16838" w:orient="portrait"/>
          <w:cols w:equalWidth="0" w:num="1">
            <w:col w:w="9879"/>
          </w:cols>
          <w:pgMar w:left="580" w:top="114"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59"/>
        <w:spacing w:after="0" w:line="270" w:lineRule="auto"/>
        <w:rPr>
          <w:sz w:val="20"/>
          <w:szCs w:val="20"/>
          <w:color w:val="auto"/>
        </w:rPr>
      </w:pPr>
      <w:r>
        <w:rPr>
          <w:rFonts w:ascii="Times New Roman" w:cs="Times New Roman" w:eastAsia="Times New Roman" w:hAnsi="Times New Roman"/>
          <w:sz w:val="18"/>
          <w:szCs w:val="18"/>
          <w:color w:val="auto"/>
        </w:rPr>
        <w:t>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05" w:lineRule="exact"/>
        <w:rPr>
          <w:sz w:val="20"/>
          <w:szCs w:val="20"/>
          <w:color w:val="auto"/>
        </w:rPr>
      </w:pPr>
    </w:p>
    <w:p>
      <w:pPr>
        <w:ind w:left="1260" w:right="739" w:firstLine="360"/>
        <w:spacing w:after="0" w:line="271" w:lineRule="auto"/>
        <w:rPr>
          <w:sz w:val="20"/>
          <w:szCs w:val="20"/>
          <w:color w:val="auto"/>
        </w:rPr>
      </w:pPr>
      <w:r>
        <w:rPr>
          <w:rFonts w:ascii="Times New Roman" w:cs="Times New Roman" w:eastAsia="Times New Roman" w:hAnsi="Times New Roman"/>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16" w:lineRule="exact"/>
        <w:rPr>
          <w:sz w:val="20"/>
          <w:szCs w:val="20"/>
          <w:color w:val="auto"/>
        </w:rPr>
      </w:pPr>
    </w:p>
    <w:p>
      <w:pPr>
        <w:ind w:left="1260" w:right="439" w:firstLine="360"/>
        <w:spacing w:after="0" w:line="272" w:lineRule="auto"/>
        <w:rPr>
          <w:sz w:val="20"/>
          <w:szCs w:val="20"/>
          <w:color w:val="auto"/>
        </w:rPr>
      </w:pPr>
      <w:r>
        <w:rPr>
          <w:rFonts w:ascii="Times New Roman" w:cs="Times New Roman" w:eastAsia="Times New Roman" w:hAnsi="Times New Roman"/>
          <w:sz w:val="18"/>
          <w:szCs w:val="18"/>
          <w:color w:val="auto"/>
        </w:rPr>
        <w:t>No such distribution of new ADSs will be made if it would violate a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of Rights</w:t>
      </w:r>
    </w:p>
    <w:p>
      <w:pPr>
        <w:spacing w:after="0" w:line="162" w:lineRule="exact"/>
        <w:rPr>
          <w:sz w:val="20"/>
          <w:szCs w:val="20"/>
          <w:color w:val="auto"/>
        </w:rPr>
      </w:pPr>
    </w:p>
    <w:p>
      <w:pPr>
        <w:ind w:left="1260" w:right="499" w:firstLine="360"/>
        <w:spacing w:after="0" w:line="274" w:lineRule="auto"/>
        <w:rPr>
          <w:sz w:val="20"/>
          <w:szCs w:val="20"/>
          <w:color w:val="auto"/>
        </w:rPr>
      </w:pPr>
      <w:r>
        <w:rPr>
          <w:rFonts w:ascii="Times New Roman" w:cs="Times New Roman" w:eastAsia="Times New Roman" w:hAnsi="Times New Roman"/>
          <w:sz w:val="18"/>
          <w:szCs w:val="18"/>
          <w:color w:val="auto"/>
        </w:rPr>
        <w:t>Whenever we intend to distribute rights to purchase additional ordinary shares, we will give prior notice to the depositary and we will assist the depositary in determining whether it is lawful and reasonably practicable to distribute rights to purchase additional ADSs to holders.</w:t>
      </w:r>
    </w:p>
    <w:p>
      <w:pPr>
        <w:spacing w:after="0" w:line="101"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purchase new ordinary shares other than in the form of ADSs.</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rights to you if:</w:t>
      </w:r>
    </w:p>
    <w:p>
      <w:pPr>
        <w:spacing w:after="0" w:line="119" w:lineRule="exact"/>
        <w:rPr>
          <w:sz w:val="20"/>
          <w:szCs w:val="20"/>
          <w:color w:val="auto"/>
        </w:rPr>
      </w:pPr>
    </w:p>
    <w:p>
      <w:pPr>
        <w:ind w:left="1800" w:right="83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timely request that the rights be distributed to you or we request that the rights not be distributed to you; or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deliver satisfactory documents to the depositary; or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144" w:lineRule="exact"/>
        <w:rPr>
          <w:sz w:val="20"/>
          <w:szCs w:val="20"/>
          <w:color w:val="auto"/>
        </w:rPr>
      </w:pPr>
    </w:p>
    <w:p>
      <w:pPr>
        <w:ind w:left="1260" w:right="779" w:firstLine="360"/>
        <w:spacing w:after="0" w:line="281" w:lineRule="auto"/>
        <w:rPr>
          <w:sz w:val="20"/>
          <w:szCs w:val="20"/>
          <w:color w:val="auto"/>
        </w:rPr>
      </w:pPr>
      <w:r>
        <w:rPr>
          <w:rFonts w:ascii="Times New Roman" w:cs="Times New Roman" w:eastAsia="Times New Roman" w:hAnsi="Times New Roman"/>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Elective Distributions</w:t>
      </w:r>
    </w:p>
    <w:p>
      <w:pPr>
        <w:spacing w:after="0" w:line="162" w:lineRule="exact"/>
        <w:rPr>
          <w:sz w:val="20"/>
          <w:szCs w:val="20"/>
          <w:color w:val="auto"/>
        </w:rPr>
      </w:pPr>
    </w:p>
    <w:p>
      <w:pPr>
        <w:jc w:val="both"/>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05" w:lineRule="exact"/>
        <w:rPr>
          <w:sz w:val="20"/>
          <w:szCs w:val="20"/>
          <w:color w:val="auto"/>
        </w:rPr>
      </w:pPr>
    </w:p>
    <w:p>
      <w:pPr>
        <w:ind w:left="1260" w:right="519" w:firstLine="360"/>
        <w:spacing w:after="0" w:line="271" w:lineRule="auto"/>
        <w:rPr>
          <w:sz w:val="20"/>
          <w:szCs w:val="20"/>
          <w:color w:val="auto"/>
        </w:rPr>
      </w:pPr>
      <w:r>
        <w:rPr>
          <w:rFonts w:ascii="Times New Roman" w:cs="Times New Roman" w:eastAsia="Times New Roman" w:hAnsi="Times New Roman"/>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05" w:lineRule="exact"/>
        <w:rPr>
          <w:sz w:val="20"/>
          <w:szCs w:val="20"/>
          <w:color w:val="auto"/>
        </w:rPr>
      </w:pPr>
    </w:p>
    <w:p>
      <w:pPr>
        <w:ind w:left="1260" w:right="479" w:firstLine="360"/>
        <w:spacing w:after="0" w:line="281"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ectPr>
          <w:pgSz w:w="11900" w:h="16838" w:orient="portrait"/>
          <w:cols w:equalWidth="0" w:num="1">
            <w:col w:w="9879"/>
          </w:cols>
          <w:pgMar w:left="580" w:top="114"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Distributions</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10" w:lineRule="exact"/>
        <w:rPr>
          <w:sz w:val="20"/>
          <w:szCs w:val="20"/>
          <w:color w:val="auto"/>
        </w:rPr>
      </w:pPr>
    </w:p>
    <w:p>
      <w:pPr>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If it is reasonably practicable to distribute such property to you and if we provide all of the documentation contemplated in the deposit agreement, the depositary will distribute the property to the holders in a manner it deems practicable.</w:t>
      </w:r>
    </w:p>
    <w:p>
      <w:pPr>
        <w:spacing w:after="0" w:line="10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property to you and will sell the property if:</w:t>
      </w:r>
    </w:p>
    <w:p>
      <w:pPr>
        <w:spacing w:after="0" w:line="119" w:lineRule="exact"/>
        <w:rPr>
          <w:sz w:val="20"/>
          <w:szCs w:val="20"/>
          <w:color w:val="auto"/>
        </w:rPr>
      </w:pPr>
    </w:p>
    <w:p>
      <w:pPr>
        <w:ind w:left="1800" w:right="109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request that the property be distributed to you or if we ask that the property not be distributed to you;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deliver satisfactory documents to the depositary;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determines that all or a portion of the distribution to you is not reasonably practicable.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proceeds of such a sale will be distributed to holders as in the case of a cash distribution.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62" w:lineRule="exact"/>
        <w:rPr>
          <w:sz w:val="20"/>
          <w:szCs w:val="20"/>
          <w:color w:val="auto"/>
        </w:rPr>
      </w:pPr>
    </w:p>
    <w:p>
      <w:pPr>
        <w:jc w:val="both"/>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Whenever we decide to redeem any of the ordinary shares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0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The custodian will be instructed to surrender the shares being redeemed against payment of the</w:t>
      </w:r>
    </w:p>
    <w:p>
      <w:pPr>
        <w:spacing w:after="0" w:line="27" w:lineRule="exact"/>
        <w:rPr>
          <w:sz w:val="20"/>
          <w:szCs w:val="20"/>
          <w:color w:val="auto"/>
        </w:rPr>
      </w:pPr>
    </w:p>
    <w:p>
      <w:pPr>
        <w:jc w:val="both"/>
        <w:ind w:left="1260" w:right="619"/>
        <w:spacing w:after="0"/>
        <w:rPr>
          <w:sz w:val="20"/>
          <w:szCs w:val="20"/>
          <w:color w:val="auto"/>
        </w:rPr>
      </w:pPr>
      <w:r>
        <w:rPr>
          <w:rFonts w:ascii="Times New Roman" w:cs="Times New Roman" w:eastAsia="Times New Roman" w:hAnsi="Times New Roman"/>
          <w:sz w:val="18"/>
          <w:szCs w:val="18"/>
          <w:color w:val="auto"/>
        </w:rPr>
        <w:t xml:space="preserve">applicable redemption price. The depositary will convert the redemption funds received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the depositary may determine.</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Changes Affecting Ordinary Shares</w:t>
      </w:r>
    </w:p>
    <w:p>
      <w:pPr>
        <w:spacing w:after="0" w:line="148"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Verona.</w:t>
      </w:r>
    </w:p>
    <w:p>
      <w:pPr>
        <w:spacing w:after="0" w:line="323"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If any such change were to occur, your ADSs would, to the extent permitted by law,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Issuance of ADSs upon Deposit of Ordinary Shares</w:t>
      </w:r>
    </w:p>
    <w:p>
      <w:pPr>
        <w:spacing w:after="0" w:line="14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U.S. and England and Wales legal considerations applicable at the time of deposit.</w:t>
      </w:r>
    </w:p>
    <w:p>
      <w:pPr>
        <w:sectPr>
          <w:pgSz w:w="11900" w:h="16838" w:orient="portrait"/>
          <w:cols w:equalWidth="0" w:num="1">
            <w:col w:w="9879"/>
          </w:cols>
          <w:pgMar w:left="580" w:top="114"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10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When you make a deposit of ordinary shares, you will be responsible for transferring good and valid title to the depositary. As such, you will be deemed to represent and warrant that:</w:t>
      </w:r>
    </w:p>
    <w:p>
      <w:pPr>
        <w:spacing w:after="0" w:line="54" w:lineRule="exact"/>
        <w:rPr>
          <w:sz w:val="20"/>
          <w:szCs w:val="20"/>
          <w:color w:val="auto"/>
        </w:rPr>
      </w:pPr>
    </w:p>
    <w:p>
      <w:pPr>
        <w:ind w:left="1800" w:right="107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are duly authorized, validly issued, fully paid, non-assessable and legally obtained;</w:t>
      </w:r>
    </w:p>
    <w:p>
      <w:pPr>
        <w:spacing w:after="0" w:line="6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similar) rights, if any, with respect to such ordinary shares have been validly waived or exercised;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duly authorized to deposit the ordinary shares;</w:t>
      </w:r>
    </w:p>
    <w:p>
      <w:pPr>
        <w:spacing w:after="0" w:line="130"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presented for deposit have not been stripped of any rights or entitlements.</w:t>
      </w:r>
    </w:p>
    <w:p>
      <w:pPr>
        <w:spacing w:after="0" w:line="158" w:lineRule="exact"/>
        <w:rPr>
          <w:sz w:val="20"/>
          <w:szCs w:val="20"/>
          <w:color w:val="auto"/>
        </w:rPr>
      </w:pPr>
    </w:p>
    <w:p>
      <w:pPr>
        <w:jc w:val="both"/>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Combination and Split Up of ADRs</w:t>
      </w:r>
    </w:p>
    <w:p>
      <w:pPr>
        <w:spacing w:after="0" w:line="148" w:lineRule="exact"/>
        <w:rPr>
          <w:sz w:val="20"/>
          <w:szCs w:val="20"/>
          <w:color w:val="auto"/>
        </w:rPr>
      </w:pPr>
    </w:p>
    <w:p>
      <w:pPr>
        <w:jc w:val="both"/>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81" w:lineRule="exact"/>
        <w:rPr>
          <w:sz w:val="20"/>
          <w:szCs w:val="20"/>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surrendered ADR is properly endorsed or otherwise in proper form for transfer;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proof of identity and genuineness of signatures as the depositary deems appropriate;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transfer stamps required by the State of New York or the United States; and</w:t>
      </w:r>
    </w:p>
    <w:p>
      <w:pPr>
        <w:spacing w:after="0" w:line="130"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ADRs.</w:t>
      </w:r>
    </w:p>
    <w:p>
      <w:pPr>
        <w:spacing w:after="0" w:line="81" w:lineRule="exact"/>
        <w:rPr>
          <w:sz w:val="20"/>
          <w:szCs w:val="20"/>
          <w:color w:val="auto"/>
        </w:rPr>
      </w:pPr>
    </w:p>
    <w:p>
      <w:pPr>
        <w:jc w:val="both"/>
        <w:ind w:left="1260" w:right="899" w:firstLine="360"/>
        <w:spacing w:after="0" w:line="261"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Withdrawal of Ordinary Shares Upon Cancellation of ADSs</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U.S. and England and Wales considerations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121"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60" w:name="page61"/>
    <w:bookmarkEnd w:id="6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except as a result of:</w:t>
      </w:r>
    </w:p>
    <w:p>
      <w:pPr>
        <w:spacing w:after="0" w:line="54" w:lineRule="exact"/>
        <w:rPr>
          <w:sz w:val="20"/>
          <w:szCs w:val="20"/>
          <w:color w:val="auto"/>
        </w:rPr>
      </w:pPr>
    </w:p>
    <w:p>
      <w:pPr>
        <w:ind w:left="1800" w:right="419" w:hanging="180"/>
        <w:spacing w:after="0" w:line="275"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26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pay fees, taxes and similar charges; and/or</w:t>
      </w:r>
    </w:p>
    <w:p>
      <w:pPr>
        <w:spacing w:after="0" w:line="103"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w:t>
      </w:r>
    </w:p>
    <w:p>
      <w:pPr>
        <w:spacing w:after="0" w:line="81"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a holder, you generally have the right under the deposit agreement to instruct the depositary to</w:t>
      </w:r>
    </w:p>
    <w:p>
      <w:pPr>
        <w:spacing w:after="0" w:line="16" w:lineRule="exact"/>
        <w:rPr>
          <w:sz w:val="20"/>
          <w:szCs w:val="20"/>
          <w:color w:val="auto"/>
        </w:rPr>
      </w:pPr>
    </w:p>
    <w:p>
      <w:pPr>
        <w:ind w:left="1260" w:right="499"/>
        <w:spacing w:after="0" w:line="234" w:lineRule="auto"/>
        <w:rPr>
          <w:sz w:val="20"/>
          <w:szCs w:val="20"/>
          <w:color w:val="auto"/>
        </w:rPr>
      </w:pPr>
      <w:r>
        <w:rPr>
          <w:rFonts w:ascii="Times New Roman" w:cs="Times New Roman" w:eastAsia="Times New Roman" w:hAnsi="Times New Roman"/>
          <w:sz w:val="18"/>
          <w:szCs w:val="18"/>
          <w:color w:val="auto"/>
        </w:rPr>
        <w:t>exercise the voting rights for the ordinary shares represented by your ADSs. The voting rights of holders of ordinary shares are described in “Description of Share Capital and Articles of Association — Articles of Association” above.</w:t>
      </w:r>
    </w:p>
    <w:p>
      <w:pPr>
        <w:spacing w:after="0" w:line="104"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w:t>
      </w:r>
    </w:p>
    <w:p>
      <w:pPr>
        <w:spacing w:after="0" w:line="116"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If the depositary timely receives voting instructions from a holder of ADSs, it will endeavor to vote the securities (in person or by proxy) represented by the holder’s ADSs as follows:</w:t>
      </w:r>
    </w:p>
    <w:p>
      <w:pPr>
        <w:spacing w:after="0" w:line="66" w:lineRule="exact"/>
        <w:rPr>
          <w:sz w:val="20"/>
          <w:szCs w:val="20"/>
          <w:color w:val="auto"/>
        </w:rPr>
      </w:pPr>
    </w:p>
    <w:p>
      <w:pPr>
        <w:ind w:left="1800" w:right="599" w:hanging="180"/>
        <w:spacing w:after="0" w:line="267"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the event of voting by show of hands</w:t>
      </w:r>
      <w:r>
        <w:rPr>
          <w:rFonts w:ascii="Times New Roman" w:cs="Times New Roman" w:eastAsia="Times New Roman" w:hAnsi="Times New Roman"/>
          <w:sz w:val="18"/>
          <w:szCs w:val="18"/>
          <w:color w:val="auto"/>
        </w:rPr>
        <w:t>, the depositary will vote (or cause the custodian to vote)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held on deposit at that time in accordance with the voting instructions received from a majority of holders of ADSs who provide timely voting instructions.</w:t>
      </w:r>
    </w:p>
    <w:p>
      <w:pPr>
        <w:spacing w:after="0" w:line="51" w:lineRule="exact"/>
        <w:rPr>
          <w:rFonts w:ascii="Times New Roman" w:cs="Times New Roman" w:eastAsia="Times New Roman" w:hAnsi="Times New Roman"/>
          <w:sz w:val="18"/>
          <w:szCs w:val="18"/>
          <w:color w:val="auto"/>
        </w:rPr>
      </w:pPr>
    </w:p>
    <w:p>
      <w:pPr>
        <w:ind w:left="1800" w:right="459" w:hanging="180"/>
        <w:spacing w:after="0" w:line="284"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the event of voting by poll</w:t>
      </w:r>
      <w:r>
        <w:rPr>
          <w:rFonts w:ascii="Times New Roman" w:cs="Times New Roman" w:eastAsia="Times New Roman" w:hAnsi="Times New Roman"/>
          <w:sz w:val="18"/>
          <w:szCs w:val="18"/>
          <w:color w:val="auto"/>
        </w:rPr>
        <w:t>, the depositary will vote (or cause the custodian to vote) the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held on deposit in accordance with the voting instructions received from the holders of ADSs.</w:t>
      </w:r>
    </w:p>
    <w:p>
      <w:pPr>
        <w:spacing w:after="0" w:line="93"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Securities for which no voting instructions have been received will not be voted (except as otherwise contemplated herein).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Fees and Charges</w:t>
      </w:r>
    </w:p>
    <w:p>
      <w:pPr>
        <w:spacing w:after="0" w:line="148"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ectPr>
          <w:pgSz w:w="11900" w:h="16838" w:orient="portrait"/>
          <w:cols w:equalWidth="0" w:num="1">
            <w:col w:w="9879"/>
          </w:cols>
          <w:pgMar w:left="580" w:top="114" w:right="1440" w:bottom="1440" w:gutter="0" w:footer="0" w:header="0"/>
        </w:sectPr>
      </w:pPr>
    </w:p>
    <w:p>
      <w:pPr>
        <w:ind w:left="1260"/>
        <w:spacing w:after="0"/>
        <w:tabs>
          <w:tab w:leader="none" w:pos="3020" w:val="left"/>
          <w:tab w:leader="none" w:pos="5300" w:val="left"/>
          <w:tab w:leader="none" w:pos="73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Service</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29210</wp:posOffset>
            </wp:positionV>
            <wp:extent cx="52120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9" w:lineRule="exact"/>
        <w:rPr>
          <w:sz w:val="20"/>
          <w:szCs w:val="20"/>
          <w:color w:val="auto"/>
        </w:rPr>
      </w:pPr>
    </w:p>
    <w:p>
      <w:pPr>
        <w:ind w:left="1260" w:right="1140"/>
        <w:spacing w:after="0" w:line="269" w:lineRule="auto"/>
        <w:rPr>
          <w:sz w:val="20"/>
          <w:szCs w:val="20"/>
          <w:color w:val="auto"/>
        </w:rPr>
      </w:pPr>
      <w:r>
        <w:rPr>
          <w:rFonts w:ascii="Times New Roman" w:cs="Times New Roman" w:eastAsia="Times New Roman" w:hAnsi="Times New Roman"/>
          <w:sz w:val="18"/>
          <w:szCs w:val="18"/>
          <w:color w:val="auto"/>
        </w:rPr>
        <w:t>​Issuance of ADSs (e.g., an issuance of ADS upon a ​ ​ Up to $0.05 per ADS issued deposit of ordinary shares or upon a change in the ADS(s)-to-ordinary shares ratio), excluding ADS</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issuances as a result of distributions of ordinary</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shares</w:t>
      </w:r>
    </w:p>
    <w:p>
      <w:pPr>
        <w:spacing w:after="0" w:line="23" w:lineRule="exact"/>
        <w:rPr>
          <w:sz w:val="20"/>
          <w:szCs w:val="20"/>
          <w:color w:val="auto"/>
        </w:rPr>
      </w:pPr>
    </w:p>
    <w:p>
      <w:pPr>
        <w:ind w:left="1260" w:right="900"/>
        <w:spacing w:after="0" w:line="292" w:lineRule="auto"/>
        <w:rPr>
          <w:sz w:val="20"/>
          <w:szCs w:val="20"/>
          <w:color w:val="auto"/>
        </w:rPr>
      </w:pPr>
      <w:r>
        <w:rPr>
          <w:rFonts w:ascii="Times New Roman" w:cs="Times New Roman" w:eastAsia="Times New Roman" w:hAnsi="Times New Roman"/>
          <w:sz w:val="18"/>
          <w:szCs w:val="18"/>
          <w:color w:val="auto"/>
        </w:rPr>
        <w:t>​Cancellation of ADSs (e.g., a cancellation of ADSs ​ ​ Up to $0.05 per ADS cancelled for delivery of deposited property or upon a change in the ADS(s)-to-ordinary shares ratio)</w:t>
      </w:r>
    </w:p>
    <w:p>
      <w:pPr>
        <w:spacing w:after="0" w:line="185" w:lineRule="exact"/>
        <w:rPr>
          <w:sz w:val="20"/>
          <w:szCs w:val="20"/>
          <w:color w:val="auto"/>
        </w:rPr>
      </w:pPr>
    </w:p>
    <w:p>
      <w:pPr>
        <w:ind w:left="1260" w:right="1300"/>
        <w:spacing w:after="0" w:line="292" w:lineRule="auto"/>
        <w:rPr>
          <w:sz w:val="20"/>
          <w:szCs w:val="20"/>
          <w:color w:val="auto"/>
        </w:rPr>
      </w:pPr>
      <w:r>
        <w:rPr>
          <w:rFonts w:ascii="Times New Roman" w:cs="Times New Roman" w:eastAsia="Times New Roman" w:hAnsi="Times New Roman"/>
          <w:sz w:val="18"/>
          <w:szCs w:val="18"/>
          <w:color w:val="auto"/>
        </w:rPr>
        <w:t>​Distribution of cash dividends or other cash ​ ​ Up to $0.05 per ADS held distributions (e.g., upon a sale of rights and other entitlements)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8740" w:space="720"/>
            <w:col w:w="419"/>
          </w:cols>
          <w:pgMar w:left="580" w:top="114" w:right="1440"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60"/>
        <w:spacing w:after="0"/>
        <w:tabs>
          <w:tab w:leader="none" w:pos="3020" w:val="left"/>
          <w:tab w:leader="none" w:pos="5300" w:val="left"/>
          <w:tab w:leader="none" w:pos="73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Service</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29210</wp:posOffset>
            </wp:positionV>
            <wp:extent cx="52120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9" w:lineRule="exact"/>
        <w:rPr>
          <w:sz w:val="20"/>
          <w:szCs w:val="20"/>
          <w:color w:val="auto"/>
        </w:rPr>
      </w:pPr>
    </w:p>
    <w:p>
      <w:pPr>
        <w:ind w:left="1260" w:right="1880"/>
        <w:spacing w:after="0" w:line="299" w:lineRule="auto"/>
        <w:rPr>
          <w:sz w:val="20"/>
          <w:szCs w:val="20"/>
          <w:color w:val="auto"/>
        </w:rPr>
      </w:pPr>
      <w:r>
        <w:rPr>
          <w:rFonts w:ascii="Times New Roman" w:cs="Times New Roman" w:eastAsia="Times New Roman" w:hAnsi="Times New Roman"/>
          <w:sz w:val="18"/>
          <w:szCs w:val="18"/>
          <w:color w:val="auto"/>
        </w:rPr>
        <w:t>​Distribution of ADSs pursuant to (i) stock dividends ​ ​ Up to $0.05 per ADS held or other free stock distributions, or (ii) exercise of rights to purchase additional ADSs</w:t>
      </w:r>
    </w:p>
    <w:p>
      <w:pPr>
        <w:spacing w:after="0" w:line="183" w:lineRule="exact"/>
        <w:rPr>
          <w:sz w:val="20"/>
          <w:szCs w:val="20"/>
          <w:color w:val="auto"/>
        </w:rPr>
      </w:pPr>
    </w:p>
    <w:p>
      <w:pPr>
        <w:ind w:left="1260" w:right="1880"/>
        <w:spacing w:after="0" w:line="266" w:lineRule="auto"/>
        <w:rPr>
          <w:sz w:val="20"/>
          <w:szCs w:val="20"/>
          <w:color w:val="auto"/>
        </w:rPr>
      </w:pPr>
      <w:r>
        <w:rPr>
          <w:rFonts w:ascii="Times New Roman" w:cs="Times New Roman" w:eastAsia="Times New Roman" w:hAnsi="Times New Roman"/>
          <w:sz w:val="18"/>
          <w:szCs w:val="18"/>
          <w:color w:val="auto"/>
        </w:rPr>
        <w:t>​Distribution of securities other than ADSs or rights ​ ​ Up to $0.05 per ADS held to purchase additional ADSs (e.g., upon a spin-off)</w:t>
      </w:r>
    </w:p>
    <w:p>
      <w:pPr>
        <w:ind w:left="5260" w:hanging="4211"/>
        <w:spacing w:after="0" w:line="307" w:lineRule="auto"/>
        <w:tabs>
          <w:tab w:leader="none" w:pos="5240" w:val="left"/>
        </w:tabs>
        <w:rPr>
          <w:sz w:val="20"/>
          <w:szCs w:val="20"/>
          <w:color w:val="auto"/>
        </w:rPr>
      </w:pPr>
      <w:r>
        <w:rPr>
          <w:rFonts w:ascii="Times New Roman" w:cs="Times New Roman" w:eastAsia="Times New Roman" w:hAnsi="Times New Roman"/>
          <w:sz w:val="18"/>
          <w:szCs w:val="18"/>
          <w:color w:val="auto"/>
        </w:rPr>
        <w:t>​ADS Services</w:t>
      </w:r>
      <w:r>
        <w:rPr>
          <w:sz w:val="20"/>
          <w:szCs w:val="20"/>
          <w:color w:val="auto"/>
        </w:rPr>
        <w:tab/>
      </w:r>
      <w:r>
        <w:rPr>
          <w:rFonts w:ascii="Times New Roman" w:cs="Times New Roman" w:eastAsia="Times New Roman" w:hAnsi="Times New Roman"/>
          <w:sz w:val="18"/>
          <w:szCs w:val="18"/>
          <w:color w:val="auto"/>
        </w:rPr>
        <w:t>​ ​ Up to $0.05 per ADS held on the applicable record date(s) established by the depositary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27" w:lineRule="exact"/>
        <w:rPr>
          <w:sz w:val="20"/>
          <w:szCs w:val="20"/>
          <w:color w:val="auto"/>
        </w:rPr>
      </w:pPr>
    </w:p>
    <w:p>
      <w:pPr>
        <w:sectPr>
          <w:pgSz w:w="11900" w:h="16838" w:orient="portrait"/>
          <w:cols w:equalWidth="0" w:num="2">
            <w:col w:w="9320" w:space="140"/>
            <w:col w:w="419"/>
          </w:cols>
          <w:pgMar w:left="580" w:top="114" w:right="1440" w:bottom="1440" w:gutter="0" w:footer="0" w:header="0"/>
        </w:sectPr>
      </w:pPr>
    </w:p>
    <w:p>
      <w:pPr>
        <w:spacing w:after="0" w:line="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117" w:lineRule="exact"/>
        <w:rPr>
          <w:sz w:val="20"/>
          <w:szCs w:val="20"/>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90"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charges incurred by the depositary in the conversion of foreign currency;</w:t>
      </w:r>
    </w:p>
    <w:p>
      <w:pPr>
        <w:spacing w:after="0" w:line="90" w:lineRule="exact"/>
        <w:rPr>
          <w:rFonts w:ascii="Times New Roman" w:cs="Times New Roman" w:eastAsia="Times New Roman" w:hAnsi="Times New Roman"/>
          <w:sz w:val="18"/>
          <w:szCs w:val="18"/>
          <w:color w:val="auto"/>
        </w:rPr>
      </w:pPr>
    </w:p>
    <w:p>
      <w:pPr>
        <w:jc w:val="both"/>
        <w:ind w:left="1800" w:right="919" w:hanging="180"/>
        <w:spacing w:after="0" w:line="26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40"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incurred by the depositary, the custodian, or any nominee in connection with the servicing or delivery of deposited property.</w:t>
      </w:r>
    </w:p>
    <w:p>
      <w:pPr>
        <w:spacing w:after="0" w:line="81"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12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any applicable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Amendments and Termination</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We may agree with the depositary to modify the deposit agreement at any time without your consent. We undertake to give holders 30 days’ prior notice of any modifications that would materially prejudice any</w:t>
      </w:r>
    </w:p>
    <w:p>
      <w:pPr>
        <w:sectPr>
          <w:pgSz w:w="11900" w:h="16838" w:orient="portrait"/>
          <w:cols w:equalWidth="0" w:num="1">
            <w:col w:w="9879"/>
          </w:cols>
          <w:pgMar w:left="580" w:top="114" w:right="1440" w:bottom="1440" w:gutter="0" w:footer="0" w:header="0"/>
          <w:type w:val="continuous"/>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99"/>
        <w:spacing w:after="0" w:line="247" w:lineRule="auto"/>
        <w:rPr>
          <w:sz w:val="20"/>
          <w:szCs w:val="20"/>
          <w:color w:val="auto"/>
        </w:rPr>
      </w:pPr>
      <w:r>
        <w:rPr>
          <w:rFonts w:ascii="Times New Roman" w:cs="Times New Roman" w:eastAsia="Times New Roman" w:hAnsi="Times New Roman"/>
          <w:sz w:val="18"/>
          <w:szCs w:val="18"/>
          <w:color w:val="auto"/>
        </w:rPr>
        <w:t>of their substantial rights under the deposit agreement. We will not consider to be materially prejudicial to your substantial rights any modifications or supplements that are reasonably necessary for the ADSs to be registered under the Securities Act of 1933, as amended, or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12" w:lineRule="exact"/>
        <w:rPr>
          <w:sz w:val="20"/>
          <w:szCs w:val="20"/>
          <w:color w:val="auto"/>
        </w:rPr>
      </w:pPr>
    </w:p>
    <w:p>
      <w:pPr>
        <w:ind w:left="1260" w:right="719" w:firstLine="360"/>
        <w:spacing w:after="0" w:line="251" w:lineRule="auto"/>
        <w:rPr>
          <w:sz w:val="20"/>
          <w:szCs w:val="20"/>
          <w:color w:val="auto"/>
        </w:rPr>
      </w:pPr>
      <w:r>
        <w:rPr>
          <w:rFonts w:ascii="Times New Roman" w:cs="Times New Roman" w:eastAsia="Times New Roman" w:hAnsi="Times New Roman"/>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323"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 -interest bearing account. At that point, the depositary will have no further obligations to holders other than to account for the funds then held for the holders of ADSs still outstanding (after deduction of applicable fees, taxes and expenses).</w:t>
      </w:r>
    </w:p>
    <w:p>
      <w:pPr>
        <w:spacing w:after="0" w:line="112" w:lineRule="exact"/>
        <w:rPr>
          <w:sz w:val="20"/>
          <w:szCs w:val="20"/>
          <w:color w:val="auto"/>
        </w:rPr>
      </w:pPr>
    </w:p>
    <w:p>
      <w:pPr>
        <w:ind w:left="1260" w:right="57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the termination of the deposit agreement, the depositary may, independently and without the need for any action by us, make available to holders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162"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0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Transmission of Notices, Reports and Proxy Soliciting Material</w:t>
      </w:r>
    </w:p>
    <w:p>
      <w:pPr>
        <w:spacing w:after="0" w:line="14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Liabilities</w:t>
      </w:r>
    </w:p>
    <w:p>
      <w:pPr>
        <w:spacing w:after="0" w:line="14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The deposit agreement limits our obligations and the depositary’s obligations to you. Please note the following:</w:t>
      </w:r>
    </w:p>
    <w:p>
      <w:pPr>
        <w:spacing w:after="0" w:line="40" w:lineRule="exact"/>
        <w:rPr>
          <w:sz w:val="20"/>
          <w:szCs w:val="20"/>
          <w:color w:val="auto"/>
        </w:rPr>
      </w:pPr>
    </w:p>
    <w:p>
      <w:pPr>
        <w:ind w:left="1800" w:right="109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are obligated only to take the actions specifically stated in the deposit agreement without negligence or bad faith.</w:t>
      </w:r>
    </w:p>
    <w:p>
      <w:pPr>
        <w:sectPr>
          <w:pgSz w:w="11900" w:h="16838" w:orient="portrait"/>
          <w:cols w:equalWidth="0" w:num="1">
            <w:col w:w="9879"/>
          </w:cols>
          <w:pgMar w:left="580" w:top="114"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47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295"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will not be obligated to perform any act that is inconsistent with the terms of the deposit agreement.</w:t>
      </w:r>
    </w:p>
    <w:p>
      <w:pPr>
        <w:spacing w:after="0" w:line="53" w:lineRule="exact"/>
        <w:rPr>
          <w:rFonts w:ascii="Times New Roman" w:cs="Times New Roman" w:eastAsia="Times New Roman" w:hAnsi="Times New Roman"/>
          <w:sz w:val="18"/>
          <w:szCs w:val="18"/>
          <w:color w:val="auto"/>
        </w:rPr>
      </w:pPr>
    </w:p>
    <w:p>
      <w:pPr>
        <w:ind w:left="1800" w:right="539" w:hanging="180"/>
        <w:spacing w:after="0" w:line="25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Association, or any provision of or governing the securities on deposit, or by reason of any act of God or war or other circumstances beyond our control.</w:t>
      </w:r>
    </w:p>
    <w:p>
      <w:pPr>
        <w:spacing w:after="0" w:line="79"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by reason of any exercise of, or failure to exercise, any discretion provided for in the deposit agreement or in our Articles of Association or in any provisions of or governing the securities on deposit.</w:t>
      </w:r>
    </w:p>
    <w:p>
      <w:pPr>
        <w:spacing w:after="0" w:line="67"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58"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6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may rely without any liability upon any written notice, request or other document believed to be genuine and to have been signed or presented by the proper parties.</w:t>
      </w:r>
    </w:p>
    <w:p>
      <w:pPr>
        <w:spacing w:after="0" w:line="5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any consequential or punitive damages for any breach of the terms of the deposit agreement.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liability is intended by any provision of the deposit agreement.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Pre-Release Transactions</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Subject to the terms and conditions of the deposit agreement, the depositary may issue to broker/​ dealers ADSs before receiving a deposit of ordinary shares or release ordinary shares to broker/dealers before receiving ADSs for cancellation. These transactions are commonly referred to as “pre-release transactions,” and are entered into between the depositary and the applicable broker/dealer. The deposit agreement limits the aggregate size of pre-release transactions (not to exceed 30% of the ordinary shares on deposit in the aggregate) and imposes a number of conditions on such transactions (e.g., the need to receive collateral, the type of collateral required, the representations required from brokers, etc.). The depositary may retain the compensation received from the pre-release transactions.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16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ectPr>
          <w:pgSz w:w="11900" w:h="16838" w:orient="portrait"/>
          <w:cols w:equalWidth="0" w:num="1">
            <w:col w:w="9879"/>
          </w:cols>
          <w:pgMar w:left="580" w:top="114"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Foreign Currency Conversion</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12"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68" w:lineRule="exact"/>
        <w:rPr>
          <w:sz w:val="20"/>
          <w:szCs w:val="20"/>
          <w:color w:val="auto"/>
        </w:rPr>
      </w:pPr>
    </w:p>
    <w:p>
      <w:pPr>
        <w:ind w:left="1800" w:right="57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foreign currency to the extent practical and lawful and distribute the U.S. dollars to the holders for whom the conversion and distribution is lawful and practical.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foreign currency to holders for whom the distribution is lawful and practical.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foreign currency (without liability for interest) for the applicable holders.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Law/Waiver of Jury Trial</w:t>
      </w:r>
    </w:p>
    <w:p>
      <w:pPr>
        <w:spacing w:after="0" w:line="148"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10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AS A PARTY TO THE DEPOSIT AGREEMENT, YOU WAIVE YOUR RIGHT TO TRIAL BY JURY IN ANY LEGAL PROCEEDING ARISING OUT OF THE DEPOSIT AGREEMENT OR THE ADRs AGAINST US AND/OR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65" w:name="page66"/>
    <w:bookmarkEnd w:id="6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2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99"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20"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As used in this section only, Verona” “we,” “our” or “us” refer to Verona Pharma plc, excluding our subsidiaries, unless expressly stated or the context otherwise requires.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02" w:lineRule="exact"/>
        <w:rPr>
          <w:sz w:val="20"/>
          <w:szCs w:val="20"/>
          <w:color w:val="auto"/>
        </w:rPr>
      </w:pPr>
    </w:p>
    <w:p>
      <w:pPr>
        <w:jc w:val="both"/>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308" w:lineRule="exact"/>
        <w:rPr>
          <w:sz w:val="20"/>
          <w:szCs w:val="20"/>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75" w:lineRule="exact"/>
        <w:rPr>
          <w:rFonts w:ascii="Times New Roman" w:cs="Times New Roman" w:eastAsia="Times New Roman" w:hAnsi="Times New Roman"/>
          <w:sz w:val="18"/>
          <w:szCs w:val="18"/>
          <w:color w:val="auto"/>
        </w:rPr>
      </w:pPr>
    </w:p>
    <w:p>
      <w:pPr>
        <w:jc w:val="both"/>
        <w:ind w:left="1800" w:right="439" w:hanging="180"/>
        <w:spacing w:after="0" w:line="261"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71"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ectPr>
          <w:pgSz w:w="11900" w:h="16838" w:orient="portrait"/>
          <w:cols w:equalWidth="0" w:num="1">
            <w:col w:w="9879"/>
          </w:cols>
          <w:pgMar w:left="580" w:top="114"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599" w:hanging="180"/>
        <w:spacing w:after="0" w:line="261"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71" w:lineRule="exact"/>
        <w:rPr>
          <w:rFonts w:ascii="Times New Roman" w:cs="Times New Roman" w:eastAsia="Times New Roman" w:hAnsi="Times New Roman"/>
          <w:sz w:val="18"/>
          <w:szCs w:val="18"/>
          <w:color w:val="auto"/>
        </w:rPr>
      </w:pPr>
    </w:p>
    <w:p>
      <w:pPr>
        <w:jc w:val="both"/>
        <w:ind w:left="1800" w:right="43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40"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40"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40"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40" w:lineRule="exact"/>
        <w:rPr>
          <w:rFonts w:ascii="Times New Roman" w:cs="Times New Roman" w:eastAsia="Times New Roman" w:hAnsi="Times New Roman"/>
          <w:sz w:val="18"/>
          <w:szCs w:val="18"/>
          <w:color w:val="auto"/>
        </w:rPr>
      </w:pPr>
    </w:p>
    <w:p>
      <w:pPr>
        <w:ind w:left="1800" w:right="899" w:hanging="180"/>
        <w:spacing w:after="0" w:line="266"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54"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54" w:lineRule="exact"/>
        <w:rPr>
          <w:rFonts w:ascii="Times New Roman" w:cs="Times New Roman" w:eastAsia="Times New Roman" w:hAnsi="Times New Roman"/>
          <w:sz w:val="18"/>
          <w:szCs w:val="18"/>
          <w:color w:val="auto"/>
        </w:rPr>
      </w:pPr>
    </w:p>
    <w:p>
      <w:pPr>
        <w:jc w:val="both"/>
        <w:ind w:left="1800" w:right="499" w:hanging="180"/>
        <w:spacing w:after="0" w:line="261"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5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03"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54"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40"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40"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58"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54"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 (Section 2.2)</w:t>
      </w:r>
    </w:p>
    <w:p>
      <w:pPr>
        <w:spacing w:after="0" w:line="94"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1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w:t>
      </w:r>
    </w:p>
    <w:p>
      <w:pPr>
        <w:sectPr>
          <w:pgSz w:w="11900" w:h="16838" w:orient="portrait"/>
          <w:cols w:equalWidth="0" w:num="1">
            <w:col w:w="9879"/>
          </w:cols>
          <w:pgMar w:left="580" w:top="114"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59"/>
        <w:spacing w:after="0" w:line="261" w:lineRule="auto"/>
        <w:rPr>
          <w:sz w:val="20"/>
          <w:szCs w:val="20"/>
          <w:color w:val="auto"/>
        </w:rPr>
      </w:pPr>
      <w:r>
        <w:rPr>
          <w:rFonts w:ascii="Times New Roman" w:cs="Times New Roman" w:eastAsia="Times New Roman" w:hAnsi="Times New Roman"/>
          <w:sz w:val="18"/>
          <w:szCs w:val="18"/>
          <w:color w:val="auto"/>
        </w:rPr>
        <w:t>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21"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322"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12"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Please see “Global Securities.”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6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 (Article IV)</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4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62"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54" w:lineRule="exact"/>
        <w:rPr>
          <w:sz w:val="20"/>
          <w:szCs w:val="20"/>
          <w:color w:val="auto"/>
        </w:rPr>
      </w:pPr>
    </w:p>
    <w:p>
      <w:pPr>
        <w:ind w:left="1800" w:right="479" w:hanging="180"/>
        <w:spacing w:after="0" w:line="26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Verona) is a corporation organized and validly existing under the laws a U.K. jurisdiction or a U.S. jurisdiction and expressly assumes our obligations on the debt securities and under the indenture;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94"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 (Section 5.1)</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68" w:name="page69"/>
    <w:bookmarkEnd w:id="6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17" w:lineRule="exact"/>
        <w:rPr>
          <w:sz w:val="20"/>
          <w:szCs w:val="20"/>
          <w:color w:val="auto"/>
        </w:rPr>
      </w:pPr>
    </w:p>
    <w:p>
      <w:pPr>
        <w:ind w:left="1800" w:right="519" w:hanging="180"/>
        <w:spacing w:after="0" w:line="261"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56"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Verona and the trustee receive written notice from the holders of not less than 25% in principal amount of the outstanding debt securities of that series as provided in the indenture;</w:t>
      </w:r>
    </w:p>
    <w:p>
      <w:pPr>
        <w:spacing w:after="0" w:line="7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Verona;</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 (Section 6.1)</w:t>
      </w:r>
    </w:p>
    <w:p>
      <w:pPr>
        <w:spacing w:after="0" w:line="94"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16"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99"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26" w:lineRule="exact"/>
        <w:rPr>
          <w:sz w:val="20"/>
          <w:szCs w:val="20"/>
          <w:color w:val="auto"/>
        </w:rPr>
      </w:pPr>
    </w:p>
    <w:p>
      <w:pPr>
        <w:jc w:val="both"/>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w:t>
      </w:r>
    </w:p>
    <w:p>
      <w:pPr>
        <w:spacing w:after="0" w:line="1" w:lineRule="exact"/>
        <w:rPr>
          <w:sz w:val="20"/>
          <w:szCs w:val="20"/>
          <w:color w:val="auto"/>
        </w:rPr>
      </w:pPr>
    </w:p>
    <w:p>
      <w:pPr>
        <w:ind w:left="1260" w:right="579"/>
        <w:spacing w:after="0" w:line="253" w:lineRule="auto"/>
        <w:rPr>
          <w:sz w:val="20"/>
          <w:szCs w:val="20"/>
          <w:color w:val="auto"/>
        </w:rPr>
      </w:pPr>
      <w:r>
        <w:rPr>
          <w:rFonts w:ascii="Times New Roman" w:cs="Times New Roman" w:eastAsia="Times New Roman" w:hAnsi="Times New Roman"/>
          <w:sz w:val="18"/>
          <w:szCs w:val="18"/>
          <w:color w:val="auto"/>
        </w:rPr>
        <w:t>(Section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ectPr>
          <w:pgSz w:w="11900" w:h="16838" w:orient="portrait"/>
          <w:cols w:equalWidth="0" w:num="1">
            <w:col w:w="9879"/>
          </w:cols>
          <w:pgMar w:left="580" w:top="114"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1" w:lineRule="exact"/>
        <w:rPr>
          <w:sz w:val="20"/>
          <w:szCs w:val="20"/>
          <w:color w:val="auto"/>
        </w:rPr>
      </w:pPr>
    </w:p>
    <w:p>
      <w:pPr>
        <w:ind w:left="1800" w:right="65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02"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10"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54" w:lineRule="exact"/>
        <w:rPr>
          <w:sz w:val="20"/>
          <w:szCs w:val="20"/>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1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(Section 9.1)</w:t>
      </w:r>
    </w:p>
    <w:p>
      <w:pPr>
        <w:spacing w:after="0" w:line="81"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ectPr>
          <w:pgSz w:w="11900" w:h="16838" w:orient="portrait"/>
          <w:cols w:equalWidth="0" w:num="1">
            <w:col w:w="9879"/>
          </w:cols>
          <w:pgMar w:left="580" w:top="114"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67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6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71"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(Section 9.3)</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4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345"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ectPr>
          <w:pgSz w:w="11900" w:h="16838" w:orient="portrait"/>
          <w:cols w:equalWidth="0" w:num="1">
            <w:col w:w="9879"/>
          </w:cols>
          <w:pgMar w:left="580" w:top="114"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8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applicable series of debt securities, upon compliance with certain conditions:</w:t>
      </w:r>
    </w:p>
    <w:p>
      <w:pPr>
        <w:spacing w:after="0" w:line="52" w:lineRule="exact"/>
        <w:rPr>
          <w:sz w:val="20"/>
          <w:szCs w:val="20"/>
          <w:color w:val="auto"/>
        </w:rPr>
      </w:pPr>
    </w:p>
    <w:p>
      <w:pPr>
        <w:ind w:left="1800" w:right="579" w:hanging="180"/>
        <w:spacing w:after="0" w:line="266"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6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17" w:lineRule="exact"/>
        <w:rPr>
          <w:sz w:val="20"/>
          <w:szCs w:val="20"/>
          <w:color w:val="auto"/>
        </w:rPr>
      </w:pPr>
    </w:p>
    <w:p>
      <w:pPr>
        <w:ind w:left="1800" w:right="439" w:hanging="180"/>
        <w:spacing w:after="0" w:line="254"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83"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4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94"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1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ectPr>
          <w:pgSz w:w="11900" w:h="16838" w:orient="portrait"/>
          <w:cols w:equalWidth="0" w:num="1">
            <w:col w:w="9879"/>
          </w:cols>
          <w:pgMar w:left="580" w:top="114"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6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We may issue warrants for the purchase of our ordinary shares, ADSs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337"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particular terms of any issue of warrants will be described in the prospectus supplement relating to the issue. Those terms may include:</w:t>
      </w:r>
    </w:p>
    <w:p>
      <w:pPr>
        <w:spacing w:after="0" w:line="54" w:lineRule="exact"/>
        <w:rPr>
          <w:sz w:val="20"/>
          <w:szCs w:val="20"/>
          <w:color w:val="auto"/>
        </w:rPr>
      </w:pPr>
    </w:p>
    <w:p>
      <w:pPr>
        <w:jc w:val="both"/>
        <w:ind w:left="1800" w:right="539" w:hanging="180"/>
        <w:spacing w:after="0" w:line="266"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ordinary shares or ADSs purchasable upon the exercise of warrants to purchase such shares or ADSs and the price at which such number of shares or ADSs may be purchased upon such exercise;</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ordinary shares or ADSs will be separately transferable;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United States Federal income tax consequences and certain UK tax consequences applicable to the warrants; and</w:t>
      </w:r>
    </w:p>
    <w:p>
      <w:pPr>
        <w:spacing w:after="0" w:line="53"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exercise and settlement of the warrants.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Holders of equity warrants will not be entitled:</w:t>
      </w:r>
    </w:p>
    <w:p>
      <w:pPr>
        <w:spacing w:after="0" w:line="117" w:lineRule="exact"/>
        <w:rPr>
          <w:sz w:val="20"/>
          <w:szCs w:val="20"/>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consent or receive dividends;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shareholders with respect to any general meeting of shareholders for the election of our directors or any other matter;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shareholders of Verona.</w:t>
      </w:r>
    </w:p>
    <w:p>
      <w:pPr>
        <w:spacing w:after="0" w:line="15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Each warrant will entitle its holder to purchase the principal amount of debt securities or the number of ordinary shares or ADSs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2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ordinary shares or ADSs are exercised, the holders of the warrants will not have any rights of holders of the underlying ordinary shares or ADSs, including any rights to receive dividends or payments upon any liquidation, dissolution or winding up on the ordinary shares or ADSs, if any.</w:t>
      </w:r>
    </w:p>
    <w:p>
      <w:pPr>
        <w:sectPr>
          <w:pgSz w:w="11900" w:h="16838" w:orient="portrait"/>
          <w:cols w:equalWidth="0" w:num="1">
            <w:col w:w="9879"/>
          </w:cols>
          <w:pgMar w:left="580" w:top="114"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11"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54" w:lineRule="exact"/>
        <w:rPr>
          <w:sz w:val="20"/>
          <w:szCs w:val="20"/>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53" w:lineRule="exact"/>
        <w:rPr>
          <w:rFonts w:ascii="Times New Roman" w:cs="Times New Roman" w:eastAsia="Times New Roman" w:hAnsi="Times New Roman"/>
          <w:sz w:val="18"/>
          <w:szCs w:val="18"/>
          <w:color w:val="auto"/>
        </w:rPr>
      </w:pPr>
    </w:p>
    <w:p>
      <w:pPr>
        <w:ind w:left="1800" w:right="1259" w:hanging="180"/>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and certain UK tax considerations applicable to the units;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74" w:name="page75"/>
    <w:bookmarkEnd w:id="7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17" w:lineRule="exact"/>
        <w:rPr>
          <w:sz w:val="20"/>
          <w:szCs w:val="20"/>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15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21"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1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32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ectPr>
          <w:pgSz w:w="11900" w:h="16838" w:orient="portrait"/>
          <w:cols w:equalWidth="0" w:num="1">
            <w:col w:w="9879"/>
          </w:cols>
          <w:pgMar w:left="580" w:top="114"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0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08"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0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34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34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99"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0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08"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54" w:lineRule="exact"/>
        <w:rPr>
          <w:sz w:val="20"/>
          <w:szCs w:val="20"/>
          <w:color w:val="auto"/>
        </w:rPr>
      </w:pPr>
    </w:p>
    <w:p>
      <w:pPr>
        <w:ind w:left="1800" w:right="519" w:hanging="180"/>
        <w:spacing w:after="0" w:line="258"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ectPr>
          <w:pgSz w:w="11900" w:h="16838" w:orient="portrait"/>
          <w:cols w:equalWidth="0" w:num="1">
            <w:col w:w="9879"/>
          </w:cols>
          <w:pgMar w:left="580" w:top="114"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659" w:hanging="180"/>
        <w:spacing w:after="0" w:line="28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158" w:lineRule="exact"/>
        <w:rPr>
          <w:sz w:val="20"/>
          <w:szCs w:val="20"/>
          <w:color w:val="auto"/>
        </w:rPr>
      </w:pPr>
    </w:p>
    <w:p>
      <w:pPr>
        <w:ind w:left="1260" w:right="599" w:firstLine="360"/>
        <w:spacing w:after="0" w:line="244" w:lineRule="auto"/>
        <w:rPr>
          <w:sz w:val="20"/>
          <w:szCs w:val="20"/>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Euroclear and Clearstream</w:t>
      </w:r>
    </w:p>
    <w:p>
      <w:pPr>
        <w:spacing w:after="0" w:line="14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1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10"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10"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1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329"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77" w:name="page78"/>
    <w:bookmarkEnd w:id="7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78" w:name="page79"/>
    <w:bookmarkEnd w:id="7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69" w:lineRule="exact"/>
        <w:rPr>
          <w:sz w:val="20"/>
          <w:szCs w:val="20"/>
          <w:color w:val="auto"/>
        </w:rPr>
      </w:pPr>
    </w:p>
    <w:p>
      <w:pPr>
        <w:ind w:left="1800" w:hanging="180"/>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44"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0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02"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0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1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2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Any ADSs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ectPr>
          <w:pgSz w:w="11900" w:h="16838" w:orient="portrait"/>
          <w:cols w:equalWidth="0" w:num="1">
            <w:col w:w="9879"/>
          </w:cols>
          <w:pgMar w:left="580" w:top="114"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Rule 415(a)(4) under the Securities Act. In addition, we may enter into derivative transactions with third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parties, or sell securities not covered by this prospectus to third parties in privately negotiated transactions.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If the applicable prospectus supplement so indicates, in connection with those derivatives, the third parties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may sell securities covered by this prospectus and the applicable prospectus supplement, including in short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sale transactions. If so, the third party may use securities pledged by us or borrowed from us or others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settle those sales or to close out any related open borrowings of stock, and may use securities received from</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 in settlement of those derivatives to close out any related open borrowings of stock. The third party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such sale transactions will be an underwriter and, if not identified in this prospectus, will be named in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applicable prospectus supplement (or a post-effective amendment). In addition, we may otherwise loan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pledge securities to a financial institution or other third party that in turn may sell the securities short using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this prospectus and an applicable prospectus supplement. Such financial institution or other third party may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transfer its economic short position to investors in our securities or in connection with a concurrent offering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other securities.</w:t>
      </w:r>
    </w:p>
    <w:p>
      <w:pPr>
        <w:spacing w:after="0" w:line="139"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94"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80" w:name="page81"/>
    <w:bookmarkEnd w:id="8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59" w:firstLine="360"/>
        <w:spacing w:after="0" w:line="263" w:lineRule="auto"/>
        <w:rPr>
          <w:sz w:val="20"/>
          <w:szCs w:val="20"/>
          <w:color w:val="auto"/>
        </w:rPr>
      </w:pPr>
      <w:r>
        <w:rPr>
          <w:rFonts w:ascii="Times New Roman" w:cs="Times New Roman" w:eastAsia="Times New Roman" w:hAnsi="Times New Roman"/>
          <w:sz w:val="18"/>
          <w:szCs w:val="18"/>
          <w:color w:val="auto"/>
        </w:rPr>
        <w:t>Latham &amp; Watkins LLP will pass upon certain legal matters relating to the issuance and sale of the securities offered hereby on behalf of Verona Pharma plc. Additional legal matters may be passed upon for us or any underwriters, dealers or agents, by counsel that we will name in the applicable prospectus supplement.</w:t>
      </w:r>
    </w:p>
    <w:p>
      <w:pPr>
        <w:spacing w:after="0" w:line="39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61" w:lineRule="auto"/>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auto"/>
          </w:rPr>
          <w:t xml:space="preserve">The financial statements incorporated in this prospectus by reference to the </w:t>
        </w:r>
        <w:r>
          <w:rPr>
            <w:rFonts w:ascii="Times New Roman" w:cs="Times New Roman" w:eastAsia="Times New Roman" w:hAnsi="Times New Roman"/>
            <w:sz w:val="18"/>
            <w:szCs w:val="18"/>
            <w:u w:val="single" w:color="auto"/>
            <w:color w:val="0000EE"/>
          </w:rPr>
          <w:t>Annual Report on Form 10-</w:t>
        </w:r>
      </w:hyperlink>
      <w:hyperlink r:id="rId102">
        <w:r>
          <w:rPr>
            <w:rFonts w:ascii="Times New Roman" w:cs="Times New Roman" w:eastAsia="Times New Roman" w:hAnsi="Times New Roman"/>
            <w:sz w:val="18"/>
            <w:szCs w:val="18"/>
            <w:u w:val="single" w:color="auto"/>
            <w:color w:val="0000EE"/>
          </w:rPr>
          <w:t>K for the year ended December 31, 2020</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have been so incorporated in reliance on the report of</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PricewaterhouseCoopers LLP, an independent registered public accounting firm, given on the authority of said firm as experts in auditing and accounting.</w:t>
      </w:r>
    </w:p>
    <w:p>
      <w:pPr>
        <w:spacing w:after="0" w:line="99" w:lineRule="exact"/>
        <w:rPr>
          <w:sz w:val="20"/>
          <w:szCs w:val="20"/>
          <w:color w:val="auto"/>
        </w:rPr>
      </w:pPr>
    </w:p>
    <w:p>
      <w:pPr>
        <w:ind w:left="1260" w:right="1519" w:firstLine="360"/>
        <w:spacing w:after="0" w:line="282" w:lineRule="auto"/>
        <w:rPr>
          <w:sz w:val="20"/>
          <w:szCs w:val="20"/>
          <w:color w:val="auto"/>
        </w:rPr>
      </w:pPr>
      <w:r>
        <w:rPr>
          <w:rFonts w:ascii="Times New Roman" w:cs="Times New Roman" w:eastAsia="Times New Roman" w:hAnsi="Times New Roman"/>
          <w:sz w:val="18"/>
          <w:szCs w:val="18"/>
          <w:color w:val="auto"/>
        </w:rPr>
        <w:t>The registered business address of PricewaterhouseCoopers LLP is 1 Embankment Place, London, WC2N 6RH,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81" w:name="page82"/>
    <w:bookmarkEnd w:id="8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77"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-5080</wp:posOffset>
            </wp:positionV>
            <wp:extent cx="521208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53975</wp:posOffset>
            </wp:positionV>
            <wp:extent cx="52120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1579"/>
        <w:spacing w:after="0"/>
        <w:rPr>
          <w:sz w:val="20"/>
          <w:szCs w:val="20"/>
          <w:color w:val="auto"/>
        </w:rPr>
      </w:pPr>
      <w:r>
        <w:rPr>
          <w:rFonts w:ascii="Arial" w:cs="Arial" w:eastAsia="Arial" w:hAnsi="Arial"/>
          <w:sz w:val="29"/>
          <w:szCs w:val="29"/>
          <w:b w:val="1"/>
          <w:bCs w:val="1"/>
          <w:color w:val="auto"/>
        </w:rPr>
        <w:t>10,000,000 American Depositary Shares</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29"/>
          <w:szCs w:val="29"/>
          <w:b w:val="1"/>
          <w:bCs w:val="1"/>
          <w:color w:val="auto"/>
        </w:rPr>
        <w:t>(Representing Ordinary Shares)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450850</wp:posOffset>
            </wp:positionV>
            <wp:extent cx="1688465" cy="651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168846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760"/>
        <w:spacing w:after="0"/>
        <w:rPr>
          <w:sz w:val="20"/>
          <w:szCs w:val="20"/>
          <w:color w:val="auto"/>
        </w:rPr>
      </w:pPr>
      <w:r>
        <w:rPr>
          <w:rFonts w:ascii="Arial" w:cs="Arial" w:eastAsia="Arial" w:hAnsi="Arial"/>
          <w:sz w:val="32"/>
          <w:szCs w:val="32"/>
          <w:b w:val="1"/>
          <w:bCs w:val="1"/>
          <w:color w:val="auto"/>
        </w:rPr>
        <w:t>Verona Pharma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796290</wp:posOffset>
            </wp:positionV>
            <wp:extent cx="19202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PROSPECTUS SUPPLEMENT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179705</wp:posOffset>
            </wp:positionV>
            <wp:extent cx="192024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260" w:type="dxa"/>
        <w:tblCellMar>
          <w:top w:w="0" w:type="dxa"/>
          <w:left w:w="0" w:type="dxa"/>
          <w:bottom w:w="0" w:type="dxa"/>
          <w:right w:w="0" w:type="dxa"/>
        </w:tblCellMar>
      </w:tblPr>
      <w:tr>
        <w:trPr>
          <w:trHeight w:val="241"/>
        </w:trPr>
        <w:tc>
          <w:tcPr>
            <w:tcW w:w="1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520" w:type="dxa"/>
            <w:vAlign w:val="bottom"/>
            <w:gridSpan w:val="3"/>
          </w:tcPr>
          <w:p>
            <w:pPr>
              <w:jc w:val="center"/>
              <w:spacing w:after="0"/>
              <w:rPr>
                <w:sz w:val="20"/>
                <w:szCs w:val="20"/>
                <w:color w:val="auto"/>
              </w:rPr>
            </w:pPr>
            <w:r>
              <w:rPr>
                <w:rFonts w:ascii="Arial" w:cs="Arial" w:eastAsia="Arial" w:hAnsi="Arial"/>
                <w:sz w:val="18"/>
                <w:szCs w:val="18"/>
                <w:i w:val="1"/>
                <w:iCs w:val="1"/>
                <w:color w:val="auto"/>
                <w:w w:val="99"/>
              </w:rPr>
              <w:t>Joint Book-Running Managers</w:t>
            </w:r>
          </w:p>
        </w:tc>
        <w:tc>
          <w:tcPr>
            <w:tcW w:w="3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8"/>
        </w:trPr>
        <w:tc>
          <w:tcPr>
            <w:tcW w:w="1940" w:type="dxa"/>
            <w:vAlign w:val="bottom"/>
          </w:tcPr>
          <w:p>
            <w:pPr>
              <w:spacing w:after="0"/>
              <w:rPr>
                <w:sz w:val="20"/>
                <w:szCs w:val="20"/>
                <w:color w:val="auto"/>
              </w:rPr>
            </w:pPr>
            <w:r>
              <w:rPr>
                <w:rFonts w:ascii="Arial" w:cs="Arial" w:eastAsia="Arial" w:hAnsi="Arial"/>
                <w:sz w:val="29"/>
                <w:szCs w:val="29"/>
                <w:b w:val="1"/>
                <w:bCs w:val="1"/>
                <w:color w:val="auto"/>
              </w:rPr>
              <w:t>​</w:t>
            </w:r>
          </w:p>
        </w:tc>
        <w:tc>
          <w:tcPr>
            <w:tcW w:w="900" w:type="dxa"/>
            <w:vAlign w:val="bottom"/>
          </w:tcPr>
          <w:p>
            <w:pPr>
              <w:ind w:left="660"/>
              <w:spacing w:after="0"/>
              <w:rPr>
                <w:sz w:val="20"/>
                <w:szCs w:val="20"/>
                <w:color w:val="auto"/>
              </w:rPr>
            </w:pPr>
            <w:r>
              <w:rPr>
                <w:rFonts w:ascii="Arial" w:cs="Arial" w:eastAsia="Arial" w:hAnsi="Arial"/>
                <w:sz w:val="29"/>
                <w:szCs w:val="29"/>
                <w:b w:val="1"/>
                <w:bCs w:val="1"/>
                <w:color w:val="auto"/>
              </w:rPr>
              <w:t>​​</w:t>
            </w:r>
          </w:p>
        </w:tc>
        <w:tc>
          <w:tcPr>
            <w:tcW w:w="2520" w:type="dxa"/>
            <w:vAlign w:val="bottom"/>
            <w:gridSpan w:val="3"/>
            <w:vMerge w:val="restart"/>
          </w:tcPr>
          <w:p>
            <w:pPr>
              <w:jc w:val="center"/>
              <w:spacing w:after="0"/>
              <w:rPr>
                <w:sz w:val="20"/>
                <w:szCs w:val="20"/>
                <w:color w:val="auto"/>
              </w:rPr>
            </w:pPr>
            <w:r>
              <w:rPr>
                <w:rFonts w:ascii="Arial" w:cs="Arial" w:eastAsia="Arial" w:hAnsi="Arial"/>
                <w:sz w:val="29"/>
                <w:szCs w:val="29"/>
                <w:b w:val="1"/>
                <w:bCs w:val="1"/>
                <w:color w:val="auto"/>
              </w:rPr>
              <w:t>Piper Sandler</w:t>
            </w:r>
          </w:p>
        </w:tc>
        <w:tc>
          <w:tcPr>
            <w:tcW w:w="300" w:type="dxa"/>
            <w:vAlign w:val="bottom"/>
          </w:tcPr>
          <w:p>
            <w:pPr>
              <w:ind w:left="40"/>
              <w:spacing w:after="0"/>
              <w:rPr>
                <w:sz w:val="20"/>
                <w:szCs w:val="20"/>
                <w:color w:val="auto"/>
              </w:rPr>
            </w:pPr>
            <w:r>
              <w:rPr>
                <w:rFonts w:ascii="Arial" w:cs="Arial" w:eastAsia="Arial" w:hAnsi="Arial"/>
                <w:sz w:val="29"/>
                <w:szCs w:val="29"/>
                <w:b w:val="1"/>
                <w:bCs w:val="1"/>
                <w:color w:val="auto"/>
              </w:rPr>
              <w:t>​​</w:t>
            </w:r>
          </w:p>
        </w:tc>
        <w:tc>
          <w:tcPr>
            <w:tcW w:w="2540" w:type="dxa"/>
            <w:vAlign w:val="bottom"/>
            <w:vMerge w:val="restart"/>
          </w:tcPr>
          <w:p>
            <w:pPr>
              <w:ind w:left="60"/>
              <w:spacing w:after="0"/>
              <w:rPr>
                <w:sz w:val="20"/>
                <w:szCs w:val="20"/>
                <w:color w:val="auto"/>
              </w:rPr>
            </w:pPr>
            <w:r>
              <w:rPr>
                <w:rFonts w:ascii="Arial" w:cs="Arial" w:eastAsia="Arial" w:hAnsi="Arial"/>
                <w:sz w:val="29"/>
                <w:szCs w:val="29"/>
                <w:b w:val="1"/>
                <w:bCs w:val="1"/>
                <w:color w:val="auto"/>
              </w:rPr>
              <w:t>Truist Securities</w:t>
            </w:r>
          </w:p>
        </w:tc>
        <w:tc>
          <w:tcPr>
            <w:tcW w:w="80" w:type="dxa"/>
            <w:vAlign w:val="bottom"/>
          </w:tcPr>
          <w:p>
            <w:pPr>
              <w:spacing w:after="0"/>
              <w:rPr>
                <w:sz w:val="20"/>
                <w:szCs w:val="20"/>
                <w:color w:val="auto"/>
              </w:rPr>
            </w:pPr>
            <w:r>
              <w:rPr>
                <w:rFonts w:ascii="Arial" w:cs="Arial" w:eastAsia="Arial" w:hAnsi="Arial"/>
                <w:sz w:val="29"/>
                <w:szCs w:val="29"/>
                <w:b w:val="1"/>
                <w:bCs w:val="1"/>
                <w:color w:val="auto"/>
              </w:rPr>
              <w:t>​</w:t>
            </w:r>
          </w:p>
        </w:tc>
        <w:tc>
          <w:tcPr>
            <w:tcW w:w="0" w:type="dxa"/>
            <w:vAlign w:val="bottom"/>
          </w:tcPr>
          <w:p>
            <w:pPr>
              <w:spacing w:after="0"/>
              <w:rPr>
                <w:sz w:val="1"/>
                <w:szCs w:val="1"/>
                <w:color w:val="auto"/>
              </w:rPr>
            </w:pPr>
          </w:p>
        </w:tc>
      </w:tr>
      <w:tr>
        <w:trPr>
          <w:trHeight w:val="407"/>
        </w:trPr>
        <w:tc>
          <w:tcPr>
            <w:tcW w:w="1940" w:type="dxa"/>
            <w:vAlign w:val="bottom"/>
          </w:tcPr>
          <w:p>
            <w:pPr>
              <w:spacing w:after="0"/>
              <w:rPr>
                <w:sz w:val="20"/>
                <w:szCs w:val="20"/>
                <w:color w:val="auto"/>
              </w:rPr>
            </w:pPr>
            <w:r>
              <w:rPr>
                <w:rFonts w:ascii="Arial" w:cs="Arial" w:eastAsia="Arial" w:hAnsi="Arial"/>
                <w:sz w:val="29"/>
                <w:szCs w:val="29"/>
                <w:b w:val="1"/>
                <w:bCs w:val="1"/>
                <w:color w:val="auto"/>
              </w:rPr>
              <w:t>Jefferies</w:t>
            </w:r>
          </w:p>
        </w:tc>
        <w:tc>
          <w:tcPr>
            <w:tcW w:w="900" w:type="dxa"/>
            <w:vAlign w:val="bottom"/>
          </w:tcPr>
          <w:p>
            <w:pPr>
              <w:spacing w:after="0"/>
              <w:rPr>
                <w:sz w:val="24"/>
                <w:szCs w:val="24"/>
                <w:color w:val="auto"/>
              </w:rPr>
            </w:pPr>
          </w:p>
        </w:tc>
        <w:tc>
          <w:tcPr>
            <w:tcW w:w="25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738505</wp:posOffset>
            </wp:positionV>
            <wp:extent cx="52120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-5080</wp:posOffset>
            </wp:positionV>
            <wp:extent cx="521208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255905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decimal"/>
      <w:start w:val="1"/>
    </w:lvl>
  </w:abstractNum>
  <w:abstractNum w:abstractNumId="1">
    <w:nsid w:val="614FD4A1"/>
    <w:multiLevelType w:val="hybridMultilevel"/>
    <w:lvl w:ilvl="0">
      <w:lvlJc w:val="left"/>
      <w:lvlText w:val="▪"/>
      <w:numFmt w:val="bullet"/>
      <w:start w:val="1"/>
    </w:lvl>
    <w:lvl w:ilvl="1">
      <w:lvlJc w:val="left"/>
      <w:lvlText w:val="▪"/>
      <w:numFmt w:val="bullet"/>
      <w:start w:val="1"/>
    </w:lvl>
  </w:abstractNum>
  <w:abstractNum w:abstractNumId="2">
    <w:nsid w:val="419AC24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5577F8E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440BADFC"/>
    <w:multiLevelType w:val="hybridMultilevel"/>
    <w:lvl w:ilvl="0">
      <w:lvlJc w:val="left"/>
      <w:lvlText w:val=" "/>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1)"/>
      <w:numFmt w:val="upperLetter"/>
      <w:start w:val="1"/>
    </w:lvl>
  </w:abstractNum>
  <w:abstractNum w:abstractNumId="13">
    <w:nsid w:val="2D517796"/>
    <w:multiLevelType w:val="hybridMultilevel"/>
    <w:lvl w:ilvl="0">
      <w:lvlJc w:val="left"/>
      <w:lvlText w:val="(%1)"/>
      <w:numFmt w:val="upperLetter"/>
      <w:start w:val="2"/>
    </w:lvl>
    <w:lvl w:ilvl="1">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1)"/>
      <w:numFmt w:val="lowerRoman"/>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1)"/>
      <w:numFmt w:val="lowerLetter"/>
      <w:start w:val="2"/>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lvl w:ilvl="1">
      <w:lvlJc w:val="left"/>
      <w:lvlText w:val="(%2)"/>
      <w:numFmt w:val="lowerLetter"/>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lvl w:ilvl="1">
      <w:lvlJc w:val="left"/>
      <w:lvlText w:val="(%2)"/>
      <w:numFmt w:val="lowerRoman"/>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
      <w:numFmt w:val="bullet"/>
      <w:start w:val="1"/>
    </w:lvl>
  </w:abstractNum>
  <w:abstractNum w:abstractNumId="64">
    <w:nsid w:val="25A70BF7"/>
    <w:multiLevelType w:val="hybridMultilevel"/>
    <w:lvl w:ilvl="0">
      <w:lvlJc w:val="left"/>
      <w:lvlText w:val="•"/>
      <w:numFmt w:val="bullet"/>
      <w:start w:val="1"/>
    </w:lvl>
  </w:abstractNum>
  <w:abstractNum w:abstractNumId="65">
    <w:nsid w:val="1DBABF0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jpe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jpe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74" Type="http://schemas.openxmlformats.org/officeDocument/2006/relationships/hyperlink" Target="http://www.sec.gov/ix?doc=/Archives/edgar/data/1657312/000165731222000010/vrna-20211231.htm" TargetMode="External"/><Relationship Id="rId75" Type="http://schemas.openxmlformats.org/officeDocument/2006/relationships/hyperlink" Target="http://www.sec.gov/ix?doc=/Archives/edgar/data/1657312/000165731222000016/vrna-20220331.htm" TargetMode="External"/><Relationship Id="rId76" Type="http://schemas.openxmlformats.org/officeDocument/2006/relationships/hyperlink" Target="https://www.sec.gov/ix?doc=/Archives/edgar/data/1657312/000165731222000027/vrna-20220630.htm" TargetMode="External"/><Relationship Id="rId77" Type="http://schemas.openxmlformats.org/officeDocument/2006/relationships/hyperlink" Target="http://www.sec.gov/Archives/edgar/data/1657312/000110465922036551/tm223622-1_def14a.htm" TargetMode="External"/><Relationship Id="rId78" Type="http://schemas.openxmlformats.org/officeDocument/2006/relationships/hyperlink" Target="http://www.sec.gov/ix?doc=/Archives/edgar/data/1657312/000110465922001296/tm221591d1_8k.htm" TargetMode="External"/><Relationship Id="rId79" Type="http://schemas.openxmlformats.org/officeDocument/2006/relationships/hyperlink" Target="http://www.sec.gov/ix?doc=/Archives/edgar/data/1657312/000110465922034141/tm229327d1_8k.htm" TargetMode="External"/><Relationship Id="rId80" Type="http://schemas.openxmlformats.org/officeDocument/2006/relationships/hyperlink" Target="http://www.sec.gov/ix?doc=/Archives/edgar/data/1657312/000110465922040140/tm2210807d1_8k.htm" TargetMode="External"/><Relationship Id="rId81" Type="http://schemas.openxmlformats.org/officeDocument/2006/relationships/hyperlink" Target="https://www.sec.gov/ix?doc=/Archives/edgar/data/1657312/000110465922052908/tm2214020d1_8k.htm" TargetMode="External"/><Relationship Id="rId82" Type="http://schemas.openxmlformats.org/officeDocument/2006/relationships/hyperlink" Target="https://www.sec.gov/ix?doc=/Archives/edgar/data/1657312/000165731222000028/vrna-20220809.htm" TargetMode="External"/><Relationship Id="rId83" Type="http://schemas.openxmlformats.org/officeDocument/2006/relationships/hyperlink" Target="http://www.sec.gov/Archives/edgar/data/1657312/000110465917024500/a16-21903_58a12b.htm" TargetMode="External"/><Relationship Id="rId102" Type="http://schemas.openxmlformats.org/officeDocument/2006/relationships/hyperlink" Target="https://www.sec.gov/ix?doc=/Archives/edgar/data/1657312/000165731221000004/vrna-20201231.htm" TargetMode="External"/><Relationship Id="rId103" Type="http://schemas.openxmlformats.org/officeDocument/2006/relationships/hyperlink" Target="https://www.sec.gov/Archives/edgar/data/1657312/000110465921039049/tm219611-1_def14a.htm" TargetMode="External"/><Relationship Id="rId104" Type="http://schemas.openxmlformats.org/officeDocument/2006/relationships/hyperlink" Target="https://www.sec.gov/Archives/edgar/data/1657312/000110465921030453/tm218427d1_8k.htm" TargetMode="External"/><Relationship Id="rId105" Type="http://schemas.openxmlformats.org/officeDocument/2006/relationships/hyperlink" Target="https://www.sec.gov/Archives/edgar/data/1657312/000110465917024500/a16-21903_5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2022-08-09T18:49:41Z</dcterms:created>
  <dcterms:modified xsi:type="dcterms:W3CDTF">2022-08-09T18:49:41Z</dcterms:modified>
</cp:coreProperties>
</file>