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-229870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-612775</wp:posOffset>
            </wp:positionV>
            <wp:extent cx="57150"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611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-612775</wp:posOffset>
            </wp:positionV>
            <wp:extent cx="57150" cy="6261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61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4192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19227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40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Cunningham Kenneth</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Verona Pharma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VRNA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7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color w:val="0000FF"/>
        </w:rPr>
        <w:t>04/28/2023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3" w:right="700" w:firstLine="3"/>
        <w:spacing w:after="0" w:line="233" w:lineRule="auto"/>
        <w:tabs>
          <w:tab w:leader="none" w:pos="13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516" w:val="left"/>
          <w:tab w:leader="none" w:pos="209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9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9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2" w:lineRule="exact"/>
        <w:rPr>
          <w:sz w:val="24"/>
          <w:szCs w:val="24"/>
          <w:color w:val="auto"/>
        </w:rPr>
      </w:pPr>
    </w:p>
    <w:p>
      <w:pPr>
        <w:sectPr>
          <w:pgSz w:w="11900" w:h="16838" w:orient="portrait"/>
          <w:cols w:equalWidth="0" w:num="3">
            <w:col w:w="3180" w:space="720"/>
            <w:col w:w="3103" w:space="720"/>
            <w:col w:w="3357"/>
          </w:cols>
          <w:pgMar w:left="460" w:top="219" w:right="359" w:bottom="1440" w:gutter="0" w:footer="0" w:header="0"/>
          <w:type w:val="continuous"/>
        </w:sectPr>
      </w:pPr>
    </w:p>
    <w:p>
      <w:pPr>
        <w:spacing w:after="0" w:line="237" w:lineRule="exact"/>
        <w:rPr>
          <w:sz w:val="24"/>
          <w:szCs w:val="24"/>
          <w:color w:val="auto"/>
        </w:rPr>
      </w:pPr>
    </w:p>
    <w:tbl>
      <w:tblPr>
        <w:tblLayout w:type="fixed"/>
        <w:tblInd w:w="80" w:type="dxa"/>
        <w:tblCellMar>
          <w:top w:w="0" w:type="dxa"/>
          <w:left w:w="0" w:type="dxa"/>
          <w:bottom w:w="0" w:type="dxa"/>
          <w:right w:w="0" w:type="dxa"/>
        </w:tblCellMar>
      </w:tblPr>
      <w:tr>
        <w:trPr>
          <w:trHeight w:val="15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0000FF"/>
              </w:rPr>
              <w:t>LONDON</w:t>
            </w:r>
          </w:p>
        </w:tc>
        <w:tc>
          <w:tcPr>
            <w:tcW w:w="1060" w:type="dxa"/>
            <w:vAlign w:val="bottom"/>
          </w:tcPr>
          <w:p>
            <w:pPr>
              <w:ind w:left="260"/>
              <w:spacing w:after="0"/>
              <w:rPr>
                <w:sz w:val="20"/>
                <w:szCs w:val="20"/>
                <w:color w:val="auto"/>
              </w:rPr>
            </w:pPr>
            <w:r>
              <w:rPr>
                <w:rFonts w:ascii="Arial" w:cs="Arial" w:eastAsia="Arial" w:hAnsi="Arial"/>
                <w:sz w:val="16"/>
                <w:szCs w:val="16"/>
                <w:color w:val="0000FF"/>
              </w:rPr>
              <w:t>X0</w:t>
            </w:r>
          </w:p>
        </w:tc>
        <w:tc>
          <w:tcPr>
            <w:tcW w:w="1600" w:type="dxa"/>
            <w:vAlign w:val="bottom"/>
          </w:tcPr>
          <w:p>
            <w:pPr>
              <w:ind w:left="420"/>
              <w:spacing w:after="0"/>
              <w:rPr>
                <w:sz w:val="20"/>
                <w:szCs w:val="20"/>
                <w:color w:val="auto"/>
              </w:rPr>
            </w:pPr>
            <w:r>
              <w:rPr>
                <w:rFonts w:ascii="Arial" w:cs="Arial" w:eastAsia="Arial" w:hAnsi="Arial"/>
                <w:sz w:val="16"/>
                <w:szCs w:val="16"/>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3"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3"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520" w:type="dxa"/>
            <w:vAlign w:val="bottom"/>
          </w:tcPr>
          <w:p>
            <w:pPr>
              <w:spacing w:after="0"/>
              <w:rPr>
                <w:sz w:val="10"/>
                <w:szCs w:val="10"/>
                <w:color w:val="auto"/>
              </w:rPr>
            </w:pPr>
          </w:p>
        </w:tc>
        <w:tc>
          <w:tcPr>
            <w:tcW w:w="1820" w:type="dxa"/>
            <w:vAlign w:val="bottom"/>
          </w:tcPr>
          <w:p>
            <w:pPr>
              <w:ind w:left="820"/>
              <w:spacing w:after="0" w:line="123"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660" w:type="dxa"/>
            <w:vAlign w:val="bottom"/>
          </w:tcPr>
          <w:p>
            <w:pPr>
              <w:ind w:left="60"/>
              <w:spacing w:after="0"/>
              <w:rPr>
                <w:sz w:val="20"/>
                <w:szCs w:val="20"/>
                <w:color w:val="auto"/>
              </w:rPr>
            </w:pPr>
            <w:r>
              <w:rPr>
                <w:rFonts w:ascii="Arial" w:cs="Arial" w:eastAsia="Arial" w:hAnsi="Arial"/>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6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ind w:left="200"/>
              <w:spacing w:after="0" w:line="198"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2.67</w:t>
            </w:r>
            <w:r>
              <w:rPr>
                <w:rFonts w:ascii="Arial" w:cs="Arial" w:eastAsia="Arial" w:hAnsi="Arial"/>
                <w:sz w:val="21"/>
                <w:szCs w:val="21"/>
                <w:color w:val="008000"/>
                <w:vertAlign w:val="superscript"/>
              </w:rPr>
              <w:t>(1)</w:t>
            </w:r>
          </w:p>
        </w:tc>
        <w:tc>
          <w:tcPr>
            <w:tcW w:w="1060" w:type="dxa"/>
            <w:vAlign w:val="bottom"/>
          </w:tcPr>
          <w:p>
            <w:pPr>
              <w:jc w:val="right"/>
              <w:ind w:right="182"/>
              <w:spacing w:after="0"/>
              <w:rPr>
                <w:sz w:val="20"/>
                <w:szCs w:val="20"/>
                <w:color w:val="auto"/>
              </w:rPr>
            </w:pPr>
            <w:r>
              <w:rPr>
                <w:rFonts w:ascii="Arial" w:cs="Arial" w:eastAsia="Arial" w:hAnsi="Arial"/>
                <w:sz w:val="13"/>
                <w:szCs w:val="13"/>
                <w:color w:val="0000FF"/>
              </w:rPr>
              <w:t>04/28/2023</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640" w:type="dxa"/>
            <w:vAlign w:val="bottom"/>
          </w:tcPr>
          <w:p>
            <w:pPr>
              <w:ind w:left="80"/>
              <w:spacing w:after="0" w:line="198" w:lineRule="exact"/>
              <w:rPr>
                <w:sz w:val="20"/>
                <w:szCs w:val="20"/>
                <w:color w:val="auto"/>
              </w:rPr>
            </w:pPr>
            <w:r>
              <w:rPr>
                <w:rFonts w:ascii="Arial" w:cs="Arial" w:eastAsia="Arial" w:hAnsi="Arial"/>
                <w:sz w:val="13"/>
                <w:szCs w:val="13"/>
                <w:color w:val="0000FF"/>
                <w:w w:val="94"/>
              </w:rPr>
              <w:t>96,000</w:t>
            </w:r>
            <w:r>
              <w:rPr>
                <w:rFonts w:ascii="Arial" w:cs="Arial" w:eastAsia="Arial" w:hAnsi="Arial"/>
                <w:sz w:val="21"/>
                <w:szCs w:val="21"/>
                <w:color w:val="008000"/>
                <w:w w:val="94"/>
                <w:vertAlign w:val="superscript"/>
              </w:rPr>
              <w:t>(1)</w:t>
            </w:r>
          </w:p>
        </w:tc>
        <w:tc>
          <w:tcPr>
            <w:tcW w:w="26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04/27/2033</w:t>
            </w:r>
          </w:p>
        </w:tc>
        <w:tc>
          <w:tcPr>
            <w:tcW w:w="580" w:type="dxa"/>
            <w:vAlign w:val="bottom"/>
          </w:tcPr>
          <w:p>
            <w:pPr>
              <w:ind w:left="60"/>
              <w:spacing w:after="0"/>
              <w:rPr>
                <w:sz w:val="20"/>
                <w:szCs w:val="20"/>
                <w:color w:val="auto"/>
              </w:rPr>
            </w:pPr>
            <w:r>
              <w:rPr>
                <w:rFonts w:ascii="Arial" w:cs="Arial" w:eastAsia="Arial" w:hAnsi="Arial"/>
                <w:sz w:val="13"/>
                <w:szCs w:val="13"/>
                <w:color w:val="0000FF"/>
              </w:rPr>
              <w:t>Ordinary</w:t>
            </w:r>
          </w:p>
        </w:tc>
        <w:tc>
          <w:tcPr>
            <w:tcW w:w="720" w:type="dxa"/>
            <w:vAlign w:val="bottom"/>
          </w:tcPr>
          <w:p>
            <w:pPr>
              <w:ind w:left="80"/>
              <w:spacing w:after="0" w:line="198" w:lineRule="exact"/>
              <w:rPr>
                <w:sz w:val="20"/>
                <w:szCs w:val="20"/>
                <w:color w:val="auto"/>
              </w:rPr>
            </w:pPr>
            <w:r>
              <w:rPr>
                <w:rFonts w:ascii="Arial" w:cs="Arial" w:eastAsia="Arial" w:hAnsi="Arial"/>
                <w:sz w:val="16"/>
                <w:szCs w:val="16"/>
                <w:color w:val="0000FF"/>
                <w:w w:val="93"/>
              </w:rPr>
              <w:t>96,000</w:t>
            </w:r>
            <w:r>
              <w:rPr>
                <w:rFonts w:ascii="Arial" w:cs="Arial" w:eastAsia="Arial" w:hAnsi="Arial"/>
                <w:sz w:val="21"/>
                <w:szCs w:val="21"/>
                <w:color w:val="008000"/>
                <w:w w:val="93"/>
                <w:vertAlign w:val="superscript"/>
              </w:rPr>
              <w:t>(1)</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900" w:type="dxa"/>
            <w:vAlign w:val="bottom"/>
          </w:tcPr>
          <w:p>
            <w:pPr>
              <w:ind w:left="220"/>
              <w:spacing w:after="0" w:line="198" w:lineRule="exact"/>
              <w:rPr>
                <w:sz w:val="20"/>
                <w:szCs w:val="20"/>
                <w:color w:val="auto"/>
              </w:rPr>
            </w:pPr>
            <w:r>
              <w:rPr>
                <w:rFonts w:ascii="Arial" w:cs="Arial" w:eastAsia="Arial" w:hAnsi="Arial"/>
                <w:sz w:val="13"/>
                <w:szCs w:val="13"/>
                <w:color w:val="0000FF"/>
              </w:rPr>
              <w:t>96,000</w:t>
            </w:r>
            <w:r>
              <w:rPr>
                <w:rFonts w:ascii="Arial" w:cs="Arial" w:eastAsia="Arial" w:hAnsi="Arial"/>
                <w:sz w:val="21"/>
                <w:szCs w:val="21"/>
                <w:color w:val="008000"/>
                <w:vertAlign w:val="superscript"/>
              </w:rPr>
              <w:t>(1)</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660" w:type="dxa"/>
            <w:vAlign w:val="bottom"/>
          </w:tcPr>
          <w:p>
            <w:pPr>
              <w:ind w:left="60"/>
              <w:spacing w:after="0" w:line="90" w:lineRule="exact"/>
              <w:rPr>
                <w:sz w:val="20"/>
                <w:szCs w:val="20"/>
                <w:color w:val="auto"/>
              </w:rPr>
            </w:pPr>
            <w:r>
              <w:rPr>
                <w:rFonts w:ascii="Arial" w:cs="Arial" w:eastAsia="Arial" w:hAnsi="Arial"/>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ind w:left="120"/>
              <w:spacing w:after="0" w:line="90" w:lineRule="exact"/>
              <w:rPr>
                <w:sz w:val="20"/>
                <w:szCs w:val="20"/>
                <w:color w:val="auto"/>
              </w:rPr>
            </w:pPr>
            <w:r>
              <w:rPr>
                <w:rFonts w:ascii="Arial" w:cs="Arial" w:eastAsia="Arial" w:hAnsi="Arial"/>
                <w:sz w:val="9"/>
                <w:szCs w:val="9"/>
                <w:color w:val="0000FF"/>
              </w:rPr>
              <w:t>Shares</w:t>
            </w: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right="180" w:hanging="1"/>
        <w:spacing w:after="0"/>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of securities underlying the option and the exercise price therefor are listed in terms of Ordinary Shares, however, each security is represented by American Depositary Shares ("ADSs"), each of which represents eight (8) Ordinary Shares of the Issuer.</w:t>
      </w:r>
    </w:p>
    <w:p>
      <w:pPr>
        <w:spacing w:after="0" w:line="29" w:lineRule="exact"/>
        <w:rPr>
          <w:rFonts w:ascii="Arial" w:cs="Arial" w:eastAsia="Arial" w:hAnsi="Arial"/>
          <w:sz w:val="13"/>
          <w:szCs w:val="13"/>
          <w:color w:val="008000"/>
        </w:rPr>
      </w:pPr>
    </w:p>
    <w:p>
      <w:pPr>
        <w:ind w:left="160" w:hanging="121"/>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and becomes exercisable as to 25% on each of July 28, 2023, October 28, 2023, January 28, 2024 and April 28, 2024.</w:t>
      </w:r>
    </w:p>
    <w:p>
      <w:pPr>
        <w:spacing w:after="0" w:line="34"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0000FF"/>
                <w:w w:val="96"/>
              </w:rPr>
              <w:t>/s/ Claire Poll, Attorney-in-fact</w:t>
            </w:r>
          </w:p>
        </w:tc>
        <w:tc>
          <w:tcPr>
            <w:tcW w:w="60" w:type="dxa"/>
            <w:vAlign w:val="bottom"/>
          </w:tcPr>
          <w:p>
            <w:pPr>
              <w:spacing w:after="0"/>
              <w:rPr>
                <w:sz w:val="17"/>
                <w:szCs w:val="17"/>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6"/>
                <w:szCs w:val="16"/>
                <w:color w:val="0000FF"/>
                <w:w w:val="89"/>
              </w:rPr>
              <w:t>04/28/2023</w:t>
            </w:r>
          </w:p>
        </w:tc>
        <w:tc>
          <w:tcPr>
            <w:tcW w:w="0" w:type="dxa"/>
            <w:vAlign w:val="bottom"/>
          </w:tcPr>
          <w:p>
            <w:pPr>
              <w:spacing w:after="0"/>
              <w:rPr>
                <w:sz w:val="1"/>
                <w:szCs w:val="1"/>
                <w:color w:val="auto"/>
              </w:rPr>
            </w:pPr>
          </w:p>
        </w:tc>
      </w:tr>
      <w:tr>
        <w:trPr>
          <w:trHeight w:val="81"/>
        </w:trPr>
        <w:tc>
          <w:tcPr>
            <w:tcW w:w="1680" w:type="dxa"/>
            <w:vAlign w:val="bottom"/>
            <w:vMerge w:val="restart"/>
          </w:tcPr>
          <w:p>
            <w:pPr>
              <w:spacing w:after="0" w:line="182" w:lineRule="exact"/>
              <w:rPr>
                <w:sz w:val="20"/>
                <w:szCs w:val="20"/>
                <w:color w:val="auto"/>
              </w:rPr>
            </w:pPr>
            <w:r>
              <w:rPr>
                <w:rFonts w:ascii="Arial" w:cs="Arial" w:eastAsia="Arial" w:hAnsi="Arial"/>
                <w:sz w:val="16"/>
                <w:szCs w:val="16"/>
                <w:color w:val="0000FF"/>
                <w:w w:val="93"/>
              </w:rPr>
              <w:t>for Kenneth Cunningham</w:t>
            </w:r>
          </w:p>
        </w:tc>
        <w:tc>
          <w:tcPr>
            <w:tcW w:w="440" w:type="dxa"/>
            <w:vAlign w:val="bottom"/>
            <w:gridSpan w:val="2"/>
            <w:vMerge w:val="restart"/>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680" w:type="dxa"/>
            <w:vAlign w:val="bottom"/>
            <w:tcBorders>
              <w:bottom w:val="single" w:sz="8" w:color="auto"/>
            </w:tcBorders>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5"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78"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2023-04-28T15:50:00Z</dcterms:created>
  <dcterms:modified xsi:type="dcterms:W3CDTF">2023-04-28T15:50:00Z</dcterms:modified>
</cp:coreProperties>
</file>